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DMBM_14165"/>
      <w:bookmarkStart w:id="1" w:name="_CSF_TOC_1"/>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33F28571-F505-4189-99E1-E283A037882D" style="width:450.75pt;height:307.5pt">
            <v:imagedata r:id="rId10" o:title=""/>
          </v:shape>
        </w:pict>
      </w:r>
    </w:p>
    <w:bookmarkEnd w:id="2"/>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pPr>
        <w:pStyle w:val="CoverPage"/>
        <w:rPr>
          <w:noProof/>
        </w:rPr>
      </w:pPr>
      <w:bookmarkStart w:id="3" w:name="_GoBack"/>
      <w:bookmarkEnd w:id="3"/>
    </w:p>
    <w:p>
      <w:pPr>
        <w:pStyle w:val="CoverPage"/>
        <w:rPr>
          <w:noProof/>
        </w:rPr>
      </w:pPr>
    </w:p>
    <w:p>
      <w:pPr>
        <w:pStyle w:val="CoverPage"/>
        <w:rPr>
          <w:noProof/>
        </w:rPr>
      </w:pPr>
      <w:r>
        <w:rPr>
          <w:noProof/>
        </w:rPr>
        <w:t xml:space="preserve">Годишни отчети на </w:t>
      </w:r>
      <w:r>
        <w:rPr>
          <w:noProof/>
        </w:rPr>
        <w:br/>
        <w:t>Европейския фонд за развитие за 2018 г.</w:t>
      </w:r>
    </w:p>
    <w:p>
      <w:pPr>
        <w:pStyle w:val="CoverPage"/>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709" w:gutter="0"/>
          <w:cols w:space="720"/>
          <w:titlePg/>
          <w:docGrid w:linePitch="360"/>
        </w:sectPr>
      </w:pPr>
      <w:r>
        <w:rPr>
          <w:noProof/>
        </w:rPr>
        <w:t xml:space="preserve"> </w:t>
      </w:r>
      <w:bookmarkEnd w:id="0"/>
    </w:p>
    <w:p>
      <w:pPr>
        <w:pStyle w:val="HEADERTABLE"/>
        <w:rPr>
          <w:noProof/>
        </w:rPr>
      </w:pPr>
      <w:bookmarkStart w:id="4" w:name="_DMBM_14145"/>
      <w:r>
        <w:rPr>
          <w:noProof/>
        </w:rPr>
        <w:lastRenderedPageBreak/>
        <w:t>СЪДЪРЖАНИЕ</w:t>
      </w:r>
    </w:p>
    <w:p>
      <w:pPr>
        <w:pStyle w:val="HEADERTABLE"/>
        <w:rPr>
          <w:noProof/>
        </w:rPr>
      </w:pPr>
    </w:p>
    <w:p>
      <w:pPr>
        <w:pStyle w:val="TOC1"/>
        <w:rPr>
          <w:rFonts w:asciiTheme="minorHAnsi" w:eastAsiaTheme="minorEastAsia" w:hAnsiTheme="minorHAnsi" w:cstheme="minorBidi"/>
          <w:color w:val="auto"/>
          <w:szCs w:val="22"/>
          <w:lang w:val="en-GB" w:eastAsia="en-GB" w:bidi="ar-SA"/>
        </w:rPr>
      </w:pPr>
      <w:r>
        <w:rPr>
          <w:b/>
          <w:color w:val="0000FF"/>
          <w:szCs w:val="22"/>
        </w:rPr>
        <w:fldChar w:fldCharType="begin"/>
      </w:r>
      <w:r>
        <w:rPr>
          <w:b/>
          <w:color w:val="0000FF"/>
          <w:szCs w:val="22"/>
        </w:rPr>
        <w:instrText xml:space="preserve"> TOC \o "1-3" \h \z \t "FIRST_CHAPTER_PAGE;1;FIRST CHAPTER_PAGE_1;2" </w:instrText>
      </w:r>
      <w:r>
        <w:rPr>
          <w:b/>
          <w:color w:val="0000FF"/>
          <w:szCs w:val="22"/>
        </w:rPr>
        <w:fldChar w:fldCharType="separate"/>
      </w:r>
      <w:hyperlink w:anchor="_Toc16001690" w:history="1">
        <w:r>
          <w:rPr>
            <w:rStyle w:val="Hyperlink"/>
          </w:rPr>
          <w:t>УДОСТОВЕРЯВАНЕ НА ОТЧЕТИТЕ</w:t>
        </w:r>
        <w:r>
          <w:rPr>
            <w:webHidden/>
          </w:rPr>
          <w:tab/>
        </w:r>
        <w:r>
          <w:rPr>
            <w:webHidden/>
          </w:rPr>
          <w:fldChar w:fldCharType="begin"/>
        </w:r>
        <w:r>
          <w:rPr>
            <w:webHidden/>
          </w:rPr>
          <w:instrText xml:space="preserve"> PAGEREF _Toc16001690 \h </w:instrText>
        </w:r>
        <w:r>
          <w:rPr>
            <w:webHidden/>
          </w:rPr>
        </w:r>
        <w:r>
          <w:rPr>
            <w:webHidden/>
          </w:rPr>
          <w:fldChar w:fldCharType="separate"/>
        </w:r>
        <w:r>
          <w:rPr>
            <w:webHidden/>
          </w:rPr>
          <w:t>3</w:t>
        </w:r>
        <w:r>
          <w:rPr>
            <w:webHidden/>
          </w:rPr>
          <w:fldChar w:fldCharType="end"/>
        </w:r>
      </w:hyperlink>
    </w:p>
    <w:p>
      <w:pPr>
        <w:pStyle w:val="TOC1"/>
        <w:rPr>
          <w:rFonts w:asciiTheme="minorHAnsi" w:eastAsiaTheme="minorEastAsia" w:hAnsiTheme="minorHAnsi" w:cstheme="minorBidi"/>
          <w:color w:val="auto"/>
          <w:szCs w:val="22"/>
          <w:lang w:val="en-GB" w:eastAsia="en-GB" w:bidi="ar-SA"/>
        </w:rPr>
      </w:pPr>
      <w:hyperlink w:anchor="_Toc16001691" w:history="1">
        <w:r>
          <w:rPr>
            <w:rStyle w:val="Hyperlink"/>
          </w:rPr>
          <w:t>ИЗПЪЛНЕНИЕ И ОТЧИТАНЕ НА РЕСУРСИТЕ НА ЕФР</w:t>
        </w:r>
        <w:r>
          <w:rPr>
            <w:webHidden/>
          </w:rPr>
          <w:tab/>
        </w:r>
        <w:r>
          <w:rPr>
            <w:webHidden/>
          </w:rPr>
          <w:fldChar w:fldCharType="begin"/>
        </w:r>
        <w:r>
          <w:rPr>
            <w:webHidden/>
          </w:rPr>
          <w:instrText xml:space="preserve"> PAGEREF _Toc16001691 \h </w:instrText>
        </w:r>
        <w:r>
          <w:rPr>
            <w:webHidden/>
          </w:rPr>
        </w:r>
        <w:r>
          <w:rPr>
            <w:webHidden/>
          </w:rPr>
          <w:fldChar w:fldCharType="separate"/>
        </w:r>
        <w:r>
          <w:rPr>
            <w:webHidden/>
          </w:rPr>
          <w:t>4</w:t>
        </w:r>
        <w:r>
          <w:rPr>
            <w:webHidden/>
          </w:rPr>
          <w:fldChar w:fldCharType="end"/>
        </w:r>
      </w:hyperlink>
    </w:p>
    <w:p>
      <w:pPr>
        <w:pStyle w:val="TOC1"/>
        <w:rPr>
          <w:rFonts w:asciiTheme="minorHAnsi" w:eastAsiaTheme="minorEastAsia" w:hAnsiTheme="minorHAnsi" w:cstheme="minorBidi"/>
          <w:color w:val="auto"/>
          <w:szCs w:val="22"/>
          <w:lang w:val="en-GB" w:eastAsia="en-GB" w:bidi="ar-SA"/>
        </w:rPr>
      </w:pPr>
      <w:hyperlink w:anchor="_Toc16001692" w:history="1">
        <w:r>
          <w:rPr>
            <w:rStyle w:val="Hyperlink"/>
          </w:rPr>
          <w:t>СРЕДСТВА, УПРАВЛЯВАНИ ОТ ЕВРОПЕЙСКАТА КОМИСИЯ</w:t>
        </w:r>
        <w:r>
          <w:rPr>
            <w:webHidden/>
          </w:rPr>
          <w:tab/>
        </w:r>
        <w:r>
          <w:rPr>
            <w:webHidden/>
          </w:rPr>
          <w:fldChar w:fldCharType="begin"/>
        </w:r>
        <w:r>
          <w:rPr>
            <w:webHidden/>
          </w:rPr>
          <w:instrText xml:space="preserve"> PAGEREF _Toc16001692 \h </w:instrText>
        </w:r>
        <w:r>
          <w:rPr>
            <w:webHidden/>
          </w:rPr>
        </w:r>
        <w:r>
          <w:rPr>
            <w:webHidden/>
          </w:rPr>
          <w:fldChar w:fldCharType="separate"/>
        </w:r>
        <w:r>
          <w:rPr>
            <w:webHidden/>
          </w:rPr>
          <w:t>7</w:t>
        </w:r>
        <w:r>
          <w:rPr>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6001693" w:history="1">
        <w:r>
          <w:rPr>
            <w:rStyle w:val="Hyperlink"/>
            <w:noProof/>
          </w:rPr>
          <w:t>ФИНАНСОВИ ОТЧЕТИ НА ЕФР</w:t>
        </w:r>
        <w:r>
          <w:rPr>
            <w:noProof/>
            <w:webHidden/>
          </w:rPr>
          <w:tab/>
        </w:r>
        <w:r>
          <w:rPr>
            <w:noProof/>
            <w:webHidden/>
          </w:rPr>
          <w:fldChar w:fldCharType="begin"/>
        </w:r>
        <w:r>
          <w:rPr>
            <w:noProof/>
            <w:webHidden/>
          </w:rPr>
          <w:instrText xml:space="preserve"> PAGEREF _Toc16001693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6001694" w:history="1">
        <w:r>
          <w:rPr>
            <w:rStyle w:val="Hyperlink"/>
            <w:noProof/>
          </w:rPr>
          <w:t>ФИНАНСОВИ ОТЧЕТИ НА ДОВЕРИТЕЛНИТЕ ФОНДОВЕ НА ЕС, КОНСОЛИДИРАНИ В ЕФР</w:t>
        </w:r>
        <w:r>
          <w:rPr>
            <w:noProof/>
            <w:webHidden/>
          </w:rPr>
          <w:tab/>
        </w:r>
        <w:r>
          <w:rPr>
            <w:noProof/>
            <w:webHidden/>
          </w:rPr>
          <w:fldChar w:fldCharType="begin"/>
        </w:r>
        <w:r>
          <w:rPr>
            <w:noProof/>
            <w:webHidden/>
          </w:rPr>
          <w:instrText xml:space="preserve"> PAGEREF _Toc16001694 \h </w:instrText>
        </w:r>
        <w:r>
          <w:rPr>
            <w:noProof/>
            <w:webHidden/>
          </w:rPr>
        </w:r>
        <w:r>
          <w:rPr>
            <w:noProof/>
            <w:webHidden/>
          </w:rPr>
          <w:fldChar w:fldCharType="separate"/>
        </w:r>
        <w:r>
          <w:rPr>
            <w:noProof/>
            <w:webHidden/>
          </w:rPr>
          <w:t>48</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6001695" w:history="1">
        <w:r>
          <w:rPr>
            <w:rStyle w:val="Hyperlink"/>
            <w:noProof/>
          </w:rPr>
          <w:t>ОКОНЧАТЕЛНИ ГОДИШНИ ОТЧЕТИ НА ДОВЕРИТЕЛНИЯ ФОНД НА ЕС „БЕКУ“ ЗА 2018 г.</w:t>
        </w:r>
        <w:r>
          <w:rPr>
            <w:noProof/>
            <w:webHidden/>
          </w:rPr>
          <w:tab/>
        </w:r>
        <w:r>
          <w:rPr>
            <w:noProof/>
            <w:webHidden/>
          </w:rPr>
          <w:fldChar w:fldCharType="begin"/>
        </w:r>
        <w:r>
          <w:rPr>
            <w:noProof/>
            <w:webHidden/>
          </w:rPr>
          <w:instrText xml:space="preserve"> PAGEREF _Toc16001695 \h </w:instrText>
        </w:r>
        <w:r>
          <w:rPr>
            <w:noProof/>
            <w:webHidden/>
          </w:rPr>
        </w:r>
        <w:r>
          <w:rPr>
            <w:noProof/>
            <w:webHidden/>
          </w:rPr>
          <w:fldChar w:fldCharType="separate"/>
        </w:r>
        <w:r>
          <w:rPr>
            <w:noProof/>
            <w:webHidden/>
          </w:rPr>
          <w:t>49</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6001696" w:history="1">
        <w:r>
          <w:rPr>
            <w:rStyle w:val="Hyperlink"/>
            <w:noProof/>
          </w:rPr>
          <w:t>ОКОНЧАТЕЛНИ ГОДИШНИ ОТЧЕТИ НА ДОВЕРИТЕЛНИЯ ФОНД НА ЕС ЗА АФРИКА ЗА 2018 г.</w:t>
        </w:r>
        <w:r>
          <w:rPr>
            <w:noProof/>
            <w:webHidden/>
          </w:rPr>
          <w:tab/>
        </w:r>
        <w:r>
          <w:rPr>
            <w:noProof/>
            <w:webHidden/>
          </w:rPr>
          <w:fldChar w:fldCharType="begin"/>
        </w:r>
        <w:r>
          <w:rPr>
            <w:noProof/>
            <w:webHidden/>
          </w:rPr>
          <w:instrText xml:space="preserve"> PAGEREF _Toc16001696 \h </w:instrText>
        </w:r>
        <w:r>
          <w:rPr>
            <w:noProof/>
            <w:webHidden/>
          </w:rPr>
        </w:r>
        <w:r>
          <w:rPr>
            <w:noProof/>
            <w:webHidden/>
          </w:rPr>
          <w:fldChar w:fldCharType="separate"/>
        </w:r>
        <w:r>
          <w:rPr>
            <w:noProof/>
            <w:webHidden/>
          </w:rPr>
          <w:t>57</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6001697" w:history="1">
        <w:r>
          <w:rPr>
            <w:rStyle w:val="Hyperlink"/>
            <w:noProof/>
          </w:rPr>
          <w:t>КОНСОЛИДИРАНИ ФИНАНСОВИ ОТЧЕТИ НА ЕФР И ДОВЕРИТЕЛНИТЕ ФОНДОВЕ НА ЕС</w:t>
        </w:r>
        <w:r>
          <w:rPr>
            <w:noProof/>
            <w:webHidden/>
          </w:rPr>
          <w:tab/>
        </w:r>
        <w:r>
          <w:rPr>
            <w:noProof/>
            <w:webHidden/>
          </w:rPr>
          <w:fldChar w:fldCharType="begin"/>
        </w:r>
        <w:r>
          <w:rPr>
            <w:noProof/>
            <w:webHidden/>
          </w:rPr>
          <w:instrText xml:space="preserve"> PAGEREF _Toc16001697 \h </w:instrText>
        </w:r>
        <w:r>
          <w:rPr>
            <w:noProof/>
            <w:webHidden/>
          </w:rPr>
        </w:r>
        <w:r>
          <w:rPr>
            <w:noProof/>
            <w:webHidden/>
          </w:rPr>
          <w:fldChar w:fldCharType="separate"/>
        </w:r>
        <w:r>
          <w:rPr>
            <w:noProof/>
            <w:webHidden/>
          </w:rPr>
          <w:t>65</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6001698" w:history="1">
        <w:r>
          <w:rPr>
            <w:rStyle w:val="Hyperlink"/>
            <w:noProof/>
          </w:rPr>
          <w:t>ОТЧЕТ ЗА ФИНАНСОВОТО ИЗПЪЛНЕНИЕ НА ЕФР</w:t>
        </w:r>
        <w:r>
          <w:rPr>
            <w:noProof/>
            <w:webHidden/>
          </w:rPr>
          <w:tab/>
        </w:r>
        <w:r>
          <w:rPr>
            <w:noProof/>
            <w:webHidden/>
          </w:rPr>
          <w:fldChar w:fldCharType="begin"/>
        </w:r>
        <w:r>
          <w:rPr>
            <w:noProof/>
            <w:webHidden/>
          </w:rPr>
          <w:instrText xml:space="preserve"> PAGEREF _Toc16001698 \h </w:instrText>
        </w:r>
        <w:r>
          <w:rPr>
            <w:noProof/>
            <w:webHidden/>
          </w:rPr>
        </w:r>
        <w:r>
          <w:rPr>
            <w:noProof/>
            <w:webHidden/>
          </w:rPr>
          <w:fldChar w:fldCharType="separate"/>
        </w:r>
        <w:r>
          <w:rPr>
            <w:noProof/>
            <w:webHidden/>
          </w:rPr>
          <w:t>70</w:t>
        </w:r>
        <w:r>
          <w:rPr>
            <w:noProof/>
            <w:webHidden/>
          </w:rPr>
          <w:fldChar w:fldCharType="end"/>
        </w:r>
      </w:hyperlink>
    </w:p>
    <w:p>
      <w:pPr>
        <w:pStyle w:val="TOC1"/>
        <w:rPr>
          <w:rFonts w:asciiTheme="minorHAnsi" w:eastAsiaTheme="minorEastAsia" w:hAnsiTheme="minorHAnsi" w:cstheme="minorBidi"/>
          <w:color w:val="auto"/>
          <w:szCs w:val="22"/>
          <w:lang w:val="en-GB" w:eastAsia="en-GB" w:bidi="ar-SA"/>
        </w:rPr>
      </w:pPr>
      <w:hyperlink w:anchor="_Toc16001699" w:history="1">
        <w:r>
          <w:rPr>
            <w:rStyle w:val="Hyperlink"/>
          </w:rPr>
          <w:t>ГОДИШЕН ДОКЛАД ЗА ИЗПЪЛНЕНИЕТО — ФОНДОВЕ, УПРАВЛЯВАНИ ОТ ЕВРОПЕЙСКАТА ИНВЕСТИЦИОННА БАНКА</w:t>
        </w:r>
        <w:r>
          <w:rPr>
            <w:webHidden/>
          </w:rPr>
          <w:tab/>
        </w:r>
        <w:r>
          <w:rPr>
            <w:webHidden/>
          </w:rPr>
          <w:fldChar w:fldCharType="begin"/>
        </w:r>
        <w:r>
          <w:rPr>
            <w:webHidden/>
          </w:rPr>
          <w:instrText xml:space="preserve"> PAGEREF _Toc16001699 \h </w:instrText>
        </w:r>
        <w:r>
          <w:rPr>
            <w:webHidden/>
          </w:rPr>
        </w:r>
        <w:r>
          <w:rPr>
            <w:webHidden/>
          </w:rPr>
          <w:fldChar w:fldCharType="separate"/>
        </w:r>
        <w:r>
          <w:rPr>
            <w:webHidden/>
          </w:rPr>
          <w:t>87</w:t>
        </w:r>
        <w:r>
          <w:rPr>
            <w:webHidden/>
          </w:rPr>
          <w:fldChar w:fldCharType="end"/>
        </w:r>
      </w:hyperlink>
    </w:p>
    <w:p>
      <w:pPr>
        <w:pStyle w:val="TOC1"/>
        <w:rPr>
          <w:rFonts w:asciiTheme="minorHAnsi" w:eastAsiaTheme="minorEastAsia" w:hAnsiTheme="minorHAnsi" w:cstheme="minorBidi"/>
          <w:color w:val="auto"/>
          <w:szCs w:val="22"/>
        </w:rPr>
      </w:pPr>
      <w:r>
        <w:rPr>
          <w:color w:val="0000FF"/>
          <w:szCs w:val="22"/>
        </w:rPr>
        <w:fldChar w:fldCharType="end"/>
      </w:r>
      <w:r>
        <w:t xml:space="preserve"> </w:t>
      </w:r>
      <w:bookmarkEnd w:id="4"/>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tabs>
          <w:tab w:val="left" w:pos="6785"/>
        </w:tabs>
        <w:rPr>
          <w:noProof/>
        </w:rPr>
      </w:pPr>
      <w:r>
        <w:rPr>
          <w:noProof/>
        </w:rPr>
        <w:tab/>
      </w:r>
    </w:p>
    <w:p>
      <w:pPr>
        <w:tabs>
          <w:tab w:val="left" w:pos="6785"/>
        </w:tabs>
        <w:rPr>
          <w:noProof/>
        </w:rPr>
        <w:sectPr>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pPr>
      <w:r>
        <w:rPr>
          <w:noProof/>
        </w:rPr>
        <w:tab/>
      </w:r>
    </w:p>
    <w:p>
      <w:pPr>
        <w:pStyle w:val="FIRSTCHAPTERPAGE"/>
        <w:rPr>
          <w:noProof/>
        </w:rPr>
      </w:pPr>
      <w:bookmarkStart w:id="5" w:name="_Toc392246586"/>
      <w:bookmarkStart w:id="6" w:name="_Toc392246597"/>
      <w:bookmarkStart w:id="7" w:name="_Toc9959658"/>
      <w:bookmarkStart w:id="8" w:name="_Toc16001690"/>
      <w:bookmarkStart w:id="9" w:name="_DMBM_14137"/>
      <w:r>
        <w:rPr>
          <w:noProof/>
        </w:rPr>
        <w:lastRenderedPageBreak/>
        <w:t>УДОСТОВЕРЯВАНЕ НА ОТЧЕТИТЕ</w:t>
      </w:r>
      <w:bookmarkEnd w:id="5"/>
      <w:bookmarkEnd w:id="6"/>
      <w:bookmarkEnd w:id="7"/>
      <w:bookmarkEnd w:id="8"/>
    </w:p>
    <w:p>
      <w:pPr>
        <w:pStyle w:val="HEADERTABLE"/>
        <w:rPr>
          <w:noProof/>
        </w:rPr>
      </w:pPr>
    </w:p>
    <w:p>
      <w:pPr>
        <w:pStyle w:val="Textstand-alone"/>
      </w:pPr>
      <w:r>
        <w:t>Годишните отчети на Европейския фонд за развитие за 2018 г. са изготвени в съответствие с дял X от Финансовия регламент, приложим за 11-ия Европейски фонд за развитие, и в съответствие със счетоводните принципи, правила и методи, посочени в бележките към финансовите отчети.</w:t>
      </w:r>
    </w:p>
    <w:p>
      <w:pPr>
        <w:pStyle w:val="Textstand-alone"/>
      </w:pPr>
      <w:r>
        <w:t>Потвърждавам своята отговорност за изготвянето и представянето на годишните отчети на Европейския фонд за развитие в съответствие с член 18 от Финансовия регламент за 11-ия Европейски фонд за развитие.</w:t>
      </w:r>
    </w:p>
    <w:p>
      <w:pPr>
        <w:pStyle w:val="Textstand-alone"/>
      </w:pPr>
      <w:r>
        <w:t>От разпоредителя с бюджетни кредити и от ЕИБ, които гарантират нейната надеждност, получих цялата информация, необходима за изготвянето на отчетите, които показват активите и пасивите на Европейския фонд за развитие и изпълнението на бюджета.</w:t>
      </w:r>
    </w:p>
    <w:p>
      <w:pPr>
        <w:pStyle w:val="Textstand-alone"/>
      </w:pPr>
      <w:r>
        <w:t>С настоящото удостоверявам, че въз основа на тази информация и на проверките, които прецених за необходими, за да подпиша отчетите, имам достатъчна увереност, че отчетите дават вярна и точна представа за финансовото състояние на Европейския фонд за развитие във всички съществени аспекти.</w:t>
      </w:r>
    </w:p>
    <w:p>
      <w:pPr>
        <w:pStyle w:val="Textstand-alone"/>
      </w:pPr>
    </w:p>
    <w:p>
      <w:pPr>
        <w:pStyle w:val="Textstand-alone"/>
      </w:pPr>
    </w:p>
    <w:p>
      <w:pPr>
        <w:pStyle w:val="Textstand-alone"/>
      </w:pPr>
    </w:p>
    <w:p>
      <w:pPr>
        <w:pStyle w:val="SignatureRight"/>
        <w:rPr>
          <w:noProof/>
        </w:rPr>
      </w:pPr>
      <w:r>
        <w:rPr>
          <w:noProof/>
        </w:rPr>
        <w:t>Rosa ALDEA BUSQUETS</w:t>
      </w:r>
    </w:p>
    <w:p>
      <w:pPr>
        <w:pStyle w:val="SignatureRightBold"/>
        <w:rPr>
          <w:noProof/>
        </w:rPr>
      </w:pPr>
      <w:r>
        <w:rPr>
          <w:noProof/>
        </w:rPr>
        <w:t>Счетоводител</w:t>
      </w:r>
    </w:p>
    <w:p>
      <w:pPr>
        <w:pStyle w:val="SignatureRightItalic0"/>
        <w:rPr>
          <w:noProof/>
        </w:rPr>
        <w:sectPr>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r>
        <w:rPr>
          <w:noProof/>
        </w:rPr>
        <w:t>Юни 2019 г.</w:t>
      </w:r>
      <w:bookmarkEnd w:id="9"/>
    </w:p>
    <w:p>
      <w:pPr>
        <w:pStyle w:val="FIRSTCHAPTERPAGE"/>
        <w:spacing w:after="480"/>
        <w:rPr>
          <w:noProof/>
        </w:rPr>
      </w:pPr>
      <w:bookmarkStart w:id="10" w:name="_Toc9959659"/>
      <w:bookmarkStart w:id="11" w:name="_Toc16001691"/>
      <w:bookmarkStart w:id="12" w:name="_DMBM_14119"/>
      <w:r>
        <w:rPr>
          <w:noProof/>
        </w:rPr>
        <w:t>ИЗПЪЛНЕНИЕ И ОТЧИТАНЕ НА РЕСУРСИТЕ НА ЕФР</w:t>
      </w:r>
      <w:bookmarkEnd w:id="10"/>
      <w:bookmarkEnd w:id="11"/>
    </w:p>
    <w:p>
      <w:pPr>
        <w:pStyle w:val="HEADER1Part1"/>
        <w:numPr>
          <w:ilvl w:val="0"/>
          <w:numId w:val="5"/>
        </w:numPr>
        <w:rPr>
          <w:noProof/>
        </w:rPr>
      </w:pPr>
      <w:r>
        <w:rPr>
          <w:noProof/>
        </w:rPr>
        <w:t>КОНТЕКСТ</w:t>
      </w:r>
    </w:p>
    <w:p>
      <w:pPr>
        <w:pStyle w:val="Textstand-alone"/>
      </w:pPr>
      <w:r>
        <w:t>Европейският съюз (по-нататък наричан „ЕС“) поддържа отношения на сътрудничество с голям брой развиващи се страни. Главната цел е насърчаване на икономическото, социалното и екологичното развитие, като се наблегне главно на намаляването и премахването на бедността в дългосрочен план чрез предоставяне на помощ за развитие и техническа подкрепа на развиващите се страни. За постигане на това ЕС изготвя стратегии за сътрудничество заедно със страните партньори и мобилизира финансови ресурси за тяхното изпълнение. Ресурсите на Съюза, предназначени за сътрудничеството за развитие, произхождат от три източника:</w:t>
      </w:r>
    </w:p>
    <w:p>
      <w:pPr>
        <w:pStyle w:val="Textstand-aloneBulletpoint"/>
        <w:numPr>
          <w:ilvl w:val="0"/>
          <w:numId w:val="14"/>
        </w:numPr>
        <w:ind w:left="357" w:hanging="357"/>
        <w:rPr>
          <w:noProof/>
        </w:rPr>
      </w:pPr>
      <w:r>
        <w:rPr>
          <w:noProof/>
        </w:rPr>
        <w:t>бюджета на ЕС;</w:t>
      </w:r>
    </w:p>
    <w:p>
      <w:pPr>
        <w:pStyle w:val="Textstand-aloneBulletpoint"/>
        <w:numPr>
          <w:ilvl w:val="0"/>
          <w:numId w:val="14"/>
        </w:numPr>
        <w:ind w:left="357" w:hanging="357"/>
        <w:rPr>
          <w:noProof/>
        </w:rPr>
      </w:pPr>
      <w:r>
        <w:rPr>
          <w:noProof/>
        </w:rPr>
        <w:t>Европейския фонд за развитие;</w:t>
      </w:r>
    </w:p>
    <w:p>
      <w:pPr>
        <w:pStyle w:val="Textstand-aloneBulletpoint"/>
        <w:numPr>
          <w:ilvl w:val="0"/>
          <w:numId w:val="14"/>
        </w:numPr>
        <w:ind w:left="357" w:hanging="357"/>
        <w:rPr>
          <w:noProof/>
        </w:rPr>
      </w:pPr>
      <w:r>
        <w:rPr>
          <w:noProof/>
        </w:rPr>
        <w:t>Европейската инвестиционна банка.</w:t>
      </w:r>
    </w:p>
    <w:p>
      <w:pPr>
        <w:pStyle w:val="Textstand-alone"/>
      </w:pPr>
      <w:r>
        <w:t>Европейският фонд за развитие (по-нататък наричан „ЕФР“) е основният инструмент за предоставяне на помощ от ЕС за сътрудничество за развитие на страните от Африка, Карибите и Тихоокеанския басейн (по-нататък наричани „АКТБ“) и Отвъдморските страни и територии (по-нататък наричани „OCT“).</w:t>
      </w:r>
    </w:p>
    <w:p>
      <w:pPr>
        <w:pStyle w:val="Textstand-alone"/>
      </w:pPr>
      <w:r>
        <w:t>ЕФР не се финансира от бюджета на ЕС. Той е създаден по силата на вътрешно споразумение на представителите на държавите членки, заседаващи в рамките на Съвета, и се управлява от специален комитет. Европейската комисия (по-нататък наричана „Комисията“) отговаря за финансовото изпълнение на операциите, провеждани с ресурси на ЕФР. Европейската инвестиционна банка (по-нататък наричана „ЕИБ“) управлява Инвестиционния механизъм.</w:t>
      </w:r>
    </w:p>
    <w:p>
      <w:pPr>
        <w:pStyle w:val="Textstand-alone"/>
      </w:pPr>
      <w:r>
        <w:t>През периода 2014—2020 г. географската помощ, предоставяна на държавите от АКТБ и ОСТ, ще продължи да се финансира главно от ЕФР. Всеки ЕФР обикновено се сключва за срок от около пет години и се урежда от свой собствен финансов регламент, който изисква изготвяне на финансови отчети за всеки отделен ЕФР. Съответно финансовите отчети се изготвят поотделно за всеки ЕФР по отношение на частта, която се управлява от Комисията. Тези финансови отчети се представят и в консолидиран вид, за да се даде обща представа за финансовото състояние на средствата, за които е отговорна Комисията.</w:t>
      </w:r>
    </w:p>
    <w:p>
      <w:pPr>
        <w:pStyle w:val="Textstand-alone"/>
      </w:pPr>
      <w:r>
        <w:t>Вътрешното споразумение за създаване на 11-ия ЕФР беше подписано от участващите държави членки, заседаващи в рамките на Съвета, през юни 2013 г.</w:t>
      </w:r>
      <w:r>
        <w:rPr>
          <w:rStyle w:val="FootnoteReference"/>
        </w:rPr>
        <w:footnoteReference w:id="1"/>
      </w:r>
      <w:r>
        <w:t xml:space="preserve"> То влезе в сила на 1 март 2015 г. </w:t>
      </w:r>
    </w:p>
    <w:p>
      <w:pPr>
        <w:pStyle w:val="Textstand-alone"/>
      </w:pPr>
      <w:r>
        <w:t>През 2018 г. Съветът прие Финансовия регламент, приложим за 11-ия ЕФР</w:t>
      </w:r>
      <w:r>
        <w:rPr>
          <w:rStyle w:val="FootnoteReference"/>
        </w:rPr>
        <w:footnoteReference w:id="2"/>
      </w:r>
      <w:r>
        <w:t xml:space="preserve">. Той отмени предишния действащ регламент и се прилага за операции, финансирани от предходни ЕФР, без да се засягат съществуващите правни задължения. Настоящият регламент не се прилага по отношение на Инвестиционния механизъм в рамките на предходни ЕФР.  </w:t>
      </w:r>
    </w:p>
    <w:p>
      <w:pPr>
        <w:pStyle w:val="Textstand-alone"/>
        <w:spacing w:after="0"/>
      </w:pPr>
      <w:r>
        <w:t>В рамките на Споразумението за партньорство АКТБ—ЕС бе създаден Инвестиционният механизъм. Инвестиционният механизъм се управлява от ЕИБ и се използва за подкрепа на развитието на частния сектор в страните от АКТБ чрез финансиране главно, но не изключително, на частни инвестиции. Механизмът е създаден като подновяем фонд, така че плащанията по заеми да бъдат наново инвестирани в други операции, като по този начин механизмът се подновява самостоятелно и е финансово независим. Тъй като Инвестиционният механизъм не се управлява от Комисията, той не е консолидиран в първата част на годишните отчети — финансовите отчети за ЕФР и свързаните отчети за финансовото изпълнение. Финансовите отчети на Инвестиционния механизъм са включени в отделна част на годишните отчети (част II), за да се предостави пълна картина на помощта за развитие от ЕФР.</w:t>
      </w:r>
    </w:p>
    <w:p>
      <w:pPr>
        <w:rPr>
          <w:rFonts w:ascii="Verdana" w:hAnsi="Verdana"/>
          <w:noProof/>
          <w:sz w:val="18"/>
          <w:szCs w:val="18"/>
        </w:rPr>
      </w:pPr>
      <w:r>
        <w:rPr>
          <w:noProof/>
        </w:rPr>
        <w:br w:type="page"/>
      </w:r>
    </w:p>
    <w:p>
      <w:pPr>
        <w:pStyle w:val="HEADER1Part1"/>
        <w:numPr>
          <w:ilvl w:val="0"/>
          <w:numId w:val="5"/>
        </w:numPr>
        <w:rPr>
          <w:noProof/>
        </w:rPr>
      </w:pPr>
      <w:r>
        <w:rPr>
          <w:noProof/>
        </w:rPr>
        <w:t>КАК СЕ ФИНАНСИРА ЕФР?</w:t>
      </w:r>
    </w:p>
    <w:p>
      <w:pPr>
        <w:pStyle w:val="Textstand-alone"/>
      </w:pPr>
      <w:r>
        <w:t>На 2 декември 2013 г. Европейският съвет прие многогодишната финансова рамка за 2014—2020 г. В този контекст бе решено, че географското сътрудничество с държавите от АКТБ няма да бъде включено в бюджета на ЕС (бюджетирано), но ще продължи да се финансира чрез съществуващия междуправителствен ЕФР.</w:t>
      </w:r>
    </w:p>
    <w:p>
      <w:pPr>
        <w:pStyle w:val="Textstand-alone"/>
      </w:pPr>
      <w:r>
        <w:t>Бюджетът на ЕС е годишен и според бюджетния принцип на ежегодност разходите и приходите се планират и разрешават за една година. За разлика от бюджета на ЕС, ЕФР е фонд, който функционира на многогодишен принцип. Всеки ЕФР създава общ фонд за осъществяване на сътрудничество за развитие обикновено за период от пет години. Тъй като ресурсите са разпределят на многогодишна база, разпределените средства могат да се използват през целия период на ЕФР. Липсата на бюджетна ежегодност е подчертана в бюджетното отчитане, където бюджетното изпълнение на ЕФР се измерва спрямо общите средства.</w:t>
      </w:r>
    </w:p>
    <w:p>
      <w:pPr>
        <w:pStyle w:val="Textstand-alone"/>
      </w:pPr>
      <w:r>
        <w:t>Ресурсите на ЕФР са вноски „ad hoc“ от държавите — членки на ЕС. Приблизително на всеки пет години представителите на държавите членки се срещат на междуправителствено равнище, за да вземат решение за общата сума, която ще бъде предоставена на фонда, и да инспектират неговото изпълнение. След това Комисията управлява фонда в съответствие с политиката на Съюза за сътрудничество за развитие. Тъй като държавите членки имат свои собствени политики на развитие и помощ паралелно с политиката на Съюза, държавите членки трябва да координират своите политики с ЕС, за да се гарантира тяхната допълняемост.</w:t>
      </w:r>
    </w:p>
    <w:p>
      <w:pPr>
        <w:pStyle w:val="Textstand-alone"/>
      </w:pPr>
      <w:r>
        <w:t>В допълнение към посочените по-горе вноски, държавите членки могат също да сключват споразумения за съфинансиране или да правят доброволни финансови вноски за ЕФР.</w:t>
      </w:r>
    </w:p>
    <w:p>
      <w:pPr>
        <w:pStyle w:val="HEADER1Part1"/>
        <w:numPr>
          <w:ilvl w:val="0"/>
          <w:numId w:val="5"/>
        </w:numPr>
        <w:rPr>
          <w:noProof/>
        </w:rPr>
      </w:pPr>
      <w:r>
        <w:rPr>
          <w:noProof/>
        </w:rPr>
        <w:t>ОТЧИТАНЕ В КРАЯ НА ГОДИНАТА</w:t>
      </w:r>
    </w:p>
    <w:p>
      <w:pPr>
        <w:pStyle w:val="HEADER2Part1"/>
        <w:numPr>
          <w:ilvl w:val="1"/>
          <w:numId w:val="5"/>
        </w:numPr>
        <w:rPr>
          <w:noProof/>
        </w:rPr>
      </w:pPr>
      <w:r>
        <w:rPr>
          <w:noProof/>
        </w:rPr>
        <w:t>ГОДИШНИ ОТЧЕТИ</w:t>
      </w:r>
    </w:p>
    <w:p>
      <w:pPr>
        <w:pStyle w:val="Textstand-alone"/>
      </w:pPr>
      <w:r>
        <w:t xml:space="preserve">В съответствие с член 18, параграф 3 от Финансовия регламент за ЕФР финансовите отчети на ЕФР се изготвят въз основа на правилата за счетоводна отчетност на базата на текущо начисляване, които от своя страна се основават на международните счетоводни стандарти за публичния сектор (МССПС). Правилата за счетоводна отчетност, приети от счетоводителя на Комисията, се прилагат от всички институции и органи на ЕС, с цел да бъде установен единен набор от правила за счетоводна отчетност, оценка и представяне на отчетите с оглед на хармонизиране на процеса на съставяне на финансовите отчети. Тези правила на ЕС за счетоводна отчетност се прилагат и за ЕФР, като се взема предвид специфичното естество на неговите дейности. </w:t>
      </w:r>
    </w:p>
    <w:p>
      <w:pPr>
        <w:pStyle w:val="Textstand-alone"/>
      </w:pPr>
      <w:r>
        <w:t>Изготвянето на годишните отчети на ЕФР е поверено на счетоводителя на Комисията, който е счетоводителят на ЕФР. Той гарантира, че годишните отчети на ЕФР дават вярна и честна представа за финансовото състояние на ЕФР.</w:t>
      </w:r>
    </w:p>
    <w:p>
      <w:pPr>
        <w:pStyle w:val="Textstand-alone"/>
      </w:pPr>
      <w:r>
        <w:t>Годишните отчети са представени, както следва:</w:t>
      </w:r>
    </w:p>
    <w:p>
      <w:pPr>
        <w:pStyle w:val="SubTextIndentJustified"/>
        <w:rPr>
          <w:noProof/>
        </w:rPr>
      </w:pPr>
      <w:r>
        <w:rPr>
          <w:noProof/>
        </w:rPr>
        <w:t>Част I: Средства, управлявани от Комисията</w:t>
      </w:r>
    </w:p>
    <w:p>
      <w:pPr>
        <w:pStyle w:val="SubTextIndentJustified"/>
        <w:numPr>
          <w:ilvl w:val="0"/>
          <w:numId w:val="15"/>
        </w:numPr>
        <w:tabs>
          <w:tab w:val="clear" w:pos="0"/>
          <w:tab w:val="left" w:pos="1418"/>
        </w:tabs>
        <w:ind w:left="1440" w:hanging="447"/>
        <w:rPr>
          <w:noProof/>
        </w:rPr>
      </w:pPr>
      <w:r>
        <w:rPr>
          <w:noProof/>
        </w:rPr>
        <w:t>Финансови отчети и обяснителни бележки на ЕФР</w:t>
      </w:r>
    </w:p>
    <w:p>
      <w:pPr>
        <w:pStyle w:val="SubTextIndentJustified"/>
        <w:numPr>
          <w:ilvl w:val="0"/>
          <w:numId w:val="15"/>
        </w:numPr>
        <w:tabs>
          <w:tab w:val="clear" w:pos="0"/>
          <w:tab w:val="left" w:pos="1418"/>
        </w:tabs>
        <w:ind w:left="1440" w:hanging="447"/>
        <w:rPr>
          <w:noProof/>
        </w:rPr>
      </w:pPr>
      <w:r>
        <w:rPr>
          <w:noProof/>
        </w:rPr>
        <w:t>Финансови отчети на доверителните фондове на ЕС, консолидирани в ЕФР</w:t>
      </w:r>
    </w:p>
    <w:p>
      <w:pPr>
        <w:pStyle w:val="SubTextIndentJustified"/>
        <w:numPr>
          <w:ilvl w:val="0"/>
          <w:numId w:val="15"/>
        </w:numPr>
        <w:tabs>
          <w:tab w:val="clear" w:pos="0"/>
          <w:tab w:val="left" w:pos="1418"/>
        </w:tabs>
        <w:ind w:left="1440" w:hanging="447"/>
        <w:rPr>
          <w:noProof/>
        </w:rPr>
      </w:pPr>
      <w:r>
        <w:rPr>
          <w:noProof/>
        </w:rPr>
        <w:t>Консолидирани финансови отчети на ЕФР и доверителните фондове на ЕС</w:t>
      </w:r>
    </w:p>
    <w:p>
      <w:pPr>
        <w:pStyle w:val="SubTextIndentJustified"/>
        <w:numPr>
          <w:ilvl w:val="0"/>
          <w:numId w:val="15"/>
        </w:numPr>
        <w:tabs>
          <w:tab w:val="clear" w:pos="0"/>
          <w:tab w:val="left" w:pos="1418"/>
        </w:tabs>
        <w:ind w:left="1440" w:hanging="447"/>
        <w:rPr>
          <w:noProof/>
        </w:rPr>
      </w:pPr>
      <w:r>
        <w:rPr>
          <w:noProof/>
        </w:rPr>
        <w:t>Отчет за финансовото изпълнение на ЕФР</w:t>
      </w:r>
    </w:p>
    <w:p>
      <w:pPr>
        <w:pStyle w:val="SubTextIndentJustified"/>
        <w:rPr>
          <w:noProof/>
        </w:rPr>
      </w:pPr>
      <w:r>
        <w:rPr>
          <w:noProof/>
        </w:rPr>
        <w:t>Част II: Годишен доклад за изпълнението — фондове, управлявани от ЕИБ</w:t>
      </w:r>
    </w:p>
    <w:p>
      <w:pPr>
        <w:pStyle w:val="SubTextIndentJustified"/>
        <w:numPr>
          <w:ilvl w:val="0"/>
          <w:numId w:val="16"/>
        </w:numPr>
        <w:tabs>
          <w:tab w:val="clear" w:pos="418"/>
          <w:tab w:val="num" w:pos="1418"/>
        </w:tabs>
        <w:ind w:left="1418" w:hanging="425"/>
        <w:rPr>
          <w:noProof/>
        </w:rPr>
      </w:pPr>
      <w:r>
        <w:rPr>
          <w:noProof/>
        </w:rPr>
        <w:t>Финансови отчети на Инвестиционния механизъм</w:t>
      </w:r>
    </w:p>
    <w:p>
      <w:pPr>
        <w:pStyle w:val="Textstand-alone"/>
      </w:pPr>
      <w:r>
        <w:t xml:space="preserve">Частта „Финансови отчети на доверителните фондове на ЕС, консолидирани в ЕФР“ включва финансовите отчето на двата доверителни фонда, създадени по линия на ЕФР: доверителния фонд на ЕС „Беку“(вж. раздел „Финансови отчети на доверителния фонд на ЕС „Беку“) и Доверителния фонд на ЕС за Африка (вж. раздел „Финансови отчети на Доверителния фонд на ЕС за Африка“). Индивидуалните финансови отчети на доверителните фондове се изготвят под отговорността на счетоводителя на Комисията и подлежат на външен одит, извършван от частен одитор. Данните за доверителните фондове, включени в тези годишни отчети, са предварителни. </w:t>
      </w:r>
    </w:p>
    <w:p>
      <w:pPr>
        <w:pStyle w:val="Textstand-alone"/>
      </w:pPr>
      <w:r>
        <w:t>Годишните отчети на ЕФР трябва да бъдат приети от Комисията не по-късно от 31 юли на следващата година и представени на Европейския парламент и Съвета за освобождаване от отговорност.</w:t>
      </w:r>
    </w:p>
    <w:p>
      <w:pPr>
        <w:pStyle w:val="HEADER1Part1"/>
        <w:numPr>
          <w:ilvl w:val="0"/>
          <w:numId w:val="5"/>
        </w:numPr>
        <w:rPr>
          <w:noProof/>
        </w:rPr>
      </w:pPr>
      <w:r>
        <w:rPr>
          <w:noProof/>
        </w:rPr>
        <w:t>ОДИТ И ОСВОБОЖДАВАНЕ ОТ ОТГОВОРНОСТ ВЪВ ВРЪЗКА С ИЗПЪЛНЕНИЕТО НА БЮДЖЕТА</w:t>
      </w:r>
    </w:p>
    <w:p>
      <w:pPr>
        <w:pStyle w:val="HEADER2Part1"/>
        <w:numPr>
          <w:ilvl w:val="1"/>
          <w:numId w:val="5"/>
        </w:numPr>
        <w:rPr>
          <w:noProof/>
        </w:rPr>
      </w:pPr>
      <w:r>
        <w:rPr>
          <w:noProof/>
        </w:rPr>
        <w:t>ОДИТ</w:t>
      </w:r>
    </w:p>
    <w:p>
      <w:pPr>
        <w:pStyle w:val="Textstand-alone"/>
      </w:pPr>
      <w:r>
        <w:t>Годишните отчети на ЕФР се надзирават от неговия външен одитор — Европейската сметна палата (по-нататък наричана „ЕСП“), която изготвя годишен доклад за Европейския парламент и Съвета.</w:t>
      </w:r>
    </w:p>
    <w:p>
      <w:pPr>
        <w:pStyle w:val="HEADER2Part1"/>
        <w:numPr>
          <w:ilvl w:val="1"/>
          <w:numId w:val="5"/>
        </w:numPr>
        <w:rPr>
          <w:noProof/>
        </w:rPr>
      </w:pPr>
      <w:r>
        <w:rPr>
          <w:noProof/>
        </w:rPr>
        <w:t>ОСВОБОЖДАВАНЕ ОТ ОТГОВОРНОСТ ВЪВ ВРЪЗКА С ИЗПЪЛНЕНИЕТО НА БЮДЖЕТА</w:t>
      </w:r>
    </w:p>
    <w:p>
      <w:pPr>
        <w:pStyle w:val="Textstand-alone"/>
      </w:pPr>
      <w:r>
        <w:t>Окончателната проверка на финансовото изпълнение на ресурсите на ЕФР за дадена финансова година е освобождаването от отговорност. За ЕФР Европейският парламент е органът, който освобождава от отговорност във връзка с изпълнението на бюджета. Това означава, че след одита и приключването на годишните отчети Съветът е този, който прави препоръка, а Европейският парламент решава дали да освободи Комисията от отговорност във връзка с финансовото изпълнение на ресурсите на ЕФР за дадена финансова година. Това решение се основава на преглед на отчетите, на годишния доклад на ЕСП (който включва официална декларация за достоверност) и на отговорите на Комисията на въпроси и искания за допълнителна информация.</w:t>
      </w:r>
    </w:p>
    <w:bookmarkEnd w:id="12"/>
    <w:p>
      <w:pPr>
        <w:pStyle w:val="Textstand-alone"/>
        <w:sectPr>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pPr>
        <w:pStyle w:val="FinancialYear"/>
        <w:rPr>
          <w:noProof/>
        </w:rPr>
      </w:pPr>
      <w:bookmarkStart w:id="13" w:name="_DMBM_14078"/>
      <w:r>
        <w:rPr>
          <w:noProof/>
        </w:rPr>
        <w:t>ЕВРОПЕЙСКИ ФОНД ЗА РАЗВИТИЕ</w:t>
      </w:r>
    </w:p>
    <w:p>
      <w:pPr>
        <w:pStyle w:val="FinancialYear"/>
        <w:rPr>
          <w:noProof/>
        </w:rPr>
      </w:pPr>
      <w:r>
        <w:rPr>
          <w:noProof/>
        </w:rPr>
        <w:t>2018 ФИНАНСОВА ГОДИНА</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4" w:name="_Toc382842754"/>
      <w:bookmarkStart w:id="15" w:name="_Toc382842766"/>
      <w:bookmarkStart w:id="16" w:name="_Toc392246587"/>
      <w:bookmarkStart w:id="17" w:name="_Toc392246598"/>
      <w:bookmarkStart w:id="18" w:name="_Toc9959660"/>
      <w:bookmarkStart w:id="19" w:name="_Toc16001692"/>
      <w:r>
        <w:rPr>
          <w:noProof/>
        </w:rPr>
        <w:t>СРЕДСТВА, УПРАВЛЯВАНИ ОТ ЕВРОПЕЙСКАТА КОМИСИЯ</w:t>
      </w:r>
      <w:bookmarkEnd w:id="14"/>
      <w:bookmarkEnd w:id="15"/>
      <w:bookmarkEnd w:id="16"/>
      <w:bookmarkEnd w:id="17"/>
      <w:bookmarkEnd w:id="18"/>
      <w:bookmarkEnd w:id="19"/>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Следва да се отбележи, че поради закръглянето на цифрите в милиони евро някои финансови данни в таблиците по-долу може да изглеждат грешни.</w:t>
      </w:r>
    </w:p>
    <w:p>
      <w:pPr>
        <w:pStyle w:val="TOPHEADERNOTE"/>
        <w:rPr>
          <w:noProof/>
        </w:rPr>
        <w:sectPr>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pPr>
      <w:r>
        <w:rPr>
          <w:noProof/>
        </w:rPr>
        <w:t xml:space="preserve"> </w:t>
      </w:r>
      <w:bookmarkEnd w:id="13"/>
    </w:p>
    <w:p>
      <w:pPr>
        <w:pStyle w:val="HEADERTABLE"/>
        <w:rPr>
          <w:noProof/>
        </w:rPr>
      </w:pPr>
      <w:bookmarkStart w:id="20" w:name="_DMBM_14086"/>
      <w:r>
        <w:rPr>
          <w:noProof/>
        </w:rPr>
        <w:t>СЪДЪРЖАНИЕ</w:t>
      </w:r>
    </w:p>
    <w:p>
      <w:pPr>
        <w:pStyle w:val="HEADERTABLE"/>
        <w:rPr>
          <w:noProof/>
        </w:rPr>
      </w:pPr>
    </w:p>
    <w:p>
      <w:pPr>
        <w:pStyle w:val="TOC1"/>
        <w:rPr>
          <w:rFonts w:asciiTheme="minorHAnsi" w:eastAsiaTheme="minorEastAsia" w:hAnsiTheme="minorHAnsi" w:cstheme="minorBidi"/>
          <w:color w:val="auto"/>
          <w:szCs w:val="22"/>
          <w:lang w:val="en-GB" w:eastAsia="en-GB" w:bidi="ar-SA"/>
        </w:rPr>
      </w:pPr>
      <w:r>
        <w:rPr>
          <w:b/>
          <w:szCs w:val="22"/>
        </w:rPr>
        <w:fldChar w:fldCharType="begin"/>
      </w:r>
      <w:r>
        <w:rPr>
          <w:szCs w:val="22"/>
        </w:rPr>
        <w:instrText xml:space="preserve"> TOC \o "1-2" \h \z \t "FIRST CHAPTER_PAGE_1;1;HEADER_TITLE_1;2" </w:instrText>
      </w:r>
      <w:r>
        <w:rPr>
          <w:b/>
          <w:szCs w:val="22"/>
        </w:rPr>
        <w:fldChar w:fldCharType="separate"/>
      </w:r>
      <w:hyperlink w:anchor="_Toc17797616" w:history="1">
        <w:r>
          <w:rPr>
            <w:rStyle w:val="Hyperlink"/>
          </w:rPr>
          <w:t>ФИНАНСОВИ ОТЧЕТИ НА ЕФР</w:t>
        </w:r>
        <w:r>
          <w:rPr>
            <w:webHidden/>
          </w:rPr>
          <w:tab/>
        </w:r>
        <w:r>
          <w:rPr>
            <w:webHidden/>
          </w:rPr>
          <w:fldChar w:fldCharType="begin"/>
        </w:r>
        <w:r>
          <w:rPr>
            <w:webHidden/>
          </w:rPr>
          <w:instrText xml:space="preserve"> PAGEREF _Toc17797616 \h </w:instrText>
        </w:r>
        <w:r>
          <w:rPr>
            <w:webHidden/>
          </w:rPr>
        </w:r>
        <w:r>
          <w:rPr>
            <w:webHidden/>
          </w:rPr>
          <w:fldChar w:fldCharType="separate"/>
        </w:r>
        <w:r>
          <w:rPr>
            <w:webHidden/>
          </w:rPr>
          <w:t>9</w:t>
        </w:r>
        <w:r>
          <w:rPr>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17" w:history="1">
        <w:r>
          <w:rPr>
            <w:rStyle w:val="Hyperlink"/>
            <w:noProof/>
          </w:rPr>
          <w:t>СЧЕТОВОДЕН БАЛАНС НА ЕФР</w:t>
        </w:r>
        <w:r>
          <w:rPr>
            <w:noProof/>
            <w:webHidden/>
          </w:rPr>
          <w:tab/>
        </w:r>
        <w:r>
          <w:rPr>
            <w:noProof/>
            <w:webHidden/>
          </w:rPr>
          <w:fldChar w:fldCharType="begin"/>
        </w:r>
        <w:r>
          <w:rPr>
            <w:noProof/>
            <w:webHidden/>
          </w:rPr>
          <w:instrText xml:space="preserve"> PAGEREF _Toc17797617 \h </w:instrText>
        </w:r>
        <w:r>
          <w:rPr>
            <w:noProof/>
            <w:webHidden/>
          </w:rPr>
        </w:r>
        <w:r>
          <w:rPr>
            <w:noProof/>
            <w:webHidden/>
          </w:rPr>
          <w:fldChar w:fldCharType="separate"/>
        </w:r>
        <w:r>
          <w:rPr>
            <w:noProof/>
            <w:webHidden/>
          </w:rPr>
          <w:t>10</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18" w:history="1">
        <w:r>
          <w:rPr>
            <w:rStyle w:val="Hyperlink"/>
            <w:noProof/>
          </w:rPr>
          <w:t>ОТЧЕТ ЗА ФИНАНСОВИЯ РЕЗУЛТАТ НА ЕФР</w:t>
        </w:r>
        <w:r>
          <w:rPr>
            <w:noProof/>
            <w:webHidden/>
          </w:rPr>
          <w:tab/>
        </w:r>
        <w:r>
          <w:rPr>
            <w:noProof/>
            <w:webHidden/>
          </w:rPr>
          <w:fldChar w:fldCharType="begin"/>
        </w:r>
        <w:r>
          <w:rPr>
            <w:noProof/>
            <w:webHidden/>
          </w:rPr>
          <w:instrText xml:space="preserve"> PAGEREF _Toc17797618 \h </w:instrText>
        </w:r>
        <w:r>
          <w:rPr>
            <w:noProof/>
            <w:webHidden/>
          </w:rPr>
        </w:r>
        <w:r>
          <w:rPr>
            <w:noProof/>
            <w:webHidden/>
          </w:rPr>
          <w:fldChar w:fldCharType="separate"/>
        </w:r>
        <w:r>
          <w:rPr>
            <w:noProof/>
            <w:webHidden/>
          </w:rPr>
          <w:t>11</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19" w:history="1">
        <w:r>
          <w:rPr>
            <w:rStyle w:val="Hyperlink"/>
            <w:noProof/>
          </w:rPr>
          <w:t>ОТЧЕТ ЗА ПАРИЧНИТЕ ПОТОЦИ НА ЕФР</w:t>
        </w:r>
        <w:r>
          <w:rPr>
            <w:noProof/>
            <w:webHidden/>
          </w:rPr>
          <w:tab/>
        </w:r>
        <w:r>
          <w:rPr>
            <w:noProof/>
            <w:webHidden/>
          </w:rPr>
          <w:fldChar w:fldCharType="begin"/>
        </w:r>
        <w:r>
          <w:rPr>
            <w:noProof/>
            <w:webHidden/>
          </w:rPr>
          <w:instrText xml:space="preserve"> PAGEREF _Toc17797619 \h </w:instrText>
        </w:r>
        <w:r>
          <w:rPr>
            <w:noProof/>
            <w:webHidden/>
          </w:rPr>
        </w:r>
        <w:r>
          <w:rPr>
            <w:noProof/>
            <w:webHidden/>
          </w:rPr>
          <w:fldChar w:fldCharType="separate"/>
        </w:r>
        <w:r>
          <w:rPr>
            <w:noProof/>
            <w:webHidden/>
          </w:rPr>
          <w:t>12</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20" w:history="1">
        <w:r>
          <w:rPr>
            <w:rStyle w:val="Hyperlink"/>
            <w:noProof/>
          </w:rPr>
          <w:t>ОТЧЕТ ЗА ПРОМЕНИТЕ В НЕТНИТЕ АКТИВИ НА ЕФР</w:t>
        </w:r>
        <w:r>
          <w:rPr>
            <w:noProof/>
            <w:webHidden/>
          </w:rPr>
          <w:tab/>
        </w:r>
        <w:r>
          <w:rPr>
            <w:noProof/>
            <w:webHidden/>
          </w:rPr>
          <w:fldChar w:fldCharType="begin"/>
        </w:r>
        <w:r>
          <w:rPr>
            <w:noProof/>
            <w:webHidden/>
          </w:rPr>
          <w:instrText xml:space="preserve"> PAGEREF _Toc17797620 \h </w:instrText>
        </w:r>
        <w:r>
          <w:rPr>
            <w:noProof/>
            <w:webHidden/>
          </w:rPr>
        </w:r>
        <w:r>
          <w:rPr>
            <w:noProof/>
            <w:webHidden/>
          </w:rPr>
          <w:fldChar w:fldCharType="separate"/>
        </w:r>
        <w:r>
          <w:rPr>
            <w:noProof/>
            <w:webHidden/>
          </w:rPr>
          <w:t>13</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21" w:history="1">
        <w:r>
          <w:rPr>
            <w:rStyle w:val="Hyperlink"/>
            <w:noProof/>
          </w:rPr>
          <w:t>СЧЕТОВОДЕН БАЛАНС — ПО ЕФР</w:t>
        </w:r>
        <w:r>
          <w:rPr>
            <w:noProof/>
            <w:webHidden/>
          </w:rPr>
          <w:tab/>
        </w:r>
        <w:r>
          <w:rPr>
            <w:noProof/>
            <w:webHidden/>
          </w:rPr>
          <w:fldChar w:fldCharType="begin"/>
        </w:r>
        <w:r>
          <w:rPr>
            <w:noProof/>
            <w:webHidden/>
          </w:rPr>
          <w:instrText xml:space="preserve"> PAGEREF _Toc17797621 \h </w:instrText>
        </w:r>
        <w:r>
          <w:rPr>
            <w:noProof/>
            <w:webHidden/>
          </w:rPr>
        </w:r>
        <w:r>
          <w:rPr>
            <w:noProof/>
            <w:webHidden/>
          </w:rPr>
          <w:fldChar w:fldCharType="separate"/>
        </w:r>
        <w:r>
          <w:rPr>
            <w:noProof/>
            <w:webHidden/>
          </w:rPr>
          <w:t>14</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22" w:history="1">
        <w:r>
          <w:rPr>
            <w:rStyle w:val="Hyperlink"/>
            <w:noProof/>
          </w:rPr>
          <w:t>ОТЧЕТ ЗА ФИНАНСОВИЯ РЕЗУЛТАТ ПО ЕФР</w:t>
        </w:r>
        <w:r>
          <w:rPr>
            <w:noProof/>
            <w:webHidden/>
          </w:rPr>
          <w:tab/>
        </w:r>
        <w:r>
          <w:rPr>
            <w:noProof/>
            <w:webHidden/>
          </w:rPr>
          <w:fldChar w:fldCharType="begin"/>
        </w:r>
        <w:r>
          <w:rPr>
            <w:noProof/>
            <w:webHidden/>
          </w:rPr>
          <w:instrText xml:space="preserve"> PAGEREF _Toc17797622 \h </w:instrText>
        </w:r>
        <w:r>
          <w:rPr>
            <w:noProof/>
            <w:webHidden/>
          </w:rPr>
        </w:r>
        <w:r>
          <w:rPr>
            <w:noProof/>
            <w:webHidden/>
          </w:rPr>
          <w:fldChar w:fldCharType="separate"/>
        </w:r>
        <w:r>
          <w:rPr>
            <w:noProof/>
            <w:webHidden/>
          </w:rPr>
          <w:t>15</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23" w:history="1">
        <w:r>
          <w:rPr>
            <w:rStyle w:val="Hyperlink"/>
            <w:noProof/>
          </w:rPr>
          <w:t>ОТЧЕТ ЗА ПРОМЕНИТЕ В НЕТНИТЕ АКТИВИ ПО ЕФР</w:t>
        </w:r>
        <w:r>
          <w:rPr>
            <w:noProof/>
            <w:webHidden/>
          </w:rPr>
          <w:tab/>
        </w:r>
        <w:r>
          <w:rPr>
            <w:noProof/>
            <w:webHidden/>
          </w:rPr>
          <w:fldChar w:fldCharType="begin"/>
        </w:r>
        <w:r>
          <w:rPr>
            <w:noProof/>
            <w:webHidden/>
          </w:rPr>
          <w:instrText xml:space="preserve"> PAGEREF _Toc17797623 \h </w:instrText>
        </w:r>
        <w:r>
          <w:rPr>
            <w:noProof/>
            <w:webHidden/>
          </w:rPr>
        </w:r>
        <w:r>
          <w:rPr>
            <w:noProof/>
            <w:webHidden/>
          </w:rPr>
          <w:fldChar w:fldCharType="separate"/>
        </w:r>
        <w:r>
          <w:rPr>
            <w:noProof/>
            <w:webHidden/>
          </w:rPr>
          <w:t>16</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24" w:history="1">
        <w:r>
          <w:rPr>
            <w:rStyle w:val="Hyperlink"/>
            <w:noProof/>
          </w:rPr>
          <w:t>БЕЛЕЖКИ КЪМ ФИНАНСОВИТЕ ОТЧЕТИ НА ЕФР</w:t>
        </w:r>
        <w:r>
          <w:rPr>
            <w:noProof/>
            <w:webHidden/>
          </w:rPr>
          <w:tab/>
        </w:r>
        <w:r>
          <w:rPr>
            <w:noProof/>
            <w:webHidden/>
          </w:rPr>
          <w:fldChar w:fldCharType="begin"/>
        </w:r>
        <w:r>
          <w:rPr>
            <w:noProof/>
            <w:webHidden/>
          </w:rPr>
          <w:instrText xml:space="preserve"> PAGEREF _Toc17797624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color w:val="auto"/>
          <w:szCs w:val="22"/>
          <w:lang w:val="en-GB" w:eastAsia="en-GB" w:bidi="ar-SA"/>
        </w:rPr>
      </w:pPr>
      <w:hyperlink w:anchor="_Toc17797625" w:history="1">
        <w:r>
          <w:rPr>
            <w:rStyle w:val="Hyperlink"/>
          </w:rPr>
          <w:t>ФИНАНСОВИ ОТЧЕТИ НА ДОВЕРИТЕЛНИТЕ ФОНДОВЕ НА ЕС, КОНСОЛИДИРАНИ В ЕФР</w:t>
        </w:r>
        <w:r>
          <w:rPr>
            <w:webHidden/>
          </w:rPr>
          <w:tab/>
        </w:r>
        <w:r>
          <w:rPr>
            <w:webHidden/>
          </w:rPr>
          <w:fldChar w:fldCharType="begin"/>
        </w:r>
        <w:r>
          <w:rPr>
            <w:webHidden/>
          </w:rPr>
          <w:instrText xml:space="preserve"> PAGEREF _Toc17797625 \h </w:instrText>
        </w:r>
        <w:r>
          <w:rPr>
            <w:webHidden/>
          </w:rPr>
        </w:r>
        <w:r>
          <w:rPr>
            <w:webHidden/>
          </w:rPr>
          <w:fldChar w:fldCharType="separate"/>
        </w:r>
        <w:r>
          <w:rPr>
            <w:webHidden/>
          </w:rPr>
          <w:t>48</w:t>
        </w:r>
        <w:r>
          <w:rPr>
            <w:webHidden/>
          </w:rPr>
          <w:fldChar w:fldCharType="end"/>
        </w:r>
      </w:hyperlink>
    </w:p>
    <w:p>
      <w:pPr>
        <w:pStyle w:val="TOC1"/>
        <w:rPr>
          <w:rFonts w:asciiTheme="minorHAnsi" w:eastAsiaTheme="minorEastAsia" w:hAnsiTheme="minorHAnsi" w:cstheme="minorBidi"/>
          <w:color w:val="auto"/>
          <w:szCs w:val="22"/>
          <w:lang w:val="en-GB" w:eastAsia="en-GB" w:bidi="ar-SA"/>
        </w:rPr>
      </w:pPr>
      <w:hyperlink w:anchor="_Toc17797626" w:history="1">
        <w:r>
          <w:rPr>
            <w:rStyle w:val="Hyperlink"/>
          </w:rPr>
          <w:t>ОКОНЧАТЕЛНИ ГОДИШНИ ОТЧЕТИ НА ДОВЕРИТЕЛНИЯ ФОНД НА ЕС „БЕКУ“ ЗА 2018 г.</w:t>
        </w:r>
        <w:r>
          <w:rPr>
            <w:webHidden/>
          </w:rPr>
          <w:tab/>
        </w:r>
        <w:r>
          <w:rPr>
            <w:webHidden/>
          </w:rPr>
          <w:fldChar w:fldCharType="begin"/>
        </w:r>
        <w:r>
          <w:rPr>
            <w:webHidden/>
          </w:rPr>
          <w:instrText xml:space="preserve"> PAGEREF _Toc17797626 \h </w:instrText>
        </w:r>
        <w:r>
          <w:rPr>
            <w:webHidden/>
          </w:rPr>
        </w:r>
        <w:r>
          <w:rPr>
            <w:webHidden/>
          </w:rPr>
          <w:fldChar w:fldCharType="separate"/>
        </w:r>
        <w:r>
          <w:rPr>
            <w:webHidden/>
          </w:rPr>
          <w:t>49</w:t>
        </w:r>
        <w:r>
          <w:rPr>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27" w:history="1">
        <w:r>
          <w:rPr>
            <w:rStyle w:val="Hyperlink"/>
            <w:noProof/>
          </w:rPr>
          <w:t>СЧЕТОВОДЕН БАЛАНС</w:t>
        </w:r>
        <w:r>
          <w:rPr>
            <w:noProof/>
            <w:webHidden/>
          </w:rPr>
          <w:tab/>
        </w:r>
        <w:r>
          <w:rPr>
            <w:noProof/>
            <w:webHidden/>
          </w:rPr>
          <w:fldChar w:fldCharType="begin"/>
        </w:r>
        <w:r>
          <w:rPr>
            <w:noProof/>
            <w:webHidden/>
          </w:rPr>
          <w:instrText xml:space="preserve"> PAGEREF _Toc17797627 \h </w:instrText>
        </w:r>
        <w:r>
          <w:rPr>
            <w:noProof/>
            <w:webHidden/>
          </w:rPr>
        </w:r>
        <w:r>
          <w:rPr>
            <w:noProof/>
            <w:webHidden/>
          </w:rPr>
          <w:fldChar w:fldCharType="separate"/>
        </w:r>
        <w:r>
          <w:rPr>
            <w:noProof/>
            <w:webHidden/>
          </w:rPr>
          <w:t>53</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28" w:history="1">
        <w:r>
          <w:rPr>
            <w:rStyle w:val="Hyperlink"/>
            <w:noProof/>
          </w:rPr>
          <w:t>ОТЧЕТ ЗА ФИНАНСОВИЯ РЕЗУЛТАТ</w:t>
        </w:r>
        <w:r>
          <w:rPr>
            <w:noProof/>
            <w:webHidden/>
          </w:rPr>
          <w:tab/>
        </w:r>
        <w:r>
          <w:rPr>
            <w:noProof/>
            <w:webHidden/>
          </w:rPr>
          <w:fldChar w:fldCharType="begin"/>
        </w:r>
        <w:r>
          <w:rPr>
            <w:noProof/>
            <w:webHidden/>
          </w:rPr>
          <w:instrText xml:space="preserve"> PAGEREF _Toc17797628 \h </w:instrText>
        </w:r>
        <w:r>
          <w:rPr>
            <w:noProof/>
            <w:webHidden/>
          </w:rPr>
        </w:r>
        <w:r>
          <w:rPr>
            <w:noProof/>
            <w:webHidden/>
          </w:rPr>
          <w:fldChar w:fldCharType="separate"/>
        </w:r>
        <w:r>
          <w:rPr>
            <w:noProof/>
            <w:webHidden/>
          </w:rPr>
          <w:t>54</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29" w:history="1">
        <w:r>
          <w:rPr>
            <w:rStyle w:val="Hyperlink"/>
            <w:noProof/>
          </w:rPr>
          <w:t>ОТЧЕТ ЗА ПАРИЧНИТЕ ПОТОЦИ</w:t>
        </w:r>
        <w:r>
          <w:rPr>
            <w:noProof/>
            <w:webHidden/>
          </w:rPr>
          <w:tab/>
        </w:r>
        <w:r>
          <w:rPr>
            <w:noProof/>
            <w:webHidden/>
          </w:rPr>
          <w:fldChar w:fldCharType="begin"/>
        </w:r>
        <w:r>
          <w:rPr>
            <w:noProof/>
            <w:webHidden/>
          </w:rPr>
          <w:instrText xml:space="preserve"> PAGEREF _Toc17797629 \h </w:instrText>
        </w:r>
        <w:r>
          <w:rPr>
            <w:noProof/>
            <w:webHidden/>
          </w:rPr>
        </w:r>
        <w:r>
          <w:rPr>
            <w:noProof/>
            <w:webHidden/>
          </w:rPr>
          <w:fldChar w:fldCharType="separate"/>
        </w:r>
        <w:r>
          <w:rPr>
            <w:noProof/>
            <w:webHidden/>
          </w:rPr>
          <w:t>55</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30" w:history="1">
        <w:r>
          <w:rPr>
            <w:rStyle w:val="Hyperlink"/>
            <w:noProof/>
          </w:rPr>
          <w:t>ОТЧЕТ ЗА ПРОМЕНИТЕ В НЕТНИТЕ АКТИВИ</w:t>
        </w:r>
        <w:r>
          <w:rPr>
            <w:noProof/>
            <w:webHidden/>
          </w:rPr>
          <w:tab/>
        </w:r>
        <w:r>
          <w:rPr>
            <w:noProof/>
            <w:webHidden/>
          </w:rPr>
          <w:fldChar w:fldCharType="begin"/>
        </w:r>
        <w:r>
          <w:rPr>
            <w:noProof/>
            <w:webHidden/>
          </w:rPr>
          <w:instrText xml:space="preserve"> PAGEREF _Toc17797630 \h </w:instrText>
        </w:r>
        <w:r>
          <w:rPr>
            <w:noProof/>
            <w:webHidden/>
          </w:rPr>
        </w:r>
        <w:r>
          <w:rPr>
            <w:noProof/>
            <w:webHidden/>
          </w:rPr>
          <w:fldChar w:fldCharType="separate"/>
        </w:r>
        <w:r>
          <w:rPr>
            <w:noProof/>
            <w:webHidden/>
          </w:rPr>
          <w:t>56</w:t>
        </w:r>
        <w:r>
          <w:rPr>
            <w:noProof/>
            <w:webHidden/>
          </w:rPr>
          <w:fldChar w:fldCharType="end"/>
        </w:r>
      </w:hyperlink>
    </w:p>
    <w:p>
      <w:pPr>
        <w:pStyle w:val="TOC1"/>
        <w:rPr>
          <w:rFonts w:asciiTheme="minorHAnsi" w:eastAsiaTheme="minorEastAsia" w:hAnsiTheme="minorHAnsi" w:cstheme="minorBidi"/>
          <w:color w:val="auto"/>
          <w:szCs w:val="22"/>
          <w:lang w:val="en-GB" w:eastAsia="en-GB" w:bidi="ar-SA"/>
        </w:rPr>
      </w:pPr>
      <w:hyperlink w:anchor="_Toc17797631" w:history="1">
        <w:r>
          <w:rPr>
            <w:rStyle w:val="Hyperlink"/>
          </w:rPr>
          <w:t>ОКОНЧАТЕЛНИ ГОДИШНИ ОТЧЕТИ НА ДОВЕРИТЕЛНИЯ ФОНД НА ЕС ЗА АФРИКА ЗА 2018 г.</w:t>
        </w:r>
        <w:r>
          <w:rPr>
            <w:webHidden/>
          </w:rPr>
          <w:tab/>
        </w:r>
        <w:r>
          <w:rPr>
            <w:webHidden/>
          </w:rPr>
          <w:fldChar w:fldCharType="begin"/>
        </w:r>
        <w:r>
          <w:rPr>
            <w:webHidden/>
          </w:rPr>
          <w:instrText xml:space="preserve"> PAGEREF _Toc17797631 \h </w:instrText>
        </w:r>
        <w:r>
          <w:rPr>
            <w:webHidden/>
          </w:rPr>
        </w:r>
        <w:r>
          <w:rPr>
            <w:webHidden/>
          </w:rPr>
          <w:fldChar w:fldCharType="separate"/>
        </w:r>
        <w:r>
          <w:rPr>
            <w:webHidden/>
          </w:rPr>
          <w:t>57</w:t>
        </w:r>
        <w:r>
          <w:rPr>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32" w:history="1">
        <w:r>
          <w:rPr>
            <w:rStyle w:val="Hyperlink"/>
            <w:noProof/>
          </w:rPr>
          <w:t>СЧЕТОВОДЕН БАЛАНС</w:t>
        </w:r>
        <w:r>
          <w:rPr>
            <w:noProof/>
            <w:webHidden/>
          </w:rPr>
          <w:tab/>
        </w:r>
        <w:r>
          <w:rPr>
            <w:noProof/>
            <w:webHidden/>
          </w:rPr>
          <w:fldChar w:fldCharType="begin"/>
        </w:r>
        <w:r>
          <w:rPr>
            <w:noProof/>
            <w:webHidden/>
          </w:rPr>
          <w:instrText xml:space="preserve"> PAGEREF _Toc17797632 \h </w:instrText>
        </w:r>
        <w:r>
          <w:rPr>
            <w:noProof/>
            <w:webHidden/>
          </w:rPr>
        </w:r>
        <w:r>
          <w:rPr>
            <w:noProof/>
            <w:webHidden/>
          </w:rPr>
          <w:fldChar w:fldCharType="separate"/>
        </w:r>
        <w:r>
          <w:rPr>
            <w:noProof/>
            <w:webHidden/>
          </w:rPr>
          <w:t>61</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33" w:history="1">
        <w:r>
          <w:rPr>
            <w:rStyle w:val="Hyperlink"/>
            <w:noProof/>
          </w:rPr>
          <w:t>ОТЧЕТ ЗА ФИНАНСОВИЯ РЕЗУЛТАТ</w:t>
        </w:r>
        <w:r>
          <w:rPr>
            <w:noProof/>
            <w:webHidden/>
          </w:rPr>
          <w:tab/>
        </w:r>
        <w:r>
          <w:rPr>
            <w:noProof/>
            <w:webHidden/>
          </w:rPr>
          <w:fldChar w:fldCharType="begin"/>
        </w:r>
        <w:r>
          <w:rPr>
            <w:noProof/>
            <w:webHidden/>
          </w:rPr>
          <w:instrText xml:space="preserve"> PAGEREF _Toc17797633 \h </w:instrText>
        </w:r>
        <w:r>
          <w:rPr>
            <w:noProof/>
            <w:webHidden/>
          </w:rPr>
        </w:r>
        <w:r>
          <w:rPr>
            <w:noProof/>
            <w:webHidden/>
          </w:rPr>
          <w:fldChar w:fldCharType="separate"/>
        </w:r>
        <w:r>
          <w:rPr>
            <w:noProof/>
            <w:webHidden/>
          </w:rPr>
          <w:t>62</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34" w:history="1">
        <w:r>
          <w:rPr>
            <w:rStyle w:val="Hyperlink"/>
            <w:noProof/>
          </w:rPr>
          <w:t>ОТЧЕТ ЗА ПАРИЧНИТЕ ПОТОЦИ</w:t>
        </w:r>
        <w:r>
          <w:rPr>
            <w:noProof/>
            <w:webHidden/>
          </w:rPr>
          <w:tab/>
        </w:r>
        <w:r>
          <w:rPr>
            <w:noProof/>
            <w:webHidden/>
          </w:rPr>
          <w:fldChar w:fldCharType="begin"/>
        </w:r>
        <w:r>
          <w:rPr>
            <w:noProof/>
            <w:webHidden/>
          </w:rPr>
          <w:instrText xml:space="preserve"> PAGEREF _Toc17797634 \h </w:instrText>
        </w:r>
        <w:r>
          <w:rPr>
            <w:noProof/>
            <w:webHidden/>
          </w:rPr>
        </w:r>
        <w:r>
          <w:rPr>
            <w:noProof/>
            <w:webHidden/>
          </w:rPr>
          <w:fldChar w:fldCharType="separate"/>
        </w:r>
        <w:r>
          <w:rPr>
            <w:noProof/>
            <w:webHidden/>
          </w:rPr>
          <w:t>63</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35" w:history="1">
        <w:r>
          <w:rPr>
            <w:rStyle w:val="Hyperlink"/>
            <w:noProof/>
          </w:rPr>
          <w:t>ОТЧЕТ ЗА ПРОМЕНИТЕ В НЕТНИТЕ АКТИВИ</w:t>
        </w:r>
        <w:r>
          <w:rPr>
            <w:noProof/>
            <w:webHidden/>
          </w:rPr>
          <w:tab/>
        </w:r>
        <w:r>
          <w:rPr>
            <w:noProof/>
            <w:webHidden/>
          </w:rPr>
          <w:fldChar w:fldCharType="begin"/>
        </w:r>
        <w:r>
          <w:rPr>
            <w:noProof/>
            <w:webHidden/>
          </w:rPr>
          <w:instrText xml:space="preserve"> PAGEREF _Toc17797635 \h </w:instrText>
        </w:r>
        <w:r>
          <w:rPr>
            <w:noProof/>
            <w:webHidden/>
          </w:rPr>
        </w:r>
        <w:r>
          <w:rPr>
            <w:noProof/>
            <w:webHidden/>
          </w:rPr>
          <w:fldChar w:fldCharType="separate"/>
        </w:r>
        <w:r>
          <w:rPr>
            <w:noProof/>
            <w:webHidden/>
          </w:rPr>
          <w:t>64</w:t>
        </w:r>
        <w:r>
          <w:rPr>
            <w:noProof/>
            <w:webHidden/>
          </w:rPr>
          <w:fldChar w:fldCharType="end"/>
        </w:r>
      </w:hyperlink>
    </w:p>
    <w:p>
      <w:pPr>
        <w:pStyle w:val="TOC1"/>
        <w:rPr>
          <w:rFonts w:asciiTheme="minorHAnsi" w:eastAsiaTheme="minorEastAsia" w:hAnsiTheme="minorHAnsi" w:cstheme="minorBidi"/>
          <w:color w:val="auto"/>
          <w:szCs w:val="22"/>
          <w:lang w:val="en-GB" w:eastAsia="en-GB" w:bidi="ar-SA"/>
        </w:rPr>
      </w:pPr>
      <w:hyperlink w:anchor="_Toc17797636" w:history="1">
        <w:r>
          <w:rPr>
            <w:rStyle w:val="Hyperlink"/>
          </w:rPr>
          <w:t>КОНСОЛИДИРАНИ ФИНАНСОВИ ОТЧЕТИ НА ЕФР И ДОВЕРИТЕЛНИТЕ ФОНДОВЕ НА ЕС</w:t>
        </w:r>
        <w:r>
          <w:rPr>
            <w:webHidden/>
          </w:rPr>
          <w:tab/>
        </w:r>
        <w:r>
          <w:rPr>
            <w:webHidden/>
          </w:rPr>
          <w:fldChar w:fldCharType="begin"/>
        </w:r>
        <w:r>
          <w:rPr>
            <w:webHidden/>
          </w:rPr>
          <w:instrText xml:space="preserve"> PAGEREF _Toc17797636 \h </w:instrText>
        </w:r>
        <w:r>
          <w:rPr>
            <w:webHidden/>
          </w:rPr>
        </w:r>
        <w:r>
          <w:rPr>
            <w:webHidden/>
          </w:rPr>
          <w:fldChar w:fldCharType="separate"/>
        </w:r>
        <w:r>
          <w:rPr>
            <w:webHidden/>
          </w:rPr>
          <w:t>65</w:t>
        </w:r>
        <w:r>
          <w:rPr>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37" w:history="1">
        <w:r>
          <w:rPr>
            <w:rStyle w:val="Hyperlink"/>
            <w:noProof/>
          </w:rPr>
          <w:t>КОНСОЛИДИРАН СЧЕТОВОДЕН БАЛАНС</w:t>
        </w:r>
        <w:r>
          <w:rPr>
            <w:noProof/>
            <w:webHidden/>
          </w:rPr>
          <w:tab/>
        </w:r>
        <w:r>
          <w:rPr>
            <w:noProof/>
            <w:webHidden/>
          </w:rPr>
          <w:fldChar w:fldCharType="begin"/>
        </w:r>
        <w:r>
          <w:rPr>
            <w:noProof/>
            <w:webHidden/>
          </w:rPr>
          <w:instrText xml:space="preserve"> PAGEREF _Toc17797637 \h </w:instrText>
        </w:r>
        <w:r>
          <w:rPr>
            <w:noProof/>
            <w:webHidden/>
          </w:rPr>
        </w:r>
        <w:r>
          <w:rPr>
            <w:noProof/>
            <w:webHidden/>
          </w:rPr>
          <w:fldChar w:fldCharType="separate"/>
        </w:r>
        <w:r>
          <w:rPr>
            <w:noProof/>
            <w:webHidden/>
          </w:rPr>
          <w:t>66</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38" w:history="1">
        <w:r>
          <w:rPr>
            <w:rStyle w:val="Hyperlink"/>
            <w:noProof/>
          </w:rPr>
          <w:t>КОНСОЛИДИРАН ОТЧЕТ ЗА ФИНАНСОВИЯ РЕЗУЛТАТ</w:t>
        </w:r>
        <w:r>
          <w:rPr>
            <w:noProof/>
            <w:webHidden/>
          </w:rPr>
          <w:tab/>
        </w:r>
        <w:r>
          <w:rPr>
            <w:noProof/>
            <w:webHidden/>
          </w:rPr>
          <w:fldChar w:fldCharType="begin"/>
        </w:r>
        <w:r>
          <w:rPr>
            <w:noProof/>
            <w:webHidden/>
          </w:rPr>
          <w:instrText xml:space="preserve"> PAGEREF _Toc17797638 \h </w:instrText>
        </w:r>
        <w:r>
          <w:rPr>
            <w:noProof/>
            <w:webHidden/>
          </w:rPr>
        </w:r>
        <w:r>
          <w:rPr>
            <w:noProof/>
            <w:webHidden/>
          </w:rPr>
          <w:fldChar w:fldCharType="separate"/>
        </w:r>
        <w:r>
          <w:rPr>
            <w:noProof/>
            <w:webHidden/>
          </w:rPr>
          <w:t>67</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39" w:history="1">
        <w:r>
          <w:rPr>
            <w:rStyle w:val="Hyperlink"/>
            <w:noProof/>
          </w:rPr>
          <w:t>КОНСОЛИДИРАН ОТЧЕТ ЗА ПАРИЧНИТЕ ПОТОЦИ</w:t>
        </w:r>
        <w:r>
          <w:rPr>
            <w:noProof/>
            <w:webHidden/>
          </w:rPr>
          <w:tab/>
        </w:r>
        <w:r>
          <w:rPr>
            <w:noProof/>
            <w:webHidden/>
          </w:rPr>
          <w:fldChar w:fldCharType="begin"/>
        </w:r>
        <w:r>
          <w:rPr>
            <w:noProof/>
            <w:webHidden/>
          </w:rPr>
          <w:instrText xml:space="preserve"> PAGEREF _Toc17797639 \h </w:instrText>
        </w:r>
        <w:r>
          <w:rPr>
            <w:noProof/>
            <w:webHidden/>
          </w:rPr>
        </w:r>
        <w:r>
          <w:rPr>
            <w:noProof/>
            <w:webHidden/>
          </w:rPr>
          <w:fldChar w:fldCharType="separate"/>
        </w:r>
        <w:r>
          <w:rPr>
            <w:noProof/>
            <w:webHidden/>
          </w:rPr>
          <w:t>68</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Cs w:val="22"/>
          <w:lang w:val="en-GB" w:eastAsia="en-GB" w:bidi="ar-SA"/>
        </w:rPr>
      </w:pPr>
      <w:hyperlink w:anchor="_Toc17797640" w:history="1">
        <w:r>
          <w:rPr>
            <w:rStyle w:val="Hyperlink"/>
            <w:noProof/>
          </w:rPr>
          <w:t>КОНСОЛИДИРАН ОТЧЕТ ЗА ПРОМЕНИТЕ В НЕТНИТЕ АКТИВИ</w:t>
        </w:r>
        <w:r>
          <w:rPr>
            <w:noProof/>
            <w:webHidden/>
          </w:rPr>
          <w:tab/>
        </w:r>
        <w:r>
          <w:rPr>
            <w:noProof/>
            <w:webHidden/>
          </w:rPr>
          <w:fldChar w:fldCharType="begin"/>
        </w:r>
        <w:r>
          <w:rPr>
            <w:noProof/>
            <w:webHidden/>
          </w:rPr>
          <w:instrText xml:space="preserve"> PAGEREF _Toc17797640 \h </w:instrText>
        </w:r>
        <w:r>
          <w:rPr>
            <w:noProof/>
            <w:webHidden/>
          </w:rPr>
        </w:r>
        <w:r>
          <w:rPr>
            <w:noProof/>
            <w:webHidden/>
          </w:rPr>
          <w:fldChar w:fldCharType="separate"/>
        </w:r>
        <w:r>
          <w:rPr>
            <w:noProof/>
            <w:webHidden/>
          </w:rPr>
          <w:t>69</w:t>
        </w:r>
        <w:r>
          <w:rPr>
            <w:noProof/>
            <w:webHidden/>
          </w:rPr>
          <w:fldChar w:fldCharType="end"/>
        </w:r>
      </w:hyperlink>
    </w:p>
    <w:p>
      <w:pPr>
        <w:pStyle w:val="TOC1"/>
        <w:rPr>
          <w:rFonts w:asciiTheme="minorHAnsi" w:eastAsiaTheme="minorEastAsia" w:hAnsiTheme="minorHAnsi" w:cstheme="minorBidi"/>
          <w:color w:val="auto"/>
          <w:szCs w:val="22"/>
          <w:lang w:val="en-GB" w:eastAsia="en-GB" w:bidi="ar-SA"/>
        </w:rPr>
      </w:pPr>
      <w:hyperlink w:anchor="_Toc17797641" w:history="1">
        <w:r>
          <w:rPr>
            <w:rStyle w:val="Hyperlink"/>
          </w:rPr>
          <w:t>ОТЧЕТ ЗА ФИНАНСОВОТО ИЗПЪЛНЕНИЕ НА ЕФР</w:t>
        </w:r>
        <w:r>
          <w:rPr>
            <w:webHidden/>
          </w:rPr>
          <w:tab/>
        </w:r>
        <w:r>
          <w:rPr>
            <w:webHidden/>
          </w:rPr>
          <w:fldChar w:fldCharType="begin"/>
        </w:r>
        <w:r>
          <w:rPr>
            <w:webHidden/>
          </w:rPr>
          <w:instrText xml:space="preserve"> PAGEREF _Toc17797641 \h </w:instrText>
        </w:r>
        <w:r>
          <w:rPr>
            <w:webHidden/>
          </w:rPr>
        </w:r>
        <w:r>
          <w:rPr>
            <w:webHidden/>
          </w:rPr>
          <w:fldChar w:fldCharType="separate"/>
        </w:r>
        <w:r>
          <w:rPr>
            <w:webHidden/>
          </w:rPr>
          <w:t>70</w:t>
        </w:r>
        <w:r>
          <w:rPr>
            <w:webHidden/>
          </w:rPr>
          <w:fldChar w:fldCharType="end"/>
        </w:r>
      </w:hyperlink>
    </w:p>
    <w:p>
      <w:pPr>
        <w:pStyle w:val="HEADERTABLE"/>
        <w:rPr>
          <w:rFonts w:asciiTheme="minorHAnsi" w:eastAsiaTheme="minorEastAsia" w:hAnsiTheme="minorHAnsi" w:cstheme="minorBidi"/>
          <w:noProof/>
          <w:szCs w:val="22"/>
        </w:rPr>
        <w:sectPr>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cols w:space="708"/>
          <w:docGrid w:linePitch="360"/>
        </w:sectPr>
      </w:pPr>
      <w:r>
        <w:rPr>
          <w:b w:val="0"/>
          <w:noProof/>
          <w:sz w:val="22"/>
          <w:szCs w:val="22"/>
        </w:rPr>
        <w:fldChar w:fldCharType="end"/>
      </w:r>
      <w:r>
        <w:rPr>
          <w:noProof/>
        </w:rPr>
        <w:t xml:space="preserve"> </w:t>
      </w:r>
      <w:bookmarkEnd w:id="20"/>
    </w:p>
    <w:p>
      <w:pPr>
        <w:pStyle w:val="FinancialYear"/>
        <w:rPr>
          <w:noProof/>
        </w:rPr>
      </w:pPr>
      <w:bookmarkStart w:id="21" w:name="_DMBM_14092"/>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22" w:name="_Toc9948385"/>
      <w:bookmarkStart w:id="23" w:name="_Toc9959661"/>
      <w:bookmarkStart w:id="24" w:name="_Toc16001693"/>
      <w:bookmarkStart w:id="25" w:name="_Toc17797616"/>
      <w:r>
        <w:t>ФИНАНСОВИ ОТЧЕТИ НА ЕФР</w:t>
      </w:r>
      <w:bookmarkEnd w:id="22"/>
      <w:bookmarkEnd w:id="23"/>
      <w:bookmarkEnd w:id="24"/>
      <w:bookmarkEnd w:id="25"/>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r>
        <w:rPr>
          <w:noProof/>
        </w:rPr>
        <w:t>Следва да се отбележи, че поради закръглянето на цифрите в милиони евро някои финансови данни в таблиците може да изглеждат грешни.</w:t>
      </w:r>
    </w:p>
    <w:p>
      <w:pPr>
        <w:pStyle w:val="TOPHEADERNOTE"/>
        <w:rPr>
          <w:noProof/>
        </w:rPr>
        <w:sectPr>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134" w:left="1134" w:header="709" w:footer="709" w:gutter="0"/>
          <w:cols w:space="708"/>
          <w:docGrid w:linePitch="360"/>
        </w:sectPr>
      </w:pPr>
      <w:r>
        <w:rPr>
          <w:noProof/>
        </w:rPr>
        <w:t xml:space="preserve"> </w:t>
      </w:r>
      <w:bookmarkEnd w:id="21"/>
    </w:p>
    <w:p>
      <w:pPr>
        <w:pStyle w:val="HEADERTITLE1"/>
      </w:pPr>
      <w:bookmarkStart w:id="26" w:name="_Toc9948386"/>
      <w:bookmarkStart w:id="27" w:name="_Toc17797617"/>
      <w:bookmarkStart w:id="28" w:name="_DMBM_14159"/>
      <w:r>
        <w:t>СЧЕТОВОДЕН БАЛАНС НА ЕФР</w:t>
      </w:r>
      <w:bookmarkEnd w:id="26"/>
      <w:bookmarkEnd w:id="2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1485"/>
        <w:gridCol w:w="1793"/>
        <w:gridCol w:w="1794"/>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9" w:name="DOC_TBL00001_1_1"/>
            <w:bookmarkEnd w:id="2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 милиони евро</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Забележка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 г.</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 г.</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НЕТЕКУЩИ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Предварително финансиране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887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Вноски за доверителния фонд</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1 088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745</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ТЕКУЩИ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Предварително финансиране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1 518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по операции с размяна и средства, подлежащи на събиране, по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Пари и парични еквиваленти </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2.4</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347</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1 973</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1 958</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3 061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2 703</w:t>
            </w:r>
          </w:p>
        </w:tc>
      </w:tr>
      <w:tr>
        <w:trPr>
          <w:cantSplit/>
          <w:trHeight w:val="124"/>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НЕТЕКУЩИ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Провизии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(18)</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ТЕКУЩИ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Задължения</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(563)</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Начислени разходи и приходи за бъдещи периоди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2.8</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(1 281)</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(733)</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(1 523)</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(1 296)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(1 314)</w:t>
            </w:r>
          </w:p>
        </w:tc>
      </w:tr>
      <w:tr>
        <w:trPr>
          <w:cantSplit/>
          <w:trHeight w:val="124"/>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1 521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1 389</w:t>
            </w:r>
          </w:p>
        </w:tc>
      </w:tr>
      <w:tr>
        <w:trPr>
          <w:cantSplit/>
          <w:trHeight w:val="124"/>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ФОНДОВЕ И РЕЗЕРВИ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Поискан капитал на фонда — активни ЕФР</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50 423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46 173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Поискан капитал на фонда от пренесени закрити ЕФР</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2 252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2 252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пренесен от предходни години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(47 037)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(43 219)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(3 818)</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1 521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1 389</w:t>
            </w:r>
          </w:p>
        </w:tc>
      </w:tr>
    </w:tbl>
    <w:p>
      <w:pPr>
        <w:rPr>
          <w:noProof/>
        </w:rPr>
        <w:sectPr>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134" w:right="1134" w:bottom="1134" w:left="1134" w:header="709" w:footer="709" w:gutter="0"/>
          <w:cols w:space="708"/>
          <w:docGrid w:linePitch="360"/>
        </w:sectPr>
      </w:pPr>
      <w:r>
        <w:rPr>
          <w:noProof/>
        </w:rPr>
        <w:t xml:space="preserve"> </w:t>
      </w:r>
      <w:bookmarkEnd w:id="28"/>
    </w:p>
    <w:p>
      <w:pPr>
        <w:pStyle w:val="HEADERTITLE1"/>
      </w:pPr>
      <w:bookmarkStart w:id="30" w:name="_Toc9948387"/>
      <w:bookmarkStart w:id="31" w:name="_Toc17797618"/>
      <w:bookmarkStart w:id="32" w:name="_DMBM_14081"/>
      <w:r>
        <w:t>ОТЧЕТ ЗА ФИНАНСОВИЯ РЕЗУЛТАТ НА ЕФР</w:t>
      </w:r>
      <w:bookmarkEnd w:id="30"/>
      <w:bookmarkEnd w:id="3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1485"/>
        <w:gridCol w:w="1718"/>
        <w:gridCol w:w="1745"/>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3" w:name="DOC_TBL00002_1_1"/>
            <w:bookmarkEnd w:id="33"/>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Забележка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 г.</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 г.</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Приходи от операции без размяна</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r>
              <w:t>3.1</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Дейности по събиране</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Приходи от операции с размяна</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r>
              <w:t>3.2</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приходи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 приходи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приходи</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60</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87</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РАЗХОДИ</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Инструменти за помощ</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(4 054)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(3 700)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за съфинансиране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разходи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 разходи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3.7</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(154)</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разходи</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(4 178)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(3 904)</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ИКОНОМИЧЕСКИ РЕЗУЛТАТ ЗА ГОДИНАТА</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(4 118)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(3 818)</w:t>
            </w:r>
          </w:p>
        </w:tc>
      </w:tr>
    </w:tbl>
    <w:p>
      <w:pPr>
        <w:pStyle w:val="Textstand-alone"/>
        <w:sectPr>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r>
        <w:t xml:space="preserve"> </w:t>
      </w:r>
      <w:bookmarkEnd w:id="32"/>
    </w:p>
    <w:p>
      <w:pPr>
        <w:pStyle w:val="HEADERTITLE1"/>
      </w:pPr>
      <w:bookmarkStart w:id="34" w:name="_Toc9948388"/>
      <w:bookmarkStart w:id="35" w:name="_Toc17797619"/>
      <w:bookmarkStart w:id="36" w:name="_DMBM_14160"/>
      <w:r>
        <w:t>ОТЧЕТ ЗА ПАРИЧНИТЕ ПОТОЦИ НА ЕФР</w:t>
      </w:r>
      <w:bookmarkEnd w:id="34"/>
      <w:bookmarkEnd w:id="3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1"/>
        <w:gridCol w:w="1485"/>
        <w:gridCol w:w="1689"/>
        <w:gridCol w:w="1722"/>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7" w:name="DOC_TBL00003_1_1"/>
            <w:bookmarkEnd w:id="37"/>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Забележка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 г.</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 г.</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(4 118)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(3 818)</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Оперативни дейности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 на капитала — вноски (нето)</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3 850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вноските в доверителните фондове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предварителното финансиране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вземанията по операции с размяна и на средствата, подлежащи на събиране, по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провизиите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финансовите пасиви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задълженията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начислените разходи и приходите за бъдещи периоди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ПАРИЧНИ ПОТОЦИ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(333)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Нетно увеличение/(намаление) на парите и паричните еквиваленти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(333)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началото на годината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края на годината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347</w:t>
            </w:r>
          </w:p>
        </w:tc>
      </w:tr>
      <w:bookmarkEnd w:id="36"/>
    </w:tbl>
    <w:p>
      <w:pPr>
        <w:pStyle w:val="TOPHEADERNOTE"/>
        <w:rPr>
          <w:noProof/>
        </w:rPr>
        <w:sectPr>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p>
    <w:p>
      <w:pPr>
        <w:pStyle w:val="HEADERTITLE1"/>
      </w:pPr>
      <w:bookmarkStart w:id="38" w:name="_Toc9948389"/>
      <w:bookmarkStart w:id="39" w:name="_Toc17797620"/>
      <w:bookmarkStart w:id="40" w:name="_DMBM_14147"/>
      <w:r>
        <w:t>ОТЧЕТ ЗА ПРОМЕНИТЕ В НЕТНИТЕ АКТИВИ НА ЕФР</w:t>
      </w:r>
      <w:bookmarkEnd w:id="38"/>
      <w:bookmarkEnd w:id="39"/>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701"/>
        <w:gridCol w:w="1843"/>
        <w:gridCol w:w="1559"/>
        <w:gridCol w:w="2055"/>
        <w:gridCol w:w="2056"/>
      </w:tblGrid>
      <w:tr>
        <w:tc>
          <w:tcPr>
            <w:tcW w:w="365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18"/>
              </w:rPr>
            </w:pPr>
            <w:bookmarkStart w:id="41" w:name="DOC_TBL00004_1_1"/>
            <w:bookmarkEnd w:id="41"/>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437"/>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szCs w:val="18"/>
              </w:rPr>
            </w:pP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rPr>
            </w:pPr>
            <w:r>
              <w:t>Поискан капитал на фонда — активни ЕФР (A)</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rPr>
            </w:pPr>
            <w:r>
              <w:t>Непоискани средства — активни ЕФР (B)</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rPr>
            </w:pPr>
            <w:r>
              <w:t>Поискан капитал на фонда — активни ЕФР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rPr>
            </w:pPr>
            <w:r>
              <w:t>Натрупани резерви (D)</w:t>
            </w:r>
          </w:p>
        </w:tc>
        <w:tc>
          <w:tcPr>
            <w:tcW w:w="205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rPr>
            </w:pPr>
            <w:r>
              <w:t>Поискан капитал на фонда от пренесени закрити ЕФР (E)</w:t>
            </w:r>
          </w:p>
        </w:tc>
        <w:tc>
          <w:tcPr>
            <w:tcW w:w="205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szCs w:val="18"/>
              </w:rPr>
            </w:pPr>
            <w:r>
              <w:t>Общо нетни активи (C)+(D)+(E)</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САЛДО КЪМ 31.12.2016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73 464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31 140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42 323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(43 219)</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1 357</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 на капитала — вноски</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4 050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Възстановяване на държавите членки</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(3 818)</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(3 818)</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САЛДО КЪМ 31.12.2017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73 264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27 090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46 173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(47 037)</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1 389</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 на капитала — вноски</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(4 118)</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(4 118)</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САЛДО КЪМ 31.12.2018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73 264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22 840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50 423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(51 155)</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1 521</w:t>
            </w:r>
          </w:p>
        </w:tc>
      </w:tr>
    </w:tbl>
    <w:p>
      <w:pPr>
        <w:rPr>
          <w:rFonts w:ascii="Verdana" w:hAnsi="Verdana"/>
          <w:noProof/>
          <w:sz w:val="18"/>
          <w:szCs w:val="18"/>
        </w:rPr>
      </w:pPr>
    </w:p>
    <w:p>
      <w:pPr>
        <w:rPr>
          <w:rFonts w:ascii="Verdana" w:hAnsi="Verdana"/>
          <w:noProof/>
          <w:sz w:val="18"/>
          <w:szCs w:val="18"/>
        </w:rPr>
        <w:sectPr>
          <w:headerReference w:type="even" r:id="rId77"/>
          <w:headerReference w:type="default" r:id="rId78"/>
          <w:footerReference w:type="even" r:id="rId79"/>
          <w:footerReference w:type="default" r:id="rId80"/>
          <w:headerReference w:type="first" r:id="rId81"/>
          <w:footerReference w:type="first" r:id="rId82"/>
          <w:pgSz w:w="16838" w:h="11906" w:orient="landscape"/>
          <w:pgMar w:top="1134" w:right="1134" w:bottom="1134" w:left="1134" w:header="708" w:footer="708" w:gutter="0"/>
          <w:cols w:space="708"/>
          <w:docGrid w:linePitch="360"/>
        </w:sectPr>
      </w:pPr>
      <w:r>
        <w:rPr>
          <w:noProof/>
        </w:rPr>
        <w:br w:type="page"/>
      </w:r>
      <w:bookmarkEnd w:id="40"/>
    </w:p>
    <w:p>
      <w:pPr>
        <w:pStyle w:val="HEADERTITLE1"/>
        <w:spacing w:after="0"/>
      </w:pPr>
      <w:bookmarkStart w:id="42" w:name="_Toc9948390"/>
      <w:bookmarkStart w:id="43" w:name="_Toc17797621"/>
      <w:bookmarkStart w:id="44" w:name="_DMBM_14076"/>
      <w:r>
        <w:t>СЧЕТОВОДЕН БАЛАНС — ПО ЕФР</w:t>
      </w:r>
      <w:bookmarkEnd w:id="42"/>
      <w:bookmarkEnd w:id="43"/>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41"/>
        <w:gridCol w:w="1259"/>
        <w:gridCol w:w="1026"/>
        <w:gridCol w:w="1171"/>
        <w:gridCol w:w="1027"/>
        <w:gridCol w:w="1026"/>
        <w:gridCol w:w="1171"/>
        <w:gridCol w:w="1009"/>
        <w:gridCol w:w="992"/>
        <w:gridCol w:w="992"/>
        <w:gridCol w:w="1637"/>
      </w:tblGrid>
      <w:tr>
        <w:tc>
          <w:tcPr>
            <w:tcW w:w="223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16"/>
              </w:rPr>
            </w:pPr>
            <w:bookmarkStart w:id="45" w:name="DOC_TBL00005_1_1"/>
            <w:bookmarkEnd w:id="45"/>
          </w:p>
        </w:tc>
        <w:tc>
          <w:tcPr>
            <w:tcW w:w="124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02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00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p>
        </w:tc>
        <w:tc>
          <w:tcPr>
            <w:tcW w:w="163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16"/>
              </w:rPr>
            </w:pPr>
            <w:r>
              <w:rPr>
                <w:i w:val="0"/>
              </w:rPr>
              <w:t xml:space="preserve"> милиони евро</w:t>
            </w:r>
          </w:p>
        </w:tc>
      </w:tr>
      <w:tr>
        <w:tc>
          <w:tcPr>
            <w:tcW w:w="2235"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szCs w:val="16"/>
              </w:rPr>
            </w:pPr>
          </w:p>
        </w:tc>
        <w:tc>
          <w:tcPr>
            <w:tcW w:w="124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1259"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31.12.2018 г.</w:t>
            </w:r>
          </w:p>
        </w:tc>
        <w:tc>
          <w:tcPr>
            <w:tcW w:w="102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117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102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102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117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31.12.2017 г.</w:t>
            </w:r>
          </w:p>
        </w:tc>
        <w:tc>
          <w:tcPr>
            <w:tcW w:w="1009"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c>
          <w:tcPr>
            <w:tcW w:w="163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p>
        </w:tc>
      </w:tr>
      <w:tr>
        <w:tc>
          <w:tcPr>
            <w:tcW w:w="2235"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szCs w:val="16"/>
              </w:rPr>
            </w:pPr>
          </w:p>
        </w:tc>
        <w:tc>
          <w:tcPr>
            <w:tcW w:w="124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Забележка</w:t>
            </w:r>
          </w:p>
        </w:tc>
        <w:tc>
          <w:tcPr>
            <w:tcW w:w="1259"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Осми ЕФР</w:t>
            </w:r>
          </w:p>
        </w:tc>
        <w:tc>
          <w:tcPr>
            <w:tcW w:w="102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Девети ЕФР</w:t>
            </w:r>
          </w:p>
        </w:tc>
        <w:tc>
          <w:tcPr>
            <w:tcW w:w="117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10-и ЕФР</w:t>
            </w:r>
          </w:p>
        </w:tc>
        <w:tc>
          <w:tcPr>
            <w:tcW w:w="102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11-и ЕФР</w:t>
            </w:r>
          </w:p>
        </w:tc>
        <w:tc>
          <w:tcPr>
            <w:tcW w:w="102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Общо</w:t>
            </w:r>
          </w:p>
        </w:tc>
        <w:tc>
          <w:tcPr>
            <w:tcW w:w="117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Осми ЕФР</w:t>
            </w:r>
          </w:p>
        </w:tc>
        <w:tc>
          <w:tcPr>
            <w:tcW w:w="1009"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Девети ЕФР</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10-и ЕФР</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11-и ЕФР</w:t>
            </w:r>
          </w:p>
        </w:tc>
        <w:tc>
          <w:tcPr>
            <w:tcW w:w="163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szCs w:val="16"/>
              </w:rPr>
            </w:pPr>
            <w:r>
              <w:rPr>
                <w:noProof/>
              </w:rPr>
              <w:t>Общо</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НЕТЕКУЩИ АКТИВИ</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Предварително финансиране</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2.1</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23</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520</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344</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887</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221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330</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582</w:t>
            </w:r>
          </w:p>
        </w:tc>
      </w:tr>
      <w:tr>
        <w:tc>
          <w:tcPr>
            <w:tcW w:w="2235"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szCs w:val="16"/>
              </w:rPr>
            </w:pPr>
            <w:r>
              <w:t>Вноски за доверителния фонд</w:t>
            </w:r>
          </w:p>
        </w:tc>
        <w:tc>
          <w:tcPr>
            <w:tcW w:w="12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2.2</w:t>
            </w:r>
          </w:p>
        </w:tc>
        <w:tc>
          <w:tcPr>
            <w:tcW w:w="12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201</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201</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86</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77</w:t>
            </w:r>
          </w:p>
        </w:tc>
        <w:tc>
          <w:tcPr>
            <w:tcW w:w="1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163</w:t>
            </w:r>
          </w:p>
        </w:tc>
      </w:tr>
      <w:tr>
        <w:tc>
          <w:tcPr>
            <w:tcW w:w="2235"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szCs w:val="16"/>
              </w:rPr>
            </w:pPr>
          </w:p>
        </w:tc>
        <w:tc>
          <w:tcPr>
            <w:tcW w:w="12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p>
        </w:tc>
        <w:tc>
          <w:tcPr>
            <w:tcW w:w="12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23</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520</w:t>
            </w:r>
          </w:p>
        </w:tc>
        <w:tc>
          <w:tcPr>
            <w:tcW w:w="102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546</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1 088</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w:t>
            </w:r>
          </w:p>
        </w:tc>
        <w:tc>
          <w:tcPr>
            <w:tcW w:w="10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118</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221</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407</w:t>
            </w:r>
          </w:p>
        </w:tc>
        <w:tc>
          <w:tcPr>
            <w:tcW w:w="1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745</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ТЕКУЩИ АКТИВИ</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Предварително финансиране</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2.1</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19</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445</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984</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1 448</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40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867</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610</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1 518</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Вземания по операции с размяна и средства, подлежащи на събиране, по операции без размяна</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2.3</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65</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36</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36</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138</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64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17</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11</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92</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Сметки между ЕФР</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2.3</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183</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111</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2 421</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2 715</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189</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88</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3 555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3 832</w:t>
            </w:r>
          </w:p>
        </w:tc>
      </w:tr>
      <w:tr>
        <w:tc>
          <w:tcPr>
            <w:tcW w:w="2235"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szCs w:val="16"/>
              </w:rPr>
            </w:pPr>
            <w:r>
              <w:t>Пари и парични еквиваленти</w:t>
            </w:r>
          </w:p>
        </w:tc>
        <w:tc>
          <w:tcPr>
            <w:tcW w:w="12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2.4</w:t>
            </w:r>
          </w:p>
        </w:tc>
        <w:tc>
          <w:tcPr>
            <w:tcW w:w="12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387</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387</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347</w:t>
            </w:r>
          </w:p>
        </w:tc>
        <w:tc>
          <w:tcPr>
            <w:tcW w:w="1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347</w:t>
            </w:r>
          </w:p>
        </w:tc>
      </w:tr>
      <w:tr>
        <w:tc>
          <w:tcPr>
            <w:tcW w:w="2235"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szCs w:val="16"/>
              </w:rPr>
            </w:pPr>
          </w:p>
        </w:tc>
        <w:tc>
          <w:tcPr>
            <w:tcW w:w="12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p>
        </w:tc>
        <w:tc>
          <w:tcPr>
            <w:tcW w:w="12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184</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195</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2 902</w:t>
            </w:r>
          </w:p>
        </w:tc>
        <w:tc>
          <w:tcPr>
            <w:tcW w:w="102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1 407</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4 689</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190</w:t>
            </w:r>
          </w:p>
        </w:tc>
        <w:tc>
          <w:tcPr>
            <w:tcW w:w="10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193</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4 439</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968</w:t>
            </w:r>
          </w:p>
        </w:tc>
        <w:tc>
          <w:tcPr>
            <w:tcW w:w="1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5 791</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ОБЩО АКТИВИ*</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184</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218</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3 422</w:t>
            </w: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1 953</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5 777</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190</w:t>
            </w: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311</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4 660</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1 375</w:t>
            </w: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6 536</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НЕТЕКУЩИ ПАСИВИ</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Провизии</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2.5</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(4)</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(4)</w:t>
            </w:r>
          </w:p>
        </w:tc>
      </w:tr>
      <w:tr>
        <w:tc>
          <w:tcPr>
            <w:tcW w:w="2235"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szCs w:val="16"/>
              </w:rPr>
            </w:pPr>
            <w:r>
              <w:t>Финансови пасиви</w:t>
            </w:r>
          </w:p>
        </w:tc>
        <w:tc>
          <w:tcPr>
            <w:tcW w:w="12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2.6</w:t>
            </w:r>
          </w:p>
        </w:tc>
        <w:tc>
          <w:tcPr>
            <w:tcW w:w="12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w:t>
            </w:r>
          </w:p>
        </w:tc>
        <w:tc>
          <w:tcPr>
            <w:tcW w:w="102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(16)</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(18)</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(7)</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(7)</w:t>
            </w:r>
          </w:p>
        </w:tc>
        <w:tc>
          <w:tcPr>
            <w:tcW w:w="1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(14)</w:t>
            </w:r>
          </w:p>
        </w:tc>
      </w:tr>
      <w:tr>
        <w:tc>
          <w:tcPr>
            <w:tcW w:w="2235"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szCs w:val="16"/>
              </w:rPr>
            </w:pPr>
          </w:p>
        </w:tc>
        <w:tc>
          <w:tcPr>
            <w:tcW w:w="12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p>
        </w:tc>
        <w:tc>
          <w:tcPr>
            <w:tcW w:w="12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w:t>
            </w:r>
          </w:p>
        </w:tc>
        <w:tc>
          <w:tcPr>
            <w:tcW w:w="102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(16)</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(18)</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w:t>
            </w:r>
          </w:p>
        </w:tc>
        <w:tc>
          <w:tcPr>
            <w:tcW w:w="10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(7)</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(11)</w:t>
            </w:r>
          </w:p>
        </w:tc>
        <w:tc>
          <w:tcPr>
            <w:tcW w:w="1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(18)</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ТЕКУЩИ ПАСИВИ</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Задължения</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2.7</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(6)</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(125)</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(111)</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(241)</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(133)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(417)</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(563)</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Сметки между ЕФР</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2.3</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(2 715)</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(2 715)</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(3 833)</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(3 833)</w:t>
            </w:r>
          </w:p>
        </w:tc>
      </w:tr>
      <w:tr>
        <w:tc>
          <w:tcPr>
            <w:tcW w:w="2235"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szCs w:val="16"/>
              </w:rPr>
            </w:pPr>
            <w:r>
              <w:t>Начислени разходи и приходи за бъдещи периоди</w:t>
            </w:r>
          </w:p>
        </w:tc>
        <w:tc>
          <w:tcPr>
            <w:tcW w:w="124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2.8</w:t>
            </w:r>
          </w:p>
        </w:tc>
        <w:tc>
          <w:tcPr>
            <w:tcW w:w="12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(83)</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(358)</w:t>
            </w:r>
          </w:p>
        </w:tc>
        <w:tc>
          <w:tcPr>
            <w:tcW w:w="102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(840)</w:t>
            </w:r>
          </w:p>
        </w:tc>
        <w:tc>
          <w:tcPr>
            <w:tcW w:w="10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(1 281)</w:t>
            </w:r>
          </w:p>
        </w:tc>
        <w:tc>
          <w:tcPr>
            <w:tcW w:w="117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(76)</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(517)</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(140)</w:t>
            </w:r>
          </w:p>
        </w:tc>
        <w:tc>
          <w:tcPr>
            <w:tcW w:w="1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(733)</w:t>
            </w:r>
          </w:p>
        </w:tc>
      </w:tr>
      <w:tr>
        <w:tc>
          <w:tcPr>
            <w:tcW w:w="2235"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szCs w:val="16"/>
              </w:rPr>
            </w:pPr>
          </w:p>
        </w:tc>
        <w:tc>
          <w:tcPr>
            <w:tcW w:w="124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p>
        </w:tc>
        <w:tc>
          <w:tcPr>
            <w:tcW w:w="12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(0)</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(89)</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(482)</w:t>
            </w:r>
          </w:p>
        </w:tc>
        <w:tc>
          <w:tcPr>
            <w:tcW w:w="102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(3 666)</w:t>
            </w:r>
          </w:p>
        </w:tc>
        <w:tc>
          <w:tcPr>
            <w:tcW w:w="10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(4 237)</w:t>
            </w:r>
          </w:p>
        </w:tc>
        <w:tc>
          <w:tcPr>
            <w:tcW w:w="117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(0)</w:t>
            </w:r>
          </w:p>
        </w:tc>
        <w:tc>
          <w:tcPr>
            <w:tcW w:w="10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(89)</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 xml:space="preserve"> (650)</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(4 389)</w:t>
            </w:r>
          </w:p>
        </w:tc>
        <w:tc>
          <w:tcPr>
            <w:tcW w:w="1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szCs w:val="16"/>
              </w:rPr>
            </w:pPr>
            <w:r>
              <w:t>(5 128)</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ОБЩО ПАСИВИ*</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(0)</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(89)</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(484)</w:t>
            </w: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(3 682)</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(4 255)</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(0)</w:t>
            </w: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(89)</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(657)</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(4 401)</w:t>
            </w: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(5 147)</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НЕТНИ АКТИВИ*</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184</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129</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2 938</w:t>
            </w: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(1 729)</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1 521</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190</w:t>
            </w: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222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4 003</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(3 025)</w:t>
            </w: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1 389</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ФОНДОВЕ И РЕЗЕРВИ</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Поискан капитал на фонда — активни ЕФР</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2.9</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12 164</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10 773</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20 960</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6 527</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50 423</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12 164</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10 773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20 960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2 277</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46 173</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Поискан капитал на фонда от пренесени закрити ЕФР</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2.9</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627</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1 625</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2 252</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627</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1 625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2 252</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Поискан капитал на фонда, трансфери между активни ЕФР</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2.9</w:t>
            </w: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(2 509)</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2 137</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55</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317</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(2 503)</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2 177</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120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206</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Икономически резултат, пренесен от предходни години</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(10 098)</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(14 352)</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(17 078)</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(5 508)</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(47 037)</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(10 098)</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(14 339)</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(15 812)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(2 969)</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(43 219)</w:t>
            </w:r>
          </w:p>
        </w:tc>
      </w:tr>
      <w:tr>
        <w:tc>
          <w:tcPr>
            <w:tcW w:w="223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szCs w:val="16"/>
              </w:rPr>
            </w:pPr>
            <w:r>
              <w:t>Икономически резултат за годината</w:t>
            </w:r>
          </w:p>
        </w:tc>
        <w:tc>
          <w:tcPr>
            <w:tcW w:w="12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p>
        </w:tc>
        <w:tc>
          <w:tcPr>
            <w:tcW w:w="12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(53)</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(1 000)</w:t>
            </w:r>
          </w:p>
        </w:tc>
        <w:tc>
          <w:tcPr>
            <w:tcW w:w="102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(3 065)</w:t>
            </w:r>
          </w:p>
        </w:tc>
        <w:tc>
          <w:tcPr>
            <w:tcW w:w="10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(4 118)</w:t>
            </w:r>
          </w:p>
        </w:tc>
        <w:tc>
          <w:tcPr>
            <w:tcW w:w="117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0</w:t>
            </w:r>
          </w:p>
        </w:tc>
        <w:tc>
          <w:tcPr>
            <w:tcW w:w="10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(1 266)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(2 539)</w:t>
            </w:r>
          </w:p>
        </w:tc>
        <w:tc>
          <w:tcPr>
            <w:tcW w:w="16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szCs w:val="16"/>
              </w:rPr>
            </w:pPr>
            <w:r>
              <w:t>(3 818)</w:t>
            </w:r>
          </w:p>
        </w:tc>
      </w:tr>
      <w:tr>
        <w:tc>
          <w:tcPr>
            <w:tcW w:w="2235"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szCs w:val="16"/>
              </w:rPr>
            </w:pPr>
            <w:r>
              <w:t>НЕТНИ АКТИВИ</w:t>
            </w:r>
          </w:p>
        </w:tc>
        <w:tc>
          <w:tcPr>
            <w:tcW w:w="124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p>
        </w:tc>
        <w:tc>
          <w:tcPr>
            <w:tcW w:w="125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184</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129</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2 938</w:t>
            </w:r>
          </w:p>
        </w:tc>
        <w:tc>
          <w:tcPr>
            <w:tcW w:w="102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(1 729)</w:t>
            </w:r>
          </w:p>
        </w:tc>
        <w:tc>
          <w:tcPr>
            <w:tcW w:w="102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1 521</w:t>
            </w:r>
          </w:p>
        </w:tc>
        <w:tc>
          <w:tcPr>
            <w:tcW w:w="117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190</w:t>
            </w:r>
          </w:p>
        </w:tc>
        <w:tc>
          <w:tcPr>
            <w:tcW w:w="1009"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 xml:space="preserve"> 222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4 003</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(3 025)</w:t>
            </w:r>
          </w:p>
        </w:tc>
        <w:tc>
          <w:tcPr>
            <w:tcW w:w="163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szCs w:val="16"/>
              </w:rPr>
            </w:pPr>
            <w:r>
              <w:t>1 389</w:t>
            </w:r>
          </w:p>
        </w:tc>
      </w:tr>
    </w:tbl>
    <w:p>
      <w:pPr>
        <w:pStyle w:val="Textstand-alone"/>
        <w:spacing w:before="0" w:after="0"/>
        <w:rPr>
          <w:sz w:val="16"/>
          <w:szCs w:val="16"/>
        </w:rPr>
      </w:pPr>
      <w:r>
        <w:rPr>
          <w:sz w:val="16"/>
        </w:rPr>
        <w:t>* от общите активи и пасиви сметките между ЕФР следва да бъдат приспаднати, за да бъдат приведени в съответствие с общите суми в счетоводния баланс на ЕФР</w:t>
      </w:r>
    </w:p>
    <w:bookmarkEnd w:id="44"/>
    <w:p>
      <w:pPr>
        <w:pStyle w:val="Textstand-alone"/>
        <w:rPr>
          <w:sz w:val="16"/>
          <w:szCs w:val="16"/>
        </w:rPr>
        <w:sectPr>
          <w:headerReference w:type="even" r:id="rId83"/>
          <w:headerReference w:type="default" r:id="rId84"/>
          <w:footerReference w:type="even" r:id="rId85"/>
          <w:footerReference w:type="default" r:id="rId86"/>
          <w:headerReference w:type="first" r:id="rId87"/>
          <w:footerReference w:type="first" r:id="rId88"/>
          <w:type w:val="continuous"/>
          <w:pgSz w:w="16838" w:h="11906" w:orient="landscape"/>
          <w:pgMar w:top="1134" w:right="1134" w:bottom="1134" w:left="1134" w:header="708" w:footer="708" w:gutter="0"/>
          <w:cols w:space="708"/>
          <w:docGrid w:linePitch="360"/>
        </w:sectPr>
      </w:pPr>
    </w:p>
    <w:p>
      <w:pPr>
        <w:pStyle w:val="HEADERTITLE1"/>
      </w:pPr>
      <w:bookmarkStart w:id="46" w:name="_Toc9948391"/>
      <w:bookmarkStart w:id="47" w:name="_Toc17797622"/>
      <w:bookmarkStart w:id="48" w:name="_DMBM_14087"/>
      <w:r>
        <w:t>ОТЧЕТ ЗА ФИНАНСОВИЯ РЕЗУЛТАТ ПО ЕФР</w:t>
      </w:r>
      <w:bookmarkEnd w:id="46"/>
      <w:bookmarkEnd w:id="47"/>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3"/>
        <w:gridCol w:w="870"/>
        <w:gridCol w:w="1158"/>
        <w:gridCol w:w="1012"/>
        <w:gridCol w:w="1157"/>
        <w:gridCol w:w="1013"/>
        <w:gridCol w:w="1157"/>
        <w:gridCol w:w="1302"/>
        <w:gridCol w:w="1012"/>
        <w:gridCol w:w="1012"/>
        <w:gridCol w:w="1157"/>
        <w:gridCol w:w="1273"/>
      </w:tblGrid>
      <w:tr>
        <w:tc>
          <w:tcPr>
            <w:tcW w:w="266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49" w:name="DOC_TBL00006_1_1"/>
            <w:bookmarkEnd w:id="49"/>
          </w:p>
        </w:tc>
        <w:tc>
          <w:tcPr>
            <w:tcW w:w="8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5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1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c>
          <w:tcPr>
            <w:tcW w:w="2663"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p>
        </w:tc>
        <w:tc>
          <w:tcPr>
            <w:tcW w:w="870"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158"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2018 г.</w:t>
            </w: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013"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30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2017 г.</w:t>
            </w: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r>
      <w:tr>
        <w:tc>
          <w:tcPr>
            <w:tcW w:w="2663"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p>
        </w:tc>
        <w:tc>
          <w:tcPr>
            <w:tcW w:w="870"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Забележка</w:t>
            </w:r>
          </w:p>
        </w:tc>
        <w:tc>
          <w:tcPr>
            <w:tcW w:w="1158"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Осми ЕФР</w:t>
            </w: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Девети ЕФР</w:t>
            </w: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10-и ЕФР</w:t>
            </w:r>
          </w:p>
        </w:tc>
        <w:tc>
          <w:tcPr>
            <w:tcW w:w="1013"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11-и ЕФР</w:t>
            </w: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Общо</w:t>
            </w:r>
          </w:p>
        </w:tc>
        <w:tc>
          <w:tcPr>
            <w:tcW w:w="130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Осми ЕФР</w:t>
            </w: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Девети ЕФР</w:t>
            </w:r>
          </w:p>
        </w:tc>
        <w:tc>
          <w:tcPr>
            <w:tcW w:w="101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10-и ЕФР</w:t>
            </w:r>
          </w:p>
        </w:tc>
        <w:tc>
          <w:tcPr>
            <w:tcW w:w="1157"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11-и ЕФР</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Общо</w:t>
            </w: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2663"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ПРИХОДИ</w:t>
            </w:r>
          </w:p>
        </w:tc>
        <w:tc>
          <w:tcPr>
            <w:tcW w:w="870"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30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r>
      <w:tr>
        <w:tc>
          <w:tcPr>
            <w:tcW w:w="2663"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Приходи от операции без размяна</w:t>
            </w:r>
          </w:p>
        </w:tc>
        <w:tc>
          <w:tcPr>
            <w:tcW w:w="870"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3.1</w:t>
            </w:r>
          </w:p>
        </w:tc>
        <w:tc>
          <w:tcPr>
            <w:tcW w:w="115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30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r>
      <w:tr>
        <w:tc>
          <w:tcPr>
            <w:tcW w:w="266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rPr>
            </w:pPr>
            <w:r>
              <w:t>Дейности по събиране</w:t>
            </w:r>
          </w:p>
        </w:tc>
        <w:tc>
          <w:tcPr>
            <w:tcW w:w="87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5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w:t>
            </w:r>
          </w:p>
        </w:tc>
        <w:tc>
          <w:tcPr>
            <w:tcW w:w="101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130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27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61</w:t>
            </w:r>
          </w:p>
        </w:tc>
      </w:tr>
      <w:tr>
        <w:tc>
          <w:tcPr>
            <w:tcW w:w="266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rPr>
            </w:pPr>
          </w:p>
        </w:tc>
        <w:tc>
          <w:tcPr>
            <w:tcW w:w="8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p>
        </w:tc>
        <w:tc>
          <w:tcPr>
            <w:tcW w:w="115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3</w:t>
            </w: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(3)</w:t>
            </w:r>
          </w:p>
        </w:tc>
        <w:tc>
          <w:tcPr>
            <w:tcW w:w="101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c>
          <w:tcPr>
            <w:tcW w:w="130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5</w:t>
            </w: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w:t>
            </w: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7</w:t>
            </w: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61</w:t>
            </w:r>
          </w:p>
        </w:tc>
      </w:tr>
      <w:tr>
        <w:tc>
          <w:tcPr>
            <w:tcW w:w="2663"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Приходи от операции с размяна</w:t>
            </w:r>
          </w:p>
        </w:tc>
        <w:tc>
          <w:tcPr>
            <w:tcW w:w="870"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3.2</w:t>
            </w:r>
          </w:p>
        </w:tc>
        <w:tc>
          <w:tcPr>
            <w:tcW w:w="115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30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Финансови приходи</w:t>
            </w: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w:t>
            </w: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w:t>
            </w: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r>
      <w:tr>
        <w:tc>
          <w:tcPr>
            <w:tcW w:w="266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rPr>
            </w:pPr>
            <w:r>
              <w:t>Други приходи</w:t>
            </w:r>
          </w:p>
        </w:tc>
        <w:tc>
          <w:tcPr>
            <w:tcW w:w="87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5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6</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27</w:t>
            </w:r>
          </w:p>
        </w:tc>
        <w:tc>
          <w:tcPr>
            <w:tcW w:w="101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46</w:t>
            </w:r>
          </w:p>
        </w:tc>
        <w:tc>
          <w:tcPr>
            <w:tcW w:w="130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127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22</w:t>
            </w:r>
          </w:p>
        </w:tc>
      </w:tr>
      <w:tr>
        <w:tc>
          <w:tcPr>
            <w:tcW w:w="266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rPr>
            </w:pPr>
          </w:p>
        </w:tc>
        <w:tc>
          <w:tcPr>
            <w:tcW w:w="8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5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35</w:t>
            </w:r>
          </w:p>
        </w:tc>
        <w:tc>
          <w:tcPr>
            <w:tcW w:w="101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57</w:t>
            </w:r>
          </w:p>
        </w:tc>
        <w:tc>
          <w:tcPr>
            <w:tcW w:w="13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25</w:t>
            </w:r>
          </w:p>
        </w:tc>
      </w:tr>
      <w:tr>
        <w:tc>
          <w:tcPr>
            <w:tcW w:w="266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b/>
              </w:rPr>
            </w:pPr>
            <w:r>
              <w:rPr>
                <w:b/>
              </w:rPr>
              <w:t>Общо приходи</w:t>
            </w:r>
          </w:p>
        </w:tc>
        <w:tc>
          <w:tcPr>
            <w:tcW w:w="8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p>
        </w:tc>
        <w:tc>
          <w:tcPr>
            <w:tcW w:w="115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11</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32</w:t>
            </w:r>
          </w:p>
        </w:tc>
        <w:tc>
          <w:tcPr>
            <w:tcW w:w="101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17</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60</w:t>
            </w:r>
          </w:p>
        </w:tc>
        <w:tc>
          <w:tcPr>
            <w:tcW w:w="13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9</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66</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11</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87</w:t>
            </w:r>
          </w:p>
        </w:tc>
      </w:tr>
      <w:tr>
        <w:tc>
          <w:tcPr>
            <w:tcW w:w="266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РАЗХОДИ</w:t>
            </w:r>
          </w:p>
        </w:tc>
        <w:tc>
          <w:tcPr>
            <w:tcW w:w="870"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30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01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7"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Инструменти за помощ</w:t>
            </w: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3.3</w:t>
            </w: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(59)</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(984)</w:t>
            </w: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(3 012)</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(4 054)</w:t>
            </w: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(1 251)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(2 435)</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(3 700)</w:t>
            </w: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Разходи за съфинансиране</w:t>
            </w: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3.4</w:t>
            </w: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18</w:t>
            </w: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w:t>
            </w:r>
          </w:p>
        </w:tc>
      </w:tr>
      <w:tr>
        <w:tc>
          <w:tcPr>
            <w:tcW w:w="2663"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Финансови разходи</w:t>
            </w:r>
          </w:p>
        </w:tc>
        <w:tc>
          <w:tcPr>
            <w:tcW w:w="87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3.6</w:t>
            </w:r>
          </w:p>
        </w:tc>
        <w:tc>
          <w:tcPr>
            <w:tcW w:w="11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w:t>
            </w:r>
          </w:p>
        </w:tc>
        <w:tc>
          <w:tcPr>
            <w:tcW w:w="101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30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w:t>
            </w:r>
          </w:p>
        </w:tc>
        <w:tc>
          <w:tcPr>
            <w:tcW w:w="11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w:t>
            </w:r>
          </w:p>
        </w:tc>
      </w:tr>
      <w:tr>
        <w:tc>
          <w:tcPr>
            <w:tcW w:w="266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rPr>
            </w:pPr>
            <w:r>
              <w:t>Други разходи</w:t>
            </w:r>
          </w:p>
        </w:tc>
        <w:tc>
          <w:tcPr>
            <w:tcW w:w="87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3.7</w:t>
            </w:r>
          </w:p>
        </w:tc>
        <w:tc>
          <w:tcPr>
            <w:tcW w:w="115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(71)</w:t>
            </w:r>
          </w:p>
        </w:tc>
        <w:tc>
          <w:tcPr>
            <w:tcW w:w="101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(70)</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(148)</w:t>
            </w:r>
          </w:p>
        </w:tc>
        <w:tc>
          <w:tcPr>
            <w:tcW w:w="130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(9)</w:t>
            </w:r>
          </w:p>
        </w:tc>
        <w:tc>
          <w:tcPr>
            <w:tcW w:w="101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(29)</w:t>
            </w:r>
          </w:p>
        </w:tc>
        <w:tc>
          <w:tcPr>
            <w:tcW w:w="115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(114)</w:t>
            </w:r>
          </w:p>
        </w:tc>
        <w:tc>
          <w:tcPr>
            <w:tcW w:w="127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(154)</w:t>
            </w:r>
          </w:p>
        </w:tc>
      </w:tr>
      <w:tr>
        <w:tc>
          <w:tcPr>
            <w:tcW w:w="266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b/>
              </w:rPr>
            </w:pPr>
            <w:r>
              <w:rPr>
                <w:b/>
              </w:rPr>
              <w:t>Общо разходи</w:t>
            </w:r>
          </w:p>
        </w:tc>
        <w:tc>
          <w:tcPr>
            <w:tcW w:w="8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p>
        </w:tc>
        <w:tc>
          <w:tcPr>
            <w:tcW w:w="115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(0)</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(64)</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(1 031)</w:t>
            </w:r>
          </w:p>
        </w:tc>
        <w:tc>
          <w:tcPr>
            <w:tcW w:w="101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(3 082)</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(4 178)</w:t>
            </w:r>
          </w:p>
        </w:tc>
        <w:tc>
          <w:tcPr>
            <w:tcW w:w="13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(1)</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 xml:space="preserve"> (22)</w:t>
            </w:r>
          </w:p>
        </w:tc>
        <w:tc>
          <w:tcPr>
            <w:tcW w:w="101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(1 332)</w:t>
            </w:r>
          </w:p>
        </w:tc>
        <w:tc>
          <w:tcPr>
            <w:tcW w:w="115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(2 549)</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b/>
              </w:rPr>
            </w:pPr>
            <w:r>
              <w:rPr>
                <w:b/>
              </w:rPr>
              <w:t>(3 904)</w:t>
            </w:r>
          </w:p>
        </w:tc>
      </w:tr>
      <w:tr>
        <w:tc>
          <w:tcPr>
            <w:tcW w:w="266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30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1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5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2663"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ИКОНОМИЧЕСКИ РЕЗУЛТАТ ЗА ГОДИНАТА</w:t>
            </w:r>
          </w:p>
        </w:tc>
        <w:tc>
          <w:tcPr>
            <w:tcW w:w="870"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15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0</w:t>
            </w: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(53)</w:t>
            </w: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(1 000)</w:t>
            </w:r>
          </w:p>
        </w:tc>
        <w:tc>
          <w:tcPr>
            <w:tcW w:w="101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(3 065)</w:t>
            </w: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(4 118)</w:t>
            </w:r>
          </w:p>
        </w:tc>
        <w:tc>
          <w:tcPr>
            <w:tcW w:w="130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0</w:t>
            </w: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(13)</w:t>
            </w:r>
          </w:p>
        </w:tc>
        <w:tc>
          <w:tcPr>
            <w:tcW w:w="101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(1 266)</w:t>
            </w:r>
          </w:p>
        </w:tc>
        <w:tc>
          <w:tcPr>
            <w:tcW w:w="1157"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(2 539)</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(3 818)</w:t>
            </w:r>
          </w:p>
        </w:tc>
      </w:tr>
    </w:tbl>
    <w:p>
      <w:pPr>
        <w:pStyle w:val="Textstand-alone"/>
        <w:sectPr>
          <w:headerReference w:type="even" r:id="rId89"/>
          <w:headerReference w:type="default" r:id="rId90"/>
          <w:footerReference w:type="even" r:id="rId91"/>
          <w:footerReference w:type="default" r:id="rId92"/>
          <w:headerReference w:type="first" r:id="rId93"/>
          <w:footerReference w:type="first" r:id="rId94"/>
          <w:pgSz w:w="16838" w:h="11906" w:orient="landscape"/>
          <w:pgMar w:top="1134" w:right="1134" w:bottom="1134" w:left="1134" w:header="708" w:footer="708" w:gutter="0"/>
          <w:cols w:space="708"/>
          <w:docGrid w:linePitch="360"/>
        </w:sectPr>
      </w:pPr>
      <w:r>
        <w:t xml:space="preserve"> </w:t>
      </w:r>
      <w:bookmarkEnd w:id="48"/>
    </w:p>
    <w:p>
      <w:pPr>
        <w:pStyle w:val="HEADERTITLE1"/>
        <w:spacing w:after="0"/>
      </w:pPr>
      <w:bookmarkStart w:id="50" w:name="_Toc9948392"/>
      <w:bookmarkStart w:id="51" w:name="_Toc17797623"/>
      <w:bookmarkStart w:id="52" w:name="_DMBM_14079"/>
      <w:r>
        <w:t>ОТЧЕТ ЗА ПРОМЕНИТЕ В НЕТНИТЕ АКТИВИ ПО ЕФР</w:t>
      </w:r>
      <w:bookmarkEnd w:id="50"/>
      <w:bookmarkEnd w:id="51"/>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701"/>
        <w:gridCol w:w="1604"/>
        <w:gridCol w:w="1373"/>
        <w:gridCol w:w="1559"/>
        <w:gridCol w:w="1560"/>
        <w:gridCol w:w="1275"/>
        <w:gridCol w:w="39"/>
        <w:gridCol w:w="1399"/>
      </w:tblGrid>
      <w:tr>
        <w:trPr>
          <w:cantSplit/>
          <w:trHeight w:val="250"/>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53" w:name="DOC_TBL00007_1_1"/>
            <w:bookmarkEnd w:id="53"/>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cantSplit/>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Осми ЕФР</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 активни ЕФР (A)</w:t>
            </w:r>
          </w:p>
        </w:tc>
        <w:tc>
          <w:tcPr>
            <w:tcW w:w="160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Непоискани средства — активни ЕФР (B)</w:t>
            </w:r>
          </w:p>
        </w:tc>
        <w:tc>
          <w:tcPr>
            <w:tcW w:w="13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 активни ЕФР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Натрупани резерви (D)</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от пренесени закрити ЕФР (E)</w:t>
            </w:r>
          </w:p>
        </w:tc>
        <w:tc>
          <w:tcPr>
            <w:tcW w:w="1314"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трансфери между активни ЕФР (F)</w:t>
            </w:r>
          </w:p>
        </w:tc>
        <w:tc>
          <w:tcPr>
            <w:tcW w:w="139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Общо нетни активи (C)+(D)+(E)+(F)</w:t>
            </w:r>
          </w:p>
        </w:tc>
      </w:tr>
      <w:tr>
        <w:trPr>
          <w:cantSplit/>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САЛДО КЪМ 31.12.2016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12 164</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12 164</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(10 098)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627</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(2 496)</w:t>
            </w:r>
          </w:p>
        </w:tc>
        <w:tc>
          <w:tcPr>
            <w:tcW w:w="1438"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197</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Трансфери от/към 10-ия ЕФР</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Трансфери от/към 11-ия ЕФР</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Икономически резултат за годината</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r>
      <w:tr>
        <w:trPr>
          <w:cantSplit/>
          <w:trHeight w:val="218"/>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САЛДО КЪМ 31.12.2017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12 164</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12 164</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(10 098)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627</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(2 503)</w:t>
            </w:r>
          </w:p>
        </w:tc>
        <w:tc>
          <w:tcPr>
            <w:tcW w:w="1438"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190</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Трансфери от/към 10-ия ЕФР</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r>
      <w:tr>
        <w:trPr>
          <w:cantSplit/>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Икономически резултат за годината</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38"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r>
      <w:tr>
        <w:trPr>
          <w:cantSplit/>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САЛДО КЪМ 31.12.2018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12 164</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12 164</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(10 098)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627</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(2 509)</w:t>
            </w:r>
          </w:p>
        </w:tc>
        <w:tc>
          <w:tcPr>
            <w:tcW w:w="1438"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184</w:t>
            </w:r>
          </w:p>
        </w:tc>
      </w:tr>
    </w:tbl>
    <w:p>
      <w:pPr>
        <w:pStyle w:val="HEADERTABLE"/>
        <w:spacing w:after="0"/>
        <w:rPr>
          <w:noProof/>
        </w:rPr>
      </w:pP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701"/>
        <w:gridCol w:w="1604"/>
        <w:gridCol w:w="1373"/>
        <w:gridCol w:w="1559"/>
        <w:gridCol w:w="1560"/>
        <w:gridCol w:w="1134"/>
        <w:gridCol w:w="180"/>
        <w:gridCol w:w="1399"/>
      </w:tblGrid>
      <w:tr>
        <w:trPr>
          <w:trHeight w:val="250"/>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54" w:name="DOC_TBL00008_1_1"/>
            <w:bookmarkEnd w:id="54"/>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14"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Девети ЕФР</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 активни ЕФР (A)</w:t>
            </w:r>
          </w:p>
        </w:tc>
        <w:tc>
          <w:tcPr>
            <w:tcW w:w="160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Непоискани средства — активни ЕФР (B)</w:t>
            </w:r>
          </w:p>
        </w:tc>
        <w:tc>
          <w:tcPr>
            <w:tcW w:w="13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 активни ЕФР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Натрупани резерви (D)</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от пренесени закрити ЕФР (E)</w:t>
            </w:r>
          </w:p>
        </w:tc>
        <w:tc>
          <w:tcPr>
            <w:tcW w:w="1314"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трансфери между активни ЕФР (F)</w:t>
            </w:r>
          </w:p>
        </w:tc>
        <w:tc>
          <w:tcPr>
            <w:tcW w:w="139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Общо нетни активи (C)+(D)+</w:t>
            </w:r>
          </w:p>
          <w:p>
            <w:pPr>
              <w:pStyle w:val="Heading10pNormalRight025"/>
              <w:rPr>
                <w:rFonts w:eastAsia="Verdana" w:cs="Verdana"/>
              </w:rPr>
            </w:pPr>
            <w:r>
              <w:t>(E)+(F)</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САЛДО КЪМ 31.12.2016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10 973</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10 973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(14 339)</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1 625</w:t>
            </w:r>
          </w:p>
        </w:tc>
        <w:tc>
          <w:tcPr>
            <w:tcW w:w="1314"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2 214</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472</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Възстановяване на държавите членки</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(200)</w:t>
            </w: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(200)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(200)</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Трансфери от/към 10-ия ЕФР</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(37)</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(37)</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Икономически резултат за годината</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(13)</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(13)</w:t>
            </w:r>
          </w:p>
        </w:tc>
      </w:tr>
      <w:tr>
        <w:trPr>
          <w:trHeight w:val="218"/>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САЛДО КЪМ 31.12.2017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10 773</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10 773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(14 352)</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1 625</w:t>
            </w:r>
          </w:p>
        </w:tc>
        <w:tc>
          <w:tcPr>
            <w:tcW w:w="1314"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2 177</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222</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Трансфери от/към 10-ия ЕФР</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(40)</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(40)</w:t>
            </w:r>
          </w:p>
        </w:tc>
      </w:tr>
      <w:tr>
        <w:trPr>
          <w:trHeight w:val="234"/>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Трансфери от/към 11-ия ЕФР</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Икономически резултат за годината</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(53)</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(53)</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САЛДО КЪМ 31.12.2018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10 773</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10 773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(14 406)</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1 625</w:t>
            </w:r>
          </w:p>
        </w:tc>
        <w:tc>
          <w:tcPr>
            <w:tcW w:w="1314"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2 137</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129</w:t>
            </w:r>
          </w:p>
        </w:tc>
      </w:tr>
      <w:tr>
        <w:trPr>
          <w:trHeight w:val="250"/>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55" w:name="DOC_TBL00009_1_1"/>
            <w:bookmarkEnd w:id="55"/>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79"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10-и ЕФР</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 активни ЕФР (A)</w:t>
            </w:r>
          </w:p>
        </w:tc>
        <w:tc>
          <w:tcPr>
            <w:tcW w:w="160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Непоискани средства — активни ЕФР (B)</w:t>
            </w:r>
          </w:p>
        </w:tc>
        <w:tc>
          <w:tcPr>
            <w:tcW w:w="13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 активни ЕФР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Натрупани резерви (D)</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от пренесени закрити ЕФР (E)</w:t>
            </w:r>
          </w:p>
        </w:tc>
        <w:tc>
          <w:tcPr>
            <w:tcW w:w="1314"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трансфери между активни ЕФР (F)</w:t>
            </w:r>
          </w:p>
        </w:tc>
        <w:tc>
          <w:tcPr>
            <w:tcW w:w="139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Общо нетни активи (C)+(D)+(E)+(F)</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САЛДО КЪМ 31.12.2016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20 960</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1 773</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19 187</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(15 812)</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14"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247</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3 622</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Увеличение на капитала — вноски</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(1 773)</w:t>
            </w: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1 773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1 773</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Трансфери от/към осмия и деветия ЕФР</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44</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44</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Трансфери от/към 11-ия ЕФР</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(171)</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(171)</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Икономически резултат за годината</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(1 266)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(1 266)</w:t>
            </w:r>
          </w:p>
        </w:tc>
      </w:tr>
      <w:tr>
        <w:trPr>
          <w:trHeight w:val="218"/>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САЛДО КЪМ 31.12.2017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20 960</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20 960</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(17 078)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14"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120</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4 003</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Трансфери от/към осмия и деветия ЕФР</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47</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47</w:t>
            </w:r>
          </w:p>
        </w:tc>
      </w:tr>
      <w:tr>
        <w:trPr>
          <w:trHeight w:val="234"/>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Трансфери от/към 11-ия ЕФР</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(112)</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(112)</w:t>
            </w:r>
          </w:p>
        </w:tc>
      </w:tr>
      <w:tr>
        <w:trPr>
          <w:trHeight w:val="218"/>
        </w:trPr>
        <w:tc>
          <w:tcPr>
            <w:tcW w:w="407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Икономически резултат за годината</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60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7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(1 000)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14"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39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(1 000)</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САЛДО КЪМ 31.12.2018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20 960</w:t>
            </w:r>
          </w:p>
        </w:tc>
        <w:tc>
          <w:tcPr>
            <w:tcW w:w="160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7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20 960</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(18 077)</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14"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55</w:t>
            </w:r>
          </w:p>
        </w:tc>
        <w:tc>
          <w:tcPr>
            <w:tcW w:w="13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2 938</w:t>
            </w:r>
          </w:p>
        </w:tc>
      </w:tr>
    </w:tbl>
    <w:p>
      <w:pPr>
        <w:pStyle w:val="HEADERTABLE"/>
        <w:spacing w:after="0"/>
        <w:rPr>
          <w:noProof/>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842"/>
        <w:gridCol w:w="1293"/>
        <w:gridCol w:w="1758"/>
        <w:gridCol w:w="1531"/>
        <w:gridCol w:w="1588"/>
        <w:gridCol w:w="1343"/>
        <w:gridCol w:w="1276"/>
      </w:tblGrid>
      <w:tr>
        <w:trPr>
          <w:trHeight w:val="250"/>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56" w:name="DOC_TBL00010_1_1"/>
            <w:bookmarkEnd w:id="56"/>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3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499"/>
        </w:trP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11-и ЕФР</w:t>
            </w: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 активни ЕФР (A)</w:t>
            </w:r>
          </w:p>
        </w:tc>
        <w:tc>
          <w:tcPr>
            <w:tcW w:w="129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Непоискани средства — активни ЕФР (B)</w:t>
            </w:r>
          </w:p>
        </w:tc>
        <w:tc>
          <w:tcPr>
            <w:tcW w:w="1758"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 активни ЕФР (C) = (A)-(B)</w:t>
            </w:r>
          </w:p>
        </w:tc>
        <w:tc>
          <w:tcPr>
            <w:tcW w:w="153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Натрупани резерви (D)</w:t>
            </w:r>
          </w:p>
        </w:tc>
        <w:tc>
          <w:tcPr>
            <w:tcW w:w="1588"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от пренесени закрити ЕФР (E)</w:t>
            </w:r>
          </w:p>
        </w:tc>
        <w:tc>
          <w:tcPr>
            <w:tcW w:w="13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трансфери между активни ЕФР (F)</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Общо нетни активи (C)+(D)+(E)+(F)</w:t>
            </w:r>
          </w:p>
        </w:tc>
      </w:tr>
      <w:tr>
        <w:trPr>
          <w:trHeight w:val="234"/>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САЛДО КЪМ 31.12.2016 г.</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29 367</w:t>
            </w:r>
          </w:p>
        </w:tc>
        <w:tc>
          <w:tcPr>
            <w:tcW w:w="129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29 367</w:t>
            </w:r>
          </w:p>
        </w:tc>
        <w:tc>
          <w:tcPr>
            <w:tcW w:w="175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53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(2 969)</w:t>
            </w:r>
          </w:p>
        </w:tc>
        <w:tc>
          <w:tcPr>
            <w:tcW w:w="158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35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(2 934)</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Увеличение на капитала — вноски</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(2 277)</w:t>
            </w: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2 277</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4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2 277</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spacing w:val="-6"/>
              </w:rPr>
            </w:pPr>
            <w:r>
              <w:rPr>
                <w:spacing w:val="-6"/>
              </w:rPr>
              <w:t>Трансфери от/към осмия, деветия и 10-ия ЕФР</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34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171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171</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Икономически резултат за годината</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(2 539)</w:t>
            </w: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4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(2 539)</w:t>
            </w:r>
          </w:p>
        </w:tc>
      </w:tr>
      <w:tr>
        <w:trPr>
          <w:trHeight w:val="234"/>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САЛДО КЪМ 31.12.2017 г.</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29 367</w:t>
            </w:r>
          </w:p>
        </w:tc>
        <w:tc>
          <w:tcPr>
            <w:tcW w:w="129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27 090</w:t>
            </w:r>
          </w:p>
        </w:tc>
        <w:tc>
          <w:tcPr>
            <w:tcW w:w="175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2 277</w:t>
            </w:r>
          </w:p>
        </w:tc>
        <w:tc>
          <w:tcPr>
            <w:tcW w:w="153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(5 508)</w:t>
            </w:r>
          </w:p>
        </w:tc>
        <w:tc>
          <w:tcPr>
            <w:tcW w:w="158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206</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(3 025)</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Увеличение на капитала — вноски</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(4 250)</w:t>
            </w: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4 250</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4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112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4 362</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spacing w:val="-6"/>
              </w:rPr>
            </w:pPr>
            <w:r>
              <w:rPr>
                <w:spacing w:val="-6"/>
              </w:rPr>
              <w:t>Трансфери от/към осмия, деветия и 10-ия ЕФР</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4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r>
      <w:tr>
        <w:trPr>
          <w:trHeight w:val="218"/>
        </w:trP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Икономически резултат за годината</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75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31"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(3 065)</w:t>
            </w:r>
          </w:p>
        </w:tc>
        <w:tc>
          <w:tcPr>
            <w:tcW w:w="158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34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(3 065)</w:t>
            </w:r>
          </w:p>
        </w:tc>
      </w:tr>
      <w:tr>
        <w:trPr>
          <w:trHeight w:val="234"/>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САЛДО КЪМ 31.12.2018 г.</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29 367</w:t>
            </w:r>
          </w:p>
        </w:tc>
        <w:tc>
          <w:tcPr>
            <w:tcW w:w="129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22 840</w:t>
            </w:r>
          </w:p>
        </w:tc>
        <w:tc>
          <w:tcPr>
            <w:tcW w:w="175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6 527</w:t>
            </w:r>
          </w:p>
        </w:tc>
        <w:tc>
          <w:tcPr>
            <w:tcW w:w="1531"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(8 573)</w:t>
            </w:r>
          </w:p>
        </w:tc>
        <w:tc>
          <w:tcPr>
            <w:tcW w:w="158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w:t>
            </w:r>
          </w:p>
        </w:tc>
        <w:tc>
          <w:tcPr>
            <w:tcW w:w="13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317</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(1 729)</w:t>
            </w:r>
          </w:p>
        </w:tc>
      </w:tr>
    </w:tbl>
    <w:p>
      <w:pPr>
        <w:rPr>
          <w:noProof/>
        </w:rPr>
        <w:sectPr>
          <w:headerReference w:type="even" r:id="rId95"/>
          <w:headerReference w:type="default" r:id="rId96"/>
          <w:footerReference w:type="even" r:id="rId97"/>
          <w:footerReference w:type="default" r:id="rId98"/>
          <w:headerReference w:type="first" r:id="rId99"/>
          <w:footerReference w:type="first" r:id="rId100"/>
          <w:pgSz w:w="16838" w:h="11906" w:orient="landscape"/>
          <w:pgMar w:top="1134" w:right="1134" w:bottom="1134" w:left="1134" w:header="708" w:footer="708" w:gutter="0"/>
          <w:cols w:space="708"/>
          <w:docGrid w:linePitch="360"/>
        </w:sectPr>
      </w:pPr>
      <w:r>
        <w:rPr>
          <w:noProof/>
        </w:rPr>
        <w:t xml:space="preserve"> </w:t>
      </w:r>
      <w:bookmarkEnd w:id="52"/>
    </w:p>
    <w:p>
      <w:pPr>
        <w:pStyle w:val="HEADERTITLE"/>
      </w:pPr>
      <w:bookmarkStart w:id="57" w:name="_DMBM_14128"/>
    </w:p>
    <w:p>
      <w:pPr>
        <w:pStyle w:val="HEADERTITLE"/>
      </w:pPr>
    </w:p>
    <w:p>
      <w:pPr>
        <w:pStyle w:val="HEADERTITLE"/>
      </w:pPr>
    </w:p>
    <w:p>
      <w:pPr>
        <w:pStyle w:val="HEADERTITLE"/>
      </w:pPr>
    </w:p>
    <w:p>
      <w:pPr>
        <w:pStyle w:val="HEADERTITLE"/>
      </w:pPr>
    </w:p>
    <w:p>
      <w:pPr>
        <w:pStyle w:val="HEADERTITLE"/>
      </w:pPr>
    </w:p>
    <w:p>
      <w:pPr>
        <w:pStyle w:val="HEADERTITLE"/>
      </w:pPr>
    </w:p>
    <w:p>
      <w:pPr>
        <w:pStyle w:val="HEADERTITLE"/>
      </w:pPr>
    </w:p>
    <w:p>
      <w:pPr>
        <w:pStyle w:val="HEADERTITLE"/>
      </w:pPr>
    </w:p>
    <w:p>
      <w:pPr>
        <w:pStyle w:val="HEADERTITLE"/>
      </w:pPr>
    </w:p>
    <w:p>
      <w:pPr>
        <w:pStyle w:val="HEADERTITLE1"/>
        <w:spacing w:before="240" w:after="720"/>
        <w:rPr>
          <w:sz w:val="40"/>
        </w:rPr>
      </w:pPr>
      <w:bookmarkStart w:id="58" w:name="_Toc9948393"/>
      <w:bookmarkStart w:id="59" w:name="_Toc17797624"/>
      <w:r>
        <w:rPr>
          <w:sz w:val="40"/>
        </w:rPr>
        <w:t>БЕЛЕЖКИ КЪМ ФИНАНСОВИТЕ ОТЧЕТИ НА ЕФР</w:t>
      </w:r>
      <w:bookmarkEnd w:id="58"/>
      <w:bookmarkEnd w:id="59"/>
    </w:p>
    <w:p>
      <w:pPr>
        <w:pStyle w:val="TOPHEADERNOTE"/>
        <w:rPr>
          <w:noProof/>
        </w:rPr>
      </w:pPr>
      <w:r>
        <w:rPr>
          <w:noProof/>
        </w:rPr>
        <w:t xml:space="preserve"> </w:t>
      </w: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r>
        <w:rPr>
          <w:noProof/>
        </w:rPr>
        <w:t>Следва да се отбележи, че поради закръглянето на цифрите в милиони евро някои финансови данни в таблиците може да изглеждат грешни.</w:t>
      </w:r>
    </w:p>
    <w:bookmarkEnd w:id="57"/>
    <w:p>
      <w:pPr>
        <w:pStyle w:val="Textstand-alone"/>
        <w:sectPr>
          <w:headerReference w:type="even" r:id="rId101"/>
          <w:headerReference w:type="default" r:id="rId102"/>
          <w:footerReference w:type="even" r:id="rId103"/>
          <w:footerReference w:type="default" r:id="rId104"/>
          <w:headerReference w:type="first" r:id="rId105"/>
          <w:footerReference w:type="first" r:id="rId106"/>
          <w:pgSz w:w="11906" w:h="16838"/>
          <w:pgMar w:top="1134" w:right="1134" w:bottom="1134" w:left="1134" w:header="709" w:footer="709" w:gutter="0"/>
          <w:cols w:space="708"/>
          <w:docGrid w:linePitch="360"/>
        </w:sectPr>
      </w:pPr>
    </w:p>
    <w:p>
      <w:pPr>
        <w:pStyle w:val="HEADER1Part2"/>
        <w:rPr>
          <w:noProof/>
        </w:rPr>
      </w:pPr>
      <w:bookmarkStart w:id="60" w:name="Significant_acc_pol"/>
      <w:bookmarkStart w:id="61" w:name="_Toc393205650"/>
      <w:bookmarkStart w:id="62" w:name="_Toc457387394"/>
      <w:bookmarkStart w:id="63" w:name="_CSF_TOC_1_0"/>
      <w:bookmarkStart w:id="64" w:name="_DMBM_14284"/>
      <w:r>
        <w:rPr>
          <w:noProof/>
        </w:rPr>
        <w:t>ВАЖНИ СЧЕТОВОДНИ ПОЛИТИКИ</w:t>
      </w:r>
      <w:bookmarkEnd w:id="60"/>
      <w:bookmarkEnd w:id="61"/>
      <w:bookmarkEnd w:id="62"/>
    </w:p>
    <w:p>
      <w:pPr>
        <w:pStyle w:val="HEADER2Part2"/>
        <w:rPr>
          <w:noProof/>
        </w:rPr>
      </w:pPr>
      <w:r>
        <w:rPr>
          <w:noProof/>
        </w:rPr>
        <w:t>СЧЕТОВОДНИ ПРИНЦИПИ</w:t>
      </w:r>
    </w:p>
    <w:p>
      <w:pPr>
        <w:pStyle w:val="Textstand-alone"/>
      </w:pPr>
      <w:r>
        <w:t xml:space="preserve">Целта на финансовите отчети е да се предостави информация за финансовото състояние, резултатите и паричните потоци на даден субект, която е полезна за широк кръг ползватели. </w:t>
      </w:r>
    </w:p>
    <w:p>
      <w:pPr>
        <w:pStyle w:val="Textstand-alone"/>
      </w:pPr>
      <w:r>
        <w:t>Общите съображения (или счетоводни принципи), които трябва да бъдат съблюдавани при съставянето на финансовите отчети, са посочени в счетоводно правило 1 „Финансови отчети“ на ЕС и са същите като описаните в МССПС 1: честно представяне, текущо начисляване, действащо предприятие, последователно представяне, същественост, агрегиране, прихващане и сравнителна информация. Качествените характеристики на финансовото отчитане са релевантност, достоверно представяне (надеждност), разбираемост, навременност, сравнимост и проверимост.</w:t>
      </w:r>
    </w:p>
    <w:p>
      <w:pPr>
        <w:pStyle w:val="HEADER2Part2"/>
        <w:rPr>
          <w:noProof/>
        </w:rPr>
      </w:pPr>
      <w:r>
        <w:rPr>
          <w:noProof/>
        </w:rPr>
        <w:t>БАЗА ЗА ИЗГОТВЯНЕТО</w:t>
      </w:r>
    </w:p>
    <w:p>
      <w:pPr>
        <w:pStyle w:val="HEADER3Part2"/>
        <w:rPr>
          <w:noProof/>
        </w:rPr>
      </w:pPr>
      <w:r>
        <w:rPr>
          <w:noProof/>
        </w:rPr>
        <w:t>Отчетен период</w:t>
      </w:r>
    </w:p>
    <w:p>
      <w:pPr>
        <w:pStyle w:val="HEADER2Part2"/>
        <w:numPr>
          <w:ilvl w:val="0"/>
          <w:numId w:val="0"/>
        </w:numPr>
        <w:jc w:val="both"/>
        <w:rPr>
          <w:b w:val="0"/>
          <w:noProof/>
          <w:color w:val="auto"/>
          <w:sz w:val="18"/>
          <w:szCs w:val="18"/>
        </w:rPr>
      </w:pPr>
      <w:r>
        <w:rPr>
          <w:b w:val="0"/>
          <w:noProof/>
          <w:color w:val="auto"/>
          <w:sz w:val="18"/>
        </w:rPr>
        <w:t xml:space="preserve">Финансовите отчети се представят ежегодно. Счетоводната година започва на 1 януари и приключва на 31 декември. </w:t>
      </w:r>
    </w:p>
    <w:p>
      <w:pPr>
        <w:pStyle w:val="HEADER3Part2"/>
        <w:rPr>
          <w:noProof/>
        </w:rPr>
      </w:pPr>
      <w:r>
        <w:rPr>
          <w:noProof/>
        </w:rPr>
        <w:t>Валута и база за конвертиране</w:t>
      </w:r>
    </w:p>
    <w:p>
      <w:pPr>
        <w:pStyle w:val="Textstand-alone"/>
      </w:pPr>
      <w:r>
        <w:t>Годишните отчети са представени в милиони евро — работната и отчетна валута на ЕФР. Операциите в чуждестранна валута се конвертират в евро по валутните курсове, които са в сила към датата на операциите. Печалбите и загубите от курсови разлики, произтичащи от уреждането на операции в чуждестранна валута и от повторното конвертиране на паричните активи и пасиви в чуждестранна валута по обменните курсове в края на годината, се признават в отчета за финансовия резултат. Различни методи за конвертиране се прилагат за имотите, машините и съоръженията и за нематериалните активи, които запазват стойността си в евро към датата, на която са закупени.</w:t>
      </w:r>
    </w:p>
    <w:p>
      <w:pPr>
        <w:pStyle w:val="Textstand-alone"/>
      </w:pPr>
      <w:r>
        <w:t>Салдата в края на годината на паричните активи и пасиви, изразени в чуждестранна валута, се конвертират в евро по валутните курсове на Европейската централна банка (ЕЦБ), прилагани на 31 декември.</w:t>
      </w:r>
    </w:p>
    <w:p>
      <w:pPr>
        <w:pStyle w:val="HEADER5"/>
        <w:rPr>
          <w:noProof/>
        </w:rPr>
      </w:pPr>
      <w:r>
        <w:rPr>
          <w:noProof/>
        </w:rPr>
        <w:t>Обменен курс на еврото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trPr>
          <w:cantSplit/>
        </w:trPr>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65" w:name="DOC_TBL00011_1_1"/>
            <w:bookmarkEnd w:id="65"/>
            <w:r>
              <w:t>Валута</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31.12.2018 г.</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 г.</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Валута</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31.12.2018 г.</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 г.</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4,3014</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4,177</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25,7240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25,5350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4,6635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4,6585</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7,4673</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7,4449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10,2548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9,8438</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0,8945</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0,8872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1,1269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1,1702</w:t>
            </w:r>
          </w:p>
        </w:tc>
      </w:tr>
      <w:tr>
        <w:trPr>
          <w:cantSplit/>
        </w:trP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7,4125</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7,4400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125,8500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135,01</w:t>
            </w:r>
          </w:p>
        </w:tc>
      </w:tr>
      <w:tr>
        <w:trPr>
          <w:cantSplit/>
        </w:trPr>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320,9800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310,3300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1,145</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1,1993</w:t>
            </w:r>
          </w:p>
        </w:tc>
      </w:tr>
    </w:tbl>
    <w:p>
      <w:pPr>
        <w:pStyle w:val="HEADER3Part2"/>
        <w:rPr>
          <w:noProof/>
        </w:rPr>
      </w:pPr>
      <w:r>
        <w:rPr>
          <w:noProof/>
        </w:rPr>
        <w:t>Използване на приблизителни оценки</w:t>
      </w:r>
    </w:p>
    <w:p>
      <w:pPr>
        <w:pStyle w:val="Textstand-alone"/>
      </w:pPr>
      <w:r>
        <w:t xml:space="preserve">В съответствие с МССПС и общоприетите счетоводни принципи финансовите отчети по необходимост включват суми, основани на приблизителни оценки и предположения на ръководството, основаващи се на най-надеждната налична информация. Съществените приблизителни оценки включват, наред  друго, начислени приходи и разходи и приходи и разходи за бъдещи периоди, провизии, финансови риск, свързан с вземанията, условни активи и пасиви и степен на обезценка на активите. Действителните резултати могат да се различават от тези приблизителни оценки. </w:t>
      </w:r>
    </w:p>
    <w:p>
      <w:pPr>
        <w:pStyle w:val="Textstand-alone"/>
      </w:pPr>
      <w:r>
        <w:t xml:space="preserve">Разумните приблизителни оценки са основен елемент в изготвянето на финансовите отчети и не намаляват тяхната надеждност. Може да се наложи преразглеждане на приблизителна оценка, ако настъпят промени в обстоятелствата, на които тя се основава, или в резултат на нова информация или допълнително натрупан опит. По своята същност преразглеждането на приблизителната оценка не се свързва с предходни периоди и не представлява корекция на грешка. Ефектът от промяната в счетоводната приблизителна оценка се признава като излишък или дефицит за периодите, в които той стане известен. </w:t>
      </w:r>
    </w:p>
    <w:p>
      <w:pPr>
        <w:pStyle w:val="HEADER2Part2"/>
        <w:rPr>
          <w:noProof/>
        </w:rPr>
      </w:pPr>
      <w:r>
        <w:rPr>
          <w:noProof/>
        </w:rPr>
        <w:t>СЧЕТОВОДЕН БАЛАНС</w:t>
      </w:r>
    </w:p>
    <w:p>
      <w:pPr>
        <w:pStyle w:val="HEADER3Part2"/>
        <w:rPr>
          <w:noProof/>
        </w:rPr>
      </w:pPr>
      <w:bookmarkStart w:id="66" w:name="_Ref471899148"/>
      <w:r>
        <w:rPr>
          <w:noProof/>
        </w:rPr>
        <w:t>Финансови активи</w:t>
      </w:r>
      <w:bookmarkEnd w:id="66"/>
    </w:p>
    <w:p>
      <w:pPr>
        <w:pStyle w:val="Textstand-alone"/>
      </w:pPr>
      <w:r>
        <w:t>Финансовите активи са класифицирани в следните категории: финансови активи по справедлива стойност чрез излишъка или дефицита; заеми и вземания; инвестиции, държани до падеж; и финансови активи на разположение за продажба. Класификацията на финансовите инструменти се определя при първоначалното им признаване и се преоценява към датата на всеки счетоводен баланс.</w:t>
      </w:r>
    </w:p>
    <w:p>
      <w:pPr>
        <w:pStyle w:val="TextSubtitlenumberingRCItalic"/>
        <w:ind w:left="426" w:hanging="426"/>
        <w:rPr>
          <w:noProof/>
        </w:rPr>
      </w:pPr>
      <w:r>
        <w:rPr>
          <w:noProof/>
        </w:rPr>
        <w:t>Финансови активи по справедлива стойност чрез излишъка или дефицита</w:t>
      </w:r>
    </w:p>
    <w:p>
      <w:pPr>
        <w:pStyle w:val="Textstand-alone"/>
      </w:pPr>
      <w:r>
        <w:t>Финансов актив бива класифициран в тази категория, ако е придобит главно с цел продажба в краткосрочен план или ако е посочен като такъв от субекта. Дериватите също попадат в тази категория. Активите в тази категория се класифицират като текущи активи, ако се очаква да бъдат реализирани в срок от 12 месеца от датата на счетоводния баланс. През тази финансова година субектът не е държал инвестиции в тази категория.</w:t>
      </w:r>
    </w:p>
    <w:p>
      <w:pPr>
        <w:pStyle w:val="TextSubtitlenumberingRCItalic"/>
        <w:ind w:left="426" w:hanging="426"/>
        <w:rPr>
          <w:noProof/>
        </w:rPr>
      </w:pPr>
      <w:r>
        <w:rPr>
          <w:noProof/>
        </w:rPr>
        <w:t>Заеми и вземания</w:t>
      </w:r>
    </w:p>
    <w:p>
      <w:pPr>
        <w:pStyle w:val="Textstand-alone"/>
      </w:pPr>
      <w:r>
        <w:t>Заемите и вземанията са недериватни финансови активи с фиксирани или определими плащания, които не се котират на активен пазар. Те възникват, когато субектът предоставя пари, стоки или услуги пряко на длъжник, без намерение да търгува с вземането. Те се включват в нетекущите активи, освен ако падежът им настъпва в рамките на 12 месеца от датата на счетоводния баланс. Заемите и вземанията включват срочните депозити с първоначален срок от над три месеца.</w:t>
      </w:r>
    </w:p>
    <w:p>
      <w:pPr>
        <w:pStyle w:val="TextSubtitlenumberingRCItalic"/>
        <w:ind w:left="426" w:hanging="426"/>
        <w:rPr>
          <w:noProof/>
        </w:rPr>
      </w:pPr>
      <w:r>
        <w:rPr>
          <w:noProof/>
        </w:rPr>
        <w:t>Инвестиции, държани до падеж</w:t>
      </w:r>
    </w:p>
    <w:p>
      <w:pPr>
        <w:pStyle w:val="Textstand-alone"/>
      </w:pPr>
      <w:r>
        <w:t xml:space="preserve">Инвестициите, държани до падеж, представляват недериватни финансови активи с фиксирани или определими плащания и фиксиран падеж, които субектът има категоричното намерение и възможност да държи до падеж. През тази финансова година субектът не е държал инвестиции в тази категория. </w:t>
      </w:r>
    </w:p>
    <w:p>
      <w:pPr>
        <w:pStyle w:val="TextSubtitlenumberingRCItalic"/>
        <w:ind w:left="426" w:hanging="426"/>
        <w:rPr>
          <w:noProof/>
        </w:rPr>
      </w:pPr>
      <w:r>
        <w:rPr>
          <w:noProof/>
        </w:rPr>
        <w:t>Финансови активи на разположение за продажба</w:t>
      </w:r>
    </w:p>
    <w:p>
      <w:pPr>
        <w:pStyle w:val="Textstand-alone"/>
      </w:pPr>
      <w:r>
        <w:t>Финансовите активи на разположение за продажба са недериватни инструменти, които или са посочени в тази категория, или не са класифицирани в никоя от другите категории. Те се класифицират или като текущи, или като нетекущи активи в зависимост от периода от време, през който субектът очаква да ги държи и който обикновено е срокът до настъпването на падежа. През тази финансова година субектът не е държал инвестиции в тази категория.</w:t>
      </w:r>
    </w:p>
    <w:p>
      <w:pPr>
        <w:pStyle w:val="HEADER5"/>
        <w:keepNext/>
        <w:keepLines/>
        <w:rPr>
          <w:noProof/>
        </w:rPr>
      </w:pPr>
      <w:r>
        <w:rPr>
          <w:noProof/>
        </w:rPr>
        <w:t>Първоначално признаване и оценяване</w:t>
      </w:r>
    </w:p>
    <w:p>
      <w:pPr>
        <w:pStyle w:val="Textstand-alone"/>
        <w:keepNext/>
        <w:keepLines/>
      </w:pPr>
      <w:r>
        <w:t>Покупките и продажбите на финансови активи по справедлива стойност чрез излишъка или дефицита, държани до падеж и обявени за продажба, се признават на датата на търгуване — датата, на която субектът поема задължение да закупи или продаде актива. Паричните еквиваленти и заемите се признават, когато паричните средства се депозират във финансова институция или се отпускат авансово на заемополучатели. Финансовите инструменти първоначално се признават по справедлива стойност. Трансакционните разходи за всички финансови активи, които не са отчетени по справедлива стойност чрез излишъка или дефицита, се добавят към справедливата стойност при първоначалното признаване.</w:t>
      </w:r>
    </w:p>
    <w:p>
      <w:pPr>
        <w:pStyle w:val="Textstand-alone"/>
      </w:pPr>
      <w:r>
        <w:t>Финансовите инструменти се отписват, когато правата за получаване на парични потоци от инвестициите са изтекли или субектът по същество е прехвърлил всички рискове и ползи от собствеността на друга страна.</w:t>
      </w:r>
    </w:p>
    <w:p>
      <w:pPr>
        <w:pStyle w:val="HEADER5"/>
        <w:keepNext/>
        <w:keepLines/>
        <w:rPr>
          <w:noProof/>
        </w:rPr>
      </w:pPr>
      <w:r>
        <w:rPr>
          <w:noProof/>
        </w:rPr>
        <w:t>Последващо оценяване</w:t>
      </w:r>
    </w:p>
    <w:p>
      <w:pPr>
        <w:pStyle w:val="Textstand-alone"/>
        <w:keepNext/>
        <w:keepLines/>
      </w:pPr>
      <w:r>
        <w:t>Финансовите активи, отчитани по справедлива стойност чрез излишъка или дефицита, впоследствие се осчетоводяват по справедлива стойност, като печалбите и загубите, възникнали от промени в справедливата стойност, се включват в отчета за финансовия резултат за периода, в който възникват.</w:t>
      </w:r>
    </w:p>
    <w:p>
      <w:pPr>
        <w:pStyle w:val="Textstand-alone"/>
      </w:pPr>
      <w:r>
        <w:t>Заемите и вземанията и инвестициите, държани до падеж, се отчитат по амортизирана стойност чрез метода на ефективната лихва.</w:t>
      </w:r>
    </w:p>
    <w:p>
      <w:pPr>
        <w:pStyle w:val="Textstand-alone"/>
      </w:pPr>
      <w:r>
        <w:t xml:space="preserve">Финансовите активи на разположение за продажба впоследствие се отчитат по справедлива стойност. Печалбите и загубите от промени в справедливата стойност се признават в резерва на справедливата стойност. Лихвата по финансовите активи на разположение за продажба изчислена по метода на ефективната лихва, се признава в отчета за финансовия резултат. </w:t>
      </w:r>
    </w:p>
    <w:p>
      <w:pPr>
        <w:pStyle w:val="Textstand-alone"/>
      </w:pPr>
      <w:r>
        <w:t xml:space="preserve">Субектът преценява на датата на всеки счетоводен баланс дали има обективни доказателства, че даден финансов актив се е обезценил, и дали в отчета за финансовия резултат следва да се впише загуба от обезценка.     </w:t>
      </w:r>
    </w:p>
    <w:p>
      <w:pPr>
        <w:pStyle w:val="HEADER3Part2"/>
        <w:rPr>
          <w:noProof/>
        </w:rPr>
      </w:pPr>
      <w:r>
        <w:rPr>
          <w:noProof/>
        </w:rPr>
        <w:t>Суми по предварителното финансиране</w:t>
      </w:r>
    </w:p>
    <w:p>
      <w:pPr>
        <w:pStyle w:val="Textstand-alone"/>
      </w:pPr>
      <w:r>
        <w:t>Предварителното финансиране е плащане, предназначено да осигури на бенефициера паричен аванс, т.е. налични средства. То може да се раздели на няколко плащания в продължение на период от време, определен в конкретния договор, решение, споразумение или основен правен акт. Наличните средства, или авансът, се използват за целта, за която са осигурени, през периода, определен в споразумението, или се връщат. Ако бенефициерът не направи допустими разходи, той е длъжен да върне авансово предоставената сума на субекта. Сумата по предварителното финансиране може да бъде намалена (изцяло или частично) с приемането на допустимите разходи (които се признават като разходи).</w:t>
      </w:r>
    </w:p>
    <w:p>
      <w:pPr>
        <w:pStyle w:val="Textstand-alone"/>
      </w:pPr>
      <w:r>
        <w:t>На следващите дати на счетоводния баланс предварителното финансиране се оценява по стойността, първоначално призната в счетоводния баланс, минус допустимите разходи (включително прогнозните суми, когато е необходимо), направени през периода.</w:t>
      </w:r>
    </w:p>
    <w:p>
      <w:pPr>
        <w:pStyle w:val="HEADER3Part2"/>
        <w:rPr>
          <w:noProof/>
        </w:rPr>
      </w:pPr>
      <w:r>
        <w:rPr>
          <w:noProof/>
        </w:rPr>
        <w:t>Вземания и средства, подлежащи на събиране</w:t>
      </w:r>
    </w:p>
    <w:p>
      <w:pPr>
        <w:pStyle w:val="Textstand-alone"/>
      </w:pPr>
      <w:r>
        <w:t>Тъй като счетоводните правила на ЕС изискват отделно представяне на операциите с размяна и без размяна, за целите на изготвянето на отчетите вземанията се дефинират като произтичащи от операции с размяна, а средствата, подлежащи на събиране, се дефинират като произтичащи от операции без размяна (когато субектът получава стойност от друг субект, без да дава директно в замяна приблизително същата стойност).</w:t>
      </w:r>
    </w:p>
    <w:p>
      <w:pPr>
        <w:pStyle w:val="Textstand-alone"/>
      </w:pPr>
      <w:r>
        <w:t>Вземанията от операции с размяна отговарят на определението за финансови инструменти и поради това се класифицират като заеми и вземания и се оценяват по съответния начин (вж. точка </w:t>
      </w:r>
      <w:r>
        <w:rPr>
          <w:b/>
        </w:rPr>
        <w:t>1.3.1</w:t>
      </w:r>
      <w:r>
        <w:t xml:space="preserve"> above).</w:t>
      </w:r>
    </w:p>
    <w:p>
      <w:pPr>
        <w:pStyle w:val="Textstand-alone"/>
      </w:pPr>
      <w:r>
        <w:t>Средствата, подлежащи на събиране, от операции без размяна се отчитат по първоначална стойност (коригирана с лихвите и глобите) минус намалението за обезценка. Намаляване за обезценка се прави, когато има обективно доказателство, че субектът няма да може да събере всички дължими суми в съответствие с първоначалните срокове за средствата, подлежащи на събиране. Размерът на намалението е разликата между балансовата стойност на актива и възстановимата стойност. Размерът на намалението се признава в отчета за финансовия резултат.</w:t>
      </w:r>
    </w:p>
    <w:p>
      <w:pPr>
        <w:pStyle w:val="HEADER3Part2"/>
        <w:rPr>
          <w:noProof/>
        </w:rPr>
      </w:pPr>
      <w:r>
        <w:rPr>
          <w:noProof/>
        </w:rPr>
        <w:t>Пари и парични еквиваленти</w:t>
      </w:r>
    </w:p>
    <w:p>
      <w:pPr>
        <w:pStyle w:val="Textstand-alone"/>
      </w:pPr>
      <w:r>
        <w:t>Парите и паричните еквиваленти представляват финансови инструменти и включват парите в брой, депозитите по разплащателни или краткосрочни спестовни сметки в банки и другите краткосрочни високоликвидни инвестиции с първоначален срок от три месеца или под три месеца.</w:t>
      </w:r>
    </w:p>
    <w:p>
      <w:pPr>
        <w:pStyle w:val="Textstand-alone"/>
      </w:pPr>
    </w:p>
    <w:p>
      <w:pPr>
        <w:pStyle w:val="HEADER3Part2"/>
        <w:rPr>
          <w:noProof/>
        </w:rPr>
      </w:pPr>
      <w:r>
        <w:rPr>
          <w:noProof/>
        </w:rPr>
        <w:t>Провизии</w:t>
      </w:r>
    </w:p>
    <w:p>
      <w:pPr>
        <w:pStyle w:val="Textstand-alone"/>
      </w:pPr>
      <w:r>
        <w:t>Провизиите се признават, когато субектът има настоящо правно или конструктивно задължение към трети страни в резултат на минали събития, когато е по-вероятно да е необходим изходящ поток от ресурси за уреждане на задължението и когато сумата може да бъде надеждно оценена. Провизии не се признават за бъдещи оперативни загуби. Размерът на провизията е най-точната оценка на разходите, които се очаква да бъдат необходими за уреждане на сегашното задължение към отчетната дата. Когато провизията включва голям брой позиции, задължението се оценява, като бъдат претеглени всички възможни резултати чрез свързаните с тях вероятности (метод на очакваната стойност).</w:t>
      </w:r>
    </w:p>
    <w:p>
      <w:pPr>
        <w:pStyle w:val="HEADER3Part2"/>
        <w:rPr>
          <w:noProof/>
        </w:rPr>
      </w:pPr>
      <w:r>
        <w:rPr>
          <w:noProof/>
        </w:rPr>
        <w:t>Задължения</w:t>
      </w:r>
    </w:p>
    <w:p>
      <w:pPr>
        <w:pStyle w:val="Textstand-alone"/>
      </w:pPr>
      <w:r>
        <w:t xml:space="preserve">По сметките за задължения са включени както сумите, свързани с операции с размяна като закупуването на стоки и услуги, така и сумите, свързани с операции без размяна като декларации за разходи от бенефициери, безвъзмездни средства или друго финансиране от ЕС. </w:t>
      </w:r>
    </w:p>
    <w:p>
      <w:pPr>
        <w:pStyle w:val="Textstand-alone"/>
      </w:pPr>
      <w:r>
        <w:t>Когато на бенефициерите се предоставят безвъзмездни средства или друго финансиране, декларациите за разходи се записват като задължения в размер на исканата сума при получаване на декларацията за разходи. След проверка и приемане на допустимите разходи задълженията се оценяват по приетата и допустима стойност.</w:t>
      </w:r>
    </w:p>
    <w:p>
      <w:pPr>
        <w:pStyle w:val="Textstand-alone"/>
      </w:pPr>
      <w:r>
        <w:t>Задълженията, възникващи от закупуването на стоки и услуги, се признават при получаването на фактурата за първоначалната сума и съответните разходи се вписват в сметките, когато доставките или услугите бъдат извършени и приети от субекта.</w:t>
      </w:r>
    </w:p>
    <w:p>
      <w:pPr>
        <w:pStyle w:val="HEADER3Part2"/>
        <w:rPr>
          <w:noProof/>
        </w:rPr>
      </w:pPr>
      <w:r>
        <w:rPr>
          <w:noProof/>
        </w:rPr>
        <w:t>Начислени приходи и разходи и приходи и разходи за бъдещи периоди</w:t>
      </w:r>
    </w:p>
    <w:p>
      <w:pPr>
        <w:pStyle w:val="DGTextstand-alone"/>
      </w:pPr>
      <w:r>
        <w:t>Операциите и събитията се признават във финансовите отчети през периода, за който се отнасят. В края на годината, ако все още не е издадена фактура, но услугата е предоставена, доставките са извършени от субекта или съществува договорно споразумение (напр. чрез позоваване на договор), във финансовите отчети се признава начислен приход. Освен това в края на годината, ако е издадена фактура, но услугите все още не са предоставени или стоките не са доставени, приходът се отсрочва и признава през следващия отчетен период.</w:t>
      </w:r>
    </w:p>
    <w:p>
      <w:pPr>
        <w:pStyle w:val="DGTextstand-alone"/>
      </w:pPr>
      <w:r>
        <w:t xml:space="preserve">Разходите също се отчитат през периода, за който се отнасят. В края на отчетния период начислените разходи се признават въз основа на очакван размер на задължението за прехвърляне за периода. Изчисляването на начислените разходи се прави в съответствие с подробни оперативни и практически насоки, издадени от счетоводителя и насочени към гарантиране на това, че финансовите отчети дават вярна представа за икономическите и другите явления, които се предполага, че представляват. По аналогия, ако дадено плащане е предварително извършено за стоки или услуги, които все още не са получени, разходите ще бъдат отсрочени и признати през следващия отчетен период. </w:t>
      </w:r>
    </w:p>
    <w:p>
      <w:pPr>
        <w:pStyle w:val="HEADER2Part2"/>
        <w:spacing w:before="0"/>
        <w:rPr>
          <w:noProof/>
        </w:rPr>
      </w:pPr>
      <w:r>
        <w:rPr>
          <w:noProof/>
        </w:rPr>
        <w:t>ОТЧЕТ ЗА ФИНАНСОВИЯ РЕЗУЛТАТ</w:t>
      </w:r>
    </w:p>
    <w:p>
      <w:pPr>
        <w:pStyle w:val="HEADER3Part2"/>
        <w:rPr>
          <w:noProof/>
        </w:rPr>
      </w:pPr>
      <w:r>
        <w:rPr>
          <w:noProof/>
        </w:rPr>
        <w:t>Приходи</w:t>
      </w:r>
    </w:p>
    <w:p>
      <w:pPr>
        <w:pStyle w:val="Textstand-alone"/>
      </w:pPr>
      <w:r>
        <w:t xml:space="preserve">Приходите обхващат брутните входящи потоци от икономически ползи или потенциал за предоставяне на услуги, получени и дължими на субекта, които представляват увеличение на нетните активи, различно от увеличенията, свързани с вноските на собствениците. </w:t>
      </w:r>
    </w:p>
    <w:p>
      <w:pPr>
        <w:pStyle w:val="Textstand-alone"/>
      </w:pPr>
      <w:r>
        <w:t xml:space="preserve">В зависимост от естеството на извършените операции в отчета за финансовия резултат се прави разграничение между:  </w:t>
      </w:r>
    </w:p>
    <w:p>
      <w:pPr>
        <w:pStyle w:val="TextSubtitlenumberingRCItalic"/>
        <w:numPr>
          <w:ilvl w:val="0"/>
          <w:numId w:val="124"/>
        </w:numPr>
        <w:rPr>
          <w:noProof/>
        </w:rPr>
      </w:pPr>
      <w:r>
        <w:rPr>
          <w:noProof/>
        </w:rPr>
        <w:t>Приходи от операции без размяна</w:t>
      </w:r>
    </w:p>
    <w:p>
      <w:pPr>
        <w:pStyle w:val="Textstand-alone"/>
      </w:pPr>
      <w:r>
        <w:t xml:space="preserve">Приходите от операции без размяна са данъци и трансфери, защото прехвърлителят предоставя ресурси на приемащия субект, без приемащият субект директно да предоставя приблизително еднаква стойност в замяна. </w:t>
      </w:r>
    </w:p>
    <w:p>
      <w:pPr>
        <w:pStyle w:val="Textstand-alone"/>
      </w:pPr>
      <w:r>
        <w:t>Трансферите са входящи потоци на бъдещи икономически ползи или потенциал за предоставяне на услуги от операции без размяна, различни от данъци. Субектът признава актив от трансфери, когато субектът контролира ресурсите в резултат на минали събития (трансфера) и очаква да получи бъдещи икономически ползи или потенциал за предоставяне на услуги от тези ресурси и когато справедливата стойност може да бъде измерена по надежден начин. Входящ поток от ресурси от операция без размяна, признат като актив (т.е. парични средства), се признава също и като приход, освен до степента, до която субектът има сегашно задължение по отношение на трансфера (условие), което трябва да бъде изпълнено, за да могат приходите да бъдат признати. Докато условието бъде изпълнено, приходът се отсрочва и признава като пасив (получено предварително финансиране).</w:t>
      </w:r>
    </w:p>
    <w:p>
      <w:pPr>
        <w:pStyle w:val="TextSubtitlenumberingRCItalic"/>
        <w:rPr>
          <w:noProof/>
        </w:rPr>
      </w:pPr>
      <w:r>
        <w:rPr>
          <w:noProof/>
        </w:rPr>
        <w:t>Приходи от операции с размяна</w:t>
      </w:r>
    </w:p>
    <w:p>
      <w:pPr>
        <w:pStyle w:val="Textstand-alone"/>
      </w:pPr>
      <w:r>
        <w:t>Приходите от продажбата на стоки и услуги се признават, когато значителните рискове и ползи от собствеността върху стоките се прехвърлят на купувача. Приходите, свързани с операция, включваща предоставянето на услуги, се признават в зависимост от етапа на завършеност на операцията към отчетната дата.</w:t>
      </w:r>
    </w:p>
    <w:p>
      <w:pPr>
        <w:pStyle w:val="HEADER3Part2"/>
        <w:rPr>
          <w:noProof/>
        </w:rPr>
      </w:pPr>
      <w:r>
        <w:rPr>
          <w:noProof/>
        </w:rPr>
        <w:t>Разходи</w:t>
      </w:r>
    </w:p>
    <w:p>
      <w:pPr>
        <w:pStyle w:val="Textstand-alone"/>
      </w:pPr>
      <w:r>
        <w:t xml:space="preserve">Разходите са намаления на икономически ползи или потенциал за предоставяне на услуги по време на отчетния период под формата на изходящи потоци, потребление на активи или поемане на задължения, което води до намаления на нетните активи/капитала. Те включват както разходите от операции с размяна, така и разходите от операции без </w:t>
      </w:r>
      <w:r>
        <w:noBreakHyphen/>
        <w:t xml:space="preserve">размяна. </w:t>
      </w:r>
    </w:p>
    <w:p>
      <w:pPr>
        <w:pStyle w:val="Textstand-alone"/>
      </w:pPr>
      <w:r>
        <w:t xml:space="preserve">Разходите от операции с размяна, възникващи от закупуването на стоки и услуги, се признават, когато доставките бъдат извършени и приети от субекта. Те се оценяват по първоначална фактурна стойност. Освен това към датата на счетоводния баланс разходите, свързани с предоставените услуги през периода, за който още не е получена или приета фактура, се признават в отчета за финансовия резултат. </w:t>
      </w:r>
    </w:p>
    <w:p>
      <w:pPr>
        <w:pStyle w:val="Textstand-alone"/>
      </w:pPr>
      <w:r>
        <w:t>Разходите от операции без размяна се отнасят до трансферите към бенефициери и могат да бъдат три вида: вземания, трансфери по споразумения и дискреционни безвъзмездни средства, вноски и дарения. Трансферите се признават като разходи в периода, през който са настъпили събитията, пораждащи трансфера, при условие че естеството на трансфера се допуска от нормативната уредба или е подписано споразумение, разрешаващо трансфера; бенефициерът е изпълнил всички критерии за допустимост; и може да бъде направена разумна оценка на сумата.</w:t>
      </w:r>
    </w:p>
    <w:p>
      <w:pPr>
        <w:pStyle w:val="Textstand-alone"/>
      </w:pPr>
      <w:r>
        <w:t>Когато бъде получено искане за плащане или декларация за разходи, които изпълняват критериите за признаване, те се признават като разход в размер на допустимата сума. В края на годината направените допустими разходи, които се дължат на бенефициерите, но които все още не са докладвани, се оценяват и записват като начислени разходи.</w:t>
      </w:r>
    </w:p>
    <w:p>
      <w:pPr>
        <w:pStyle w:val="HEADER2Part2"/>
        <w:keepNext/>
        <w:keepLines/>
        <w:rPr>
          <w:noProof/>
        </w:rPr>
      </w:pPr>
      <w:r>
        <w:rPr>
          <w:noProof/>
        </w:rPr>
        <w:t>УСЛОВНИ АКТИВИ И ПАСИВИ</w:t>
      </w:r>
    </w:p>
    <w:p>
      <w:pPr>
        <w:pStyle w:val="HEADER3Part2"/>
        <w:keepNext/>
        <w:keepLines/>
        <w:rPr>
          <w:noProof/>
        </w:rPr>
      </w:pPr>
      <w:r>
        <w:rPr>
          <w:noProof/>
        </w:rPr>
        <w:t xml:space="preserve">Условни активи </w:t>
      </w:r>
    </w:p>
    <w:p>
      <w:pPr>
        <w:pStyle w:val="Textstand-alone"/>
        <w:keepNext/>
        <w:keepLines/>
      </w:pPr>
      <w:r>
        <w:t>Условен актив е възможен актив, който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субекта. Условен актив се оповестява, когато е вероятна появата на входящ поток от икономически ползи или на потенциал за предоставяне на услуги.</w:t>
      </w:r>
    </w:p>
    <w:p>
      <w:pPr>
        <w:pStyle w:val="HEADER3Part2"/>
        <w:rPr>
          <w:noProof/>
        </w:rPr>
      </w:pPr>
      <w:r>
        <w:rPr>
          <w:noProof/>
        </w:rPr>
        <w:t xml:space="preserve">Условни пасиви </w:t>
      </w:r>
    </w:p>
    <w:p>
      <w:pPr>
        <w:pStyle w:val="Textstand-alone"/>
      </w:pPr>
      <w:r>
        <w:t>Условен пасив е възможно задължение, което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субекта; или настоящо задължение, което възниква от минали събития, но не е признато, защото: не е вероятно да бъде необходим изходящ поток от ресурси, съдържащ икономически ползи или потенциал за предоставяне на услуги, за уреждане на задължението или в редките случаи, когато размерът на задължението не може да бъде оценен достатъчно надеждно.</w:t>
      </w:r>
      <w:bookmarkEnd w:id="63"/>
    </w:p>
    <w:bookmarkEnd w:id="64"/>
    <w:p>
      <w:pPr>
        <w:pStyle w:val="Textstand-alone"/>
        <w:sectPr>
          <w:headerReference w:type="even" r:id="rId107"/>
          <w:headerReference w:type="default" r:id="rId108"/>
          <w:footerReference w:type="even" r:id="rId109"/>
          <w:footerReference w:type="default" r:id="rId110"/>
          <w:headerReference w:type="first" r:id="rId111"/>
          <w:footerReference w:type="first" r:id="rId112"/>
          <w:pgSz w:w="11906" w:h="16838"/>
          <w:pgMar w:top="1134" w:right="1134" w:bottom="1134" w:left="1134" w:header="709" w:footer="709" w:gutter="0"/>
          <w:cols w:space="708"/>
          <w:docGrid w:linePitch="360"/>
        </w:sectPr>
      </w:pPr>
    </w:p>
    <w:p>
      <w:pPr>
        <w:pStyle w:val="HEADER2Part2"/>
        <w:rPr>
          <w:noProof/>
        </w:rPr>
      </w:pPr>
      <w:bookmarkStart w:id="67" w:name="_DMBM_14202"/>
      <w:r>
        <w:rPr>
          <w:noProof/>
        </w:rPr>
        <w:t>СЪФИНАНСИРАНЕ</w:t>
      </w:r>
    </w:p>
    <w:p>
      <w:pPr>
        <w:pStyle w:val="Textstand-alone"/>
      </w:pPr>
      <w:r>
        <w:t>Получените вноски по съфинансирането изпълняват критериите за условни приходи от операции без размяна и са представени като задължения към държавите членки, трети държави и други. ЕФР трябва да използва вноските, за да предоставя услуги на трети страни, или в противен случай трябва да върне активите (получените вноски). Неизплатените задължения, свързани със споразумения за съфинансиране, представляват получените вноски за съфинансиране минус направените разходи по проекта. Ефектът върху нетните активи е нулев.</w:t>
      </w:r>
    </w:p>
    <w:p>
      <w:pPr>
        <w:pStyle w:val="Textstand-alone"/>
      </w:pPr>
      <w:r>
        <w:t>Разходите, свързани с проекти за съфинансиране, се признават в момента на възникването им. Съответната сума на вноските се признава като оперативни приходи и ефектът върху финансовия резултат за годината е нулев.</w:t>
      </w:r>
    </w:p>
    <w:bookmarkEnd w:id="67"/>
    <w:p>
      <w:pPr>
        <w:pStyle w:val="Textstand-alone"/>
        <w:spacing w:before="0" w:after="0"/>
        <w:sectPr>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134" w:right="1134" w:bottom="1134" w:left="1134" w:header="709" w:footer="709" w:gutter="0"/>
          <w:cols w:space="708"/>
          <w:docGrid w:linePitch="360"/>
        </w:sectPr>
      </w:pPr>
    </w:p>
    <w:p>
      <w:pPr>
        <w:pStyle w:val="HEADER1Part2"/>
        <w:spacing w:after="0"/>
        <w:rPr>
          <w:noProof/>
        </w:rPr>
      </w:pPr>
      <w:bookmarkStart w:id="68" w:name="_DMBM_14168"/>
      <w:r>
        <w:rPr>
          <w:noProof/>
        </w:rPr>
        <w:t>БЕЛЕЖКИ КЪМ СЧЕТОВОДНИЯ БАЛАНС</w:t>
      </w:r>
    </w:p>
    <w:p>
      <w:pPr>
        <w:pStyle w:val="Textstand-alone"/>
        <w:spacing w:before="0" w:after="0"/>
        <w:sectPr>
          <w:headerReference w:type="even" r:id="rId119"/>
          <w:headerReference w:type="default" r:id="rId120"/>
          <w:footerReference w:type="even" r:id="rId121"/>
          <w:footerReference w:type="default" r:id="rId122"/>
          <w:headerReference w:type="first" r:id="rId123"/>
          <w:footerReference w:type="first" r:id="rId124"/>
          <w:pgSz w:w="11906" w:h="16838"/>
          <w:pgMar w:top="1134" w:right="1134" w:bottom="1134" w:left="1134" w:header="709" w:footer="709" w:gutter="0"/>
          <w:cols w:space="708"/>
          <w:docGrid w:linePitch="360"/>
        </w:sectPr>
      </w:pPr>
      <w:r>
        <w:t xml:space="preserve"> </w:t>
      </w:r>
      <w:bookmarkEnd w:id="68"/>
    </w:p>
    <w:p>
      <w:pPr>
        <w:pStyle w:val="HEADERTABLE"/>
        <w:spacing w:after="0"/>
        <w:rPr>
          <w:noProof/>
        </w:rPr>
        <w:sectPr>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134" w:right="1134" w:bottom="1134" w:left="1134" w:header="708" w:footer="708" w:gutter="0"/>
          <w:cols w:space="708"/>
          <w:docGrid w:linePitch="360"/>
        </w:sectPr>
      </w:pPr>
      <w:bookmarkStart w:id="69" w:name="_DMBM_14129"/>
      <w:r>
        <w:rPr>
          <w:noProof/>
        </w:rPr>
        <w:t>АКТИВИ</w:t>
      </w:r>
      <w:bookmarkEnd w:id="69"/>
    </w:p>
    <w:p>
      <w:pPr>
        <w:pStyle w:val="HEADER2Part2"/>
        <w:spacing w:before="120" w:after="120"/>
        <w:rPr>
          <w:noProof/>
        </w:rPr>
      </w:pPr>
      <w:bookmarkStart w:id="70" w:name="_DMBM_14189"/>
      <w:r>
        <w:rPr>
          <w:noProof/>
        </w:rPr>
        <w:t>ПРЕДВАРИТЕЛНО ФИНАНСИРАНЕ</w:t>
      </w:r>
    </w:p>
    <w:p>
      <w:pPr>
        <w:pStyle w:val="Textstand-alone"/>
        <w:spacing w:before="0" w:after="120"/>
      </w:pPr>
      <w:r>
        <w:t>Много договори предвиждат заплащането на аванс преди започване на строителни работи, доставка на стоки или предоставяне на услуги. Понякога графикът на плащане в договора предвижда плащане въз основа на докладите за напредъка. Обикновено предварителното финансиране се изплаща във валутата на държавата или територията, в които е осъществен проектът.</w:t>
      </w:r>
    </w:p>
    <w:p>
      <w:pPr>
        <w:pStyle w:val="Textstand-alone"/>
        <w:spacing w:before="0" w:after="0"/>
        <w:rPr>
          <w:spacing w:val="-2"/>
        </w:rPr>
      </w:pPr>
      <w:r>
        <w:rPr>
          <w:spacing w:val="-2"/>
        </w:rPr>
        <w:t xml:space="preserve">Моментът, избран за събирането или усвояването на предварителното финансиране, определя дали то се оповестява като текущ или нетекущ актив по предварително финансиране. Усвояването се определя от споразумението, на което проектът се основава. Всяко възстановяване на средства или усвояване, което трябва да се осъществи преди изтичането на дванадесет месеца от отчетната дата, се оповестява като текущо </w:t>
      </w:r>
      <w:r>
        <w:rPr>
          <w:spacing w:val="-2"/>
        </w:rPr>
        <w:noBreakHyphen/>
        <w:t>предварително финансиране. Тъй като много от проектите на ЕФР са с дългосрочен характер, необходимо е свързаните с тях аванси да бъдат на разположение за повече от една година. Затова тези суми по предварително финансиране са показани като нетекущи активи.</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37"/>
        <w:gridCol w:w="1134"/>
        <w:gridCol w:w="992"/>
        <w:gridCol w:w="993"/>
        <w:gridCol w:w="850"/>
        <w:gridCol w:w="1418"/>
        <w:gridCol w:w="1417"/>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1" w:name="DOC_TBL00013_1_1"/>
            <w:bookmarkEnd w:id="71"/>
          </w:p>
        </w:tc>
        <w:tc>
          <w:tcPr>
            <w:tcW w:w="73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2376"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73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Забележка</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99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 г.</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 г.</w:t>
            </w:r>
          </w:p>
        </w:tc>
      </w:tr>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Нетекущо предварително финансиране</w:t>
            </w:r>
          </w:p>
        </w:tc>
        <w:tc>
          <w:tcPr>
            <w:tcW w:w="73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2.1.1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23</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520</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344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887</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582</w:t>
            </w:r>
          </w:p>
        </w:tc>
      </w:tr>
      <w:tr>
        <w:tc>
          <w:tcPr>
            <w:tcW w:w="237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Текущо предварително финансиране</w:t>
            </w:r>
          </w:p>
        </w:tc>
        <w:tc>
          <w:tcPr>
            <w:tcW w:w="73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2.1.2</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445</w:t>
            </w:r>
          </w:p>
        </w:tc>
        <w:tc>
          <w:tcPr>
            <w:tcW w:w="85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984</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1 448</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1 518</w:t>
            </w:r>
          </w:p>
        </w:tc>
      </w:tr>
      <w:tr>
        <w:tc>
          <w:tcPr>
            <w:tcW w:w="237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rPr>
            </w:pPr>
            <w:r>
              <w:t>Общо</w:t>
            </w:r>
          </w:p>
        </w:tc>
        <w:tc>
          <w:tcPr>
            <w:tcW w:w="73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0</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42</w:t>
            </w:r>
          </w:p>
        </w:tc>
        <w:tc>
          <w:tcPr>
            <w:tcW w:w="993"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964</w:t>
            </w:r>
          </w:p>
        </w:tc>
        <w:tc>
          <w:tcPr>
            <w:tcW w:w="850"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1 328</w:t>
            </w:r>
          </w:p>
        </w:tc>
        <w:tc>
          <w:tcPr>
            <w:tcW w:w="1418"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2 335</w:t>
            </w:r>
          </w:p>
        </w:tc>
        <w:tc>
          <w:tcPr>
            <w:tcW w:w="141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2 100</w:t>
            </w:r>
          </w:p>
        </w:tc>
      </w:tr>
    </w:tbl>
    <w:p>
      <w:pPr>
        <w:pStyle w:val="Textstand-alone"/>
        <w:spacing w:after="120"/>
      </w:pPr>
      <w:r>
        <w:t xml:space="preserve">Увеличението на нетекущото предварително финансиране се дължи главно на удължаването до 2023 г. (със 7-годишен период на изплащане) на договор, който трябваше да приключи през 2017 г. През 2017 г. общата стойност на този договор е била отчетена като разход, докато след удължаването нетекущото предварително финансиране се оценява на 217 милиона евро.  </w:t>
      </w:r>
    </w:p>
    <w:p>
      <w:pPr>
        <w:pStyle w:val="Textstand-alone"/>
        <w:spacing w:after="120"/>
      </w:pPr>
      <w:r>
        <w:t>Намалението в текущото предварително финансиране се дължи на спад в извършените плащания по предварителното финансиране (с 10 %) и увеличение на равнището на уравняванията (основно в 10-ия ЕФР).</w:t>
      </w:r>
    </w:p>
    <w:p>
      <w:pPr>
        <w:pStyle w:val="Textstand-alone"/>
        <w:spacing w:after="120"/>
      </w:pPr>
      <w:r>
        <w:t xml:space="preserve">Това намаление съответства на жизнения цикъл на ЕФР. Много договори бяха изчистени и приключени в рамките на 10-ия ЕФР: това може да се види от спада в техния брой — от 3 400 през 2017 г. на 2 600 през 2018 г.  </w:t>
      </w:r>
    </w:p>
    <w:p>
      <w:pPr>
        <w:pStyle w:val="Textstand-alone"/>
        <w:spacing w:after="120"/>
        <w:rPr>
          <w:spacing w:val="-4"/>
        </w:rPr>
      </w:pPr>
      <w:r>
        <w:rPr>
          <w:spacing w:val="-4"/>
        </w:rPr>
        <w:t xml:space="preserve">В същото време броят на текущите договори по 11-ия ЕФР нарасна от 1 600 през 2017 г. на 2 300 през 2018 г. 11-ият ЕФР започна през 2015 г., следователно 2018 г. бе четвъртата година от съществуването му. 11-ият ЕФР достигна зрялост по отношение на изпълнението на приетите действия. </w:t>
      </w:r>
    </w:p>
    <w:bookmarkEnd w:id="70"/>
    <w:p>
      <w:pPr>
        <w:pStyle w:val="Textstand-alone"/>
        <w:spacing w:after="120"/>
        <w:sectPr>
          <w:headerReference w:type="even" r:id="rId131"/>
          <w:headerReference w:type="default" r:id="rId132"/>
          <w:footerReference w:type="even" r:id="rId133"/>
          <w:footerReference w:type="default" r:id="rId134"/>
          <w:headerReference w:type="first" r:id="rId135"/>
          <w:footerReference w:type="first" r:id="rId136"/>
          <w:type w:val="continuous"/>
          <w:pgSz w:w="11906" w:h="16838"/>
          <w:pgMar w:top="1134" w:right="1134" w:bottom="1134" w:left="1134" w:header="709" w:footer="709" w:gutter="0"/>
          <w:cols w:space="708"/>
          <w:docGrid w:linePitch="360"/>
        </w:sectPr>
      </w:pPr>
    </w:p>
    <w:p>
      <w:pPr>
        <w:pStyle w:val="HEADER3Part2"/>
        <w:spacing w:before="0" w:after="0"/>
        <w:rPr>
          <w:noProof/>
        </w:rPr>
      </w:pPr>
      <w:bookmarkStart w:id="72" w:name="_DMBM_14121"/>
      <w:r>
        <w:rPr>
          <w:noProof/>
        </w:rPr>
        <w:t>Нетекущо предварително финансиране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73" w:name="DOC_TBL00014_1_1"/>
            <w:bookmarkEnd w:id="73"/>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 г.</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 г.</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188</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159</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Изпълнява се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Комисията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140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105</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Изпълнителните агенции на ЕС</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w:t>
            </w:r>
          </w:p>
        </w:tc>
      </w:tr>
      <w:tr>
        <w:tc>
          <w:tcPr>
            <w:tcW w:w="5637" w:type="dxa"/>
            <w:tcBorders>
              <w:top w:val="nil"/>
              <w:left w:val="nil"/>
              <w:bottom w:val="single" w:sz="4" w:space="0" w:color="FFFFFF"/>
              <w:right w:val="nil"/>
            </w:tcBorders>
            <w:tcMar>
              <w:top w:w="0" w:type="dxa"/>
              <w:left w:w="108" w:type="dxa"/>
              <w:bottom w:w="0" w:type="dxa"/>
              <w:right w:w="108" w:type="dxa"/>
            </w:tcMar>
          </w:tcPr>
          <w:p>
            <w:pPr>
              <w:pStyle w:val="Text9pItalicLeft"/>
              <w:ind w:left="600"/>
              <w:rPr>
                <w:rFonts w:eastAsia="Times New Roman" w:cs="Verdana"/>
              </w:rPr>
            </w:pPr>
            <w:r>
              <w:t>Делегациите на ЕС</w:t>
            </w:r>
          </w:p>
        </w:tc>
        <w:tc>
          <w:tcPr>
            <w:tcW w:w="2126"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48</w:t>
            </w:r>
          </w:p>
        </w:tc>
        <w:tc>
          <w:tcPr>
            <w:tcW w:w="1985"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48</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rPr>
            </w:pPr>
            <w:r>
              <w:t>Непряко управление</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698</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423</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Изпълнява се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ЕИБ и ЕИФ</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367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166</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Международни организации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280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189</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Частноправни органи със задължение за обществена услуга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11</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Публичноправни органи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37</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Трети държави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20</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Органи на ЕС и публично-частно партньорство</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Частноправни органи, изпълняващи публично-частно партньорство</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887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582</w:t>
            </w:r>
          </w:p>
        </w:tc>
      </w:tr>
      <w:bookmarkEnd w:id="72"/>
    </w:tbl>
    <w:p>
      <w:pPr>
        <w:pStyle w:val="Textstand-alone"/>
        <w:sectPr>
          <w:headerReference w:type="even" r:id="rId137"/>
          <w:headerReference w:type="default" r:id="rId138"/>
          <w:footerReference w:type="even" r:id="rId139"/>
          <w:footerReference w:type="default" r:id="rId140"/>
          <w:headerReference w:type="first" r:id="rId141"/>
          <w:footerReference w:type="first" r:id="rId142"/>
          <w:type w:val="continuous"/>
          <w:pgSz w:w="11906" w:h="16838"/>
          <w:pgMar w:top="1134" w:right="1134" w:bottom="1134" w:left="1134" w:header="709" w:footer="709" w:gutter="0"/>
          <w:cols w:space="708"/>
          <w:docGrid w:linePitch="360"/>
        </w:sectPr>
      </w:pPr>
    </w:p>
    <w:p>
      <w:pPr>
        <w:pStyle w:val="HEADER3Part2"/>
        <w:spacing w:before="0" w:after="0"/>
        <w:rPr>
          <w:noProof/>
        </w:rPr>
      </w:pPr>
      <w:bookmarkStart w:id="74" w:name="_DMBM_14089"/>
      <w:r>
        <w:rPr>
          <w:noProof/>
        </w:rPr>
        <w:t>Текущо предварително финансиране</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6"/>
        <w:gridCol w:w="1276"/>
        <w:gridCol w:w="1276"/>
        <w:gridCol w:w="1134"/>
        <w:gridCol w:w="1276"/>
        <w:gridCol w:w="1275"/>
      </w:tblGrid>
      <w:tr>
        <w:tc>
          <w:tcPr>
            <w:tcW w:w="2268"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75" w:name="DOC_TBL00015_1_1"/>
            <w:bookmarkEnd w:id="75"/>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rPr>
            </w:pPr>
            <w:r>
              <w:t>милиони евро</w:t>
            </w:r>
          </w:p>
        </w:tc>
      </w:tr>
      <w:tr>
        <w:trPr>
          <w:trHeight w:val="247"/>
        </w:trPr>
        <w:tc>
          <w:tcPr>
            <w:tcW w:w="226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31.12.2018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31.12.2017 г.</w:t>
            </w:r>
          </w:p>
        </w:tc>
      </w:tr>
      <w:tr>
        <w:trPr>
          <w:trHeight w:val="247"/>
        </w:trPr>
        <w:tc>
          <w:tcPr>
            <w:tcW w:w="2268"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rPr>
            </w:pPr>
            <w:r>
              <w:t>Предварително финансиране (бруто)</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 xml:space="preserve"> 1</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 xml:space="preserve"> 113</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2 034</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3 005</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5 153</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5 288</w:t>
            </w:r>
          </w:p>
        </w:tc>
      </w:tr>
      <w:tr>
        <w:trPr>
          <w:trHeight w:val="247"/>
        </w:trPr>
        <w:tc>
          <w:tcPr>
            <w:tcW w:w="2268"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rPr>
            </w:pPr>
            <w:r>
              <w:t>Приключени чрез разделяне на финансовите периоди</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 xml:space="preserve"> (1)</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 xml:space="preserve"> (94)</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(1 589)</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(2 021)</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(3 705)</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(3 770)</w:t>
            </w:r>
          </w:p>
        </w:tc>
      </w:tr>
      <w:tr>
        <w:trPr>
          <w:trHeight w:val="247"/>
        </w:trPr>
        <w:tc>
          <w:tcPr>
            <w:tcW w:w="2268"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 xml:space="preserve"> 19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 xml:space="preserve"> 445</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 xml:space="preserve"> 984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1 448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1 518</w:t>
            </w:r>
          </w:p>
        </w:tc>
      </w:tr>
    </w:tbl>
    <w:p>
      <w:pPr>
        <w:pStyle w:val="Textstand-alone"/>
        <w:spacing w:before="0" w:after="0"/>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76" w:name="DOC_TBL00016_1_1"/>
            <w:bookmarkEnd w:id="76"/>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 г.</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 г.</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280</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256</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Изпълнява се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Комисията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86</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Изпълнителните агенции на ЕС</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Доверителни фондове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c>
          <w:tcPr>
            <w:tcW w:w="5637" w:type="dxa"/>
            <w:tcBorders>
              <w:top w:val="nil"/>
              <w:left w:val="nil"/>
              <w:bottom w:val="single" w:sz="4" w:space="0" w:color="FFFFFF"/>
              <w:right w:val="nil"/>
            </w:tcBorders>
            <w:tcMar>
              <w:top w:w="0" w:type="dxa"/>
              <w:left w:w="108" w:type="dxa"/>
              <w:bottom w:w="0" w:type="dxa"/>
              <w:right w:w="108" w:type="dxa"/>
            </w:tcMar>
          </w:tcPr>
          <w:p>
            <w:pPr>
              <w:pStyle w:val="Text9pItalicLeft"/>
              <w:ind w:left="600"/>
              <w:rPr>
                <w:rFonts w:eastAsia="Times New Roman" w:cs="Verdana"/>
              </w:rPr>
            </w:pPr>
            <w:r>
              <w:t>Делегациите на ЕС</w:t>
            </w:r>
          </w:p>
        </w:tc>
        <w:tc>
          <w:tcPr>
            <w:tcW w:w="2126"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169</w:t>
            </w:r>
          </w:p>
        </w:tc>
        <w:tc>
          <w:tcPr>
            <w:tcW w:w="1985"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161</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rPr>
            </w:pPr>
            <w:r>
              <w:t>Непряко управление</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1 169</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1 262</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Изпълнява се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ЕИБ и ЕИФ</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345</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Международни организации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658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563</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Частноправни органи със задължение за обществена услуга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59</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Публичноправни органи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124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108</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Трети държави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208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186</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Органи на ЕС и публично-частно партньорство</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Частноправни органи, изпълняващи публично-частно партньорство</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1 448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1 518</w:t>
            </w:r>
          </w:p>
        </w:tc>
      </w:tr>
    </w:tbl>
    <w:p>
      <w:pPr>
        <w:pStyle w:val="HEADER3Part2"/>
        <w:spacing w:before="120" w:after="120"/>
        <w:rPr>
          <w:noProof/>
        </w:rPr>
      </w:pPr>
      <w:bookmarkStart w:id="77" w:name="_DMBM_14155"/>
      <w:bookmarkEnd w:id="74"/>
      <w:r>
        <w:rPr>
          <w:noProof/>
        </w:rPr>
        <w:t>Гаранции, получени по отношение на предварително финансиране</w:t>
      </w:r>
    </w:p>
    <w:p>
      <w:pPr>
        <w:pStyle w:val="Textstand-alone"/>
        <w:spacing w:before="120" w:after="120"/>
        <w:rPr>
          <w:iCs/>
          <w:spacing w:val="-2"/>
        </w:rPr>
      </w:pPr>
      <w:r>
        <w:rPr>
          <w:spacing w:val="-2"/>
        </w:rPr>
        <w:t>За предварителното финансиране се предвиждат гаранции, които се освобождават, когато се извърши и последното плащане по даден проект.</w:t>
      </w:r>
      <w:r>
        <w:rPr>
          <w:b/>
          <w:spacing w:val="-2"/>
        </w:rPr>
        <w:t xml:space="preserve"> </w:t>
      </w:r>
      <w:r>
        <w:rPr>
          <w:spacing w:val="-2"/>
        </w:rPr>
        <w:t>Към 31 декември 2018 г. гаранциите, получени от ЕФР по отношение на предварително финансиране, възлизат на 79 милиона евро (54 милиона евро през 2017 г.).</w:t>
      </w:r>
    </w:p>
    <w:p>
      <w:pPr>
        <w:pStyle w:val="Textstand-alone"/>
        <w:spacing w:before="120" w:after="120"/>
      </w:pPr>
      <w:r>
        <w:t xml:space="preserve">По-голямата част от предварителното финансиране е платено под режим непряко управление. В този случай бенефициерът на гаранцията не е ЕФР, а възлагащият орган. Въпреки че ЕФР не е бенефициерът, тези гаранции  обезпечават неговите активи. През 2018 г. тези гаранции възлизат на 534 милиона евро. </w:t>
      </w:r>
      <w:bookmarkEnd w:id="77"/>
    </w:p>
    <w:p>
      <w:pPr>
        <w:pStyle w:val="HEADER2Part2"/>
        <w:spacing w:before="160" w:after="120"/>
        <w:rPr>
          <w:noProof/>
        </w:rPr>
      </w:pPr>
      <w:bookmarkStart w:id="78" w:name="_DMBM_14143"/>
      <w:r>
        <w:rPr>
          <w:noProof/>
        </w:rPr>
        <w:t>ВНОСКИ ЗА ДОВЕРИТЕЛНИТЕ ФОНДОВЕ</w:t>
      </w:r>
    </w:p>
    <w:p>
      <w:pPr>
        <w:pStyle w:val="Textstand-alone"/>
        <w:spacing w:before="120" w:after="120"/>
      </w:pPr>
      <w:r>
        <w:t>Тази позиция представлява сумата, платена като вноски за доверителния фонд на ЕС за Африка и доверителния фонд на ЕС „Беку“. Вноските не включват разходите, извършени от доверителните фондове и относими към ЕФР.</w:t>
      </w:r>
    </w:p>
    <w:p>
      <w:pPr>
        <w:pStyle w:val="Textstand-alone"/>
        <w:spacing w:before="120" w:after="120"/>
      </w:pPr>
      <w:r>
        <w:t>Вноските за доверителните фондове се правят от ЕФР под режим пряко управление.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9" w:name="DOC_TBL00017_1_1"/>
            <w:bookmarkEnd w:id="79"/>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Доверителни фондове</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Нетна вноска към 31.12.2017 г.</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Вноски, изплатени през 2018 г.</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Разпределение на нетните разходи на доверителните фондове през 2018 г.</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Нетна вноска към 31.12.2018 г.</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Африка</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„Беку“</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163</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345</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(308)</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201</w:t>
            </w:r>
          </w:p>
        </w:tc>
      </w:tr>
      <w:bookmarkEnd w:id="78"/>
    </w:tbl>
    <w:p>
      <w:pPr>
        <w:rPr>
          <w:noProof/>
        </w:rPr>
        <w:sectPr>
          <w:headerReference w:type="even" r:id="rId143"/>
          <w:headerReference w:type="default" r:id="rId144"/>
          <w:footerReference w:type="even" r:id="rId145"/>
          <w:footerReference w:type="default" r:id="rId146"/>
          <w:headerReference w:type="first" r:id="rId147"/>
          <w:footerReference w:type="first" r:id="rId148"/>
          <w:type w:val="continuous"/>
          <w:pgSz w:w="12240" w:h="15840"/>
          <w:pgMar w:top="1134" w:right="1134" w:bottom="1134" w:left="1134" w:header="709" w:footer="709" w:gutter="0"/>
          <w:cols w:space="708"/>
          <w:docGrid w:linePitch="360"/>
        </w:sectPr>
      </w:pPr>
    </w:p>
    <w:p>
      <w:pPr>
        <w:pStyle w:val="HEADER2Part2"/>
        <w:rPr>
          <w:noProof/>
        </w:rPr>
      </w:pPr>
      <w:bookmarkStart w:id="80" w:name="_DMBM_14075"/>
      <w:r>
        <w:rPr>
          <w:noProof/>
        </w:rPr>
        <w:t>СРЕДСТВА, ПОДЛЕЖАЩИ НА СЪБИРАНЕ, ОТ ОПЕРАЦИИ БЕЗ РАЗМЯНА И ВЗЕМАНИЯ ОТ ОПЕРАЦИИ С РАЗМЯНА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1485"/>
        <w:gridCol w:w="1797"/>
        <w:gridCol w:w="1798"/>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1" w:name="DOC_TBL00018_1_1"/>
            <w:bookmarkEnd w:id="8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Забележка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 г.</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 г.</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Средства, подлежащи на събиране, от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от операции с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138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92</w:t>
            </w:r>
          </w:p>
        </w:tc>
      </w:tr>
    </w:tbl>
    <w:p>
      <w:pPr>
        <w:pStyle w:val="HEADER3Part2"/>
        <w:rPr>
          <w:noProof/>
        </w:rPr>
      </w:pPr>
      <w:r>
        <w:rPr>
          <w:noProof/>
        </w:rPr>
        <w:t>Средства, подлежащи на събиране, от операции без размяна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99"/>
        <w:gridCol w:w="1253"/>
        <w:gridCol w:w="1417"/>
        <w:gridCol w:w="1134"/>
        <w:gridCol w:w="1418"/>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keepNext/>
              <w:keepLines/>
              <w:rPr>
                <w:rFonts w:eastAsia="Verdana" w:cs="Verdana"/>
                <w:color w:val="FFFFFF"/>
              </w:rPr>
            </w:pPr>
            <w:bookmarkStart w:id="82" w:name="DOC_TBL00019_1_1"/>
            <w:bookmarkEnd w:id="82"/>
          </w:p>
        </w:tc>
        <w:tc>
          <w:tcPr>
            <w:tcW w:w="1299"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rPr>
            </w:pPr>
          </w:p>
        </w:tc>
        <w:tc>
          <w:tcPr>
            <w:tcW w:w="1253"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rPr>
            </w:pPr>
            <w:r>
              <w:t>милиони евро</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keepNext/>
              <w:keepLines/>
              <w:rPr>
                <w:rFonts w:eastAsia="Verdana" w:cs="Verdana"/>
                <w:noProof/>
              </w:rPr>
            </w:pPr>
          </w:p>
        </w:tc>
        <w:tc>
          <w:tcPr>
            <w:tcW w:w="129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keepNext/>
              <w:keepLines/>
              <w:rPr>
                <w:rFonts w:eastAsia="Verdana" w:cs="Verdana"/>
                <w:noProof/>
              </w:rPr>
            </w:pPr>
            <w:r>
              <w:rPr>
                <w:noProof/>
              </w:rPr>
              <w:t>Осми ЕФР</w:t>
            </w:r>
          </w:p>
        </w:tc>
        <w:tc>
          <w:tcPr>
            <w:tcW w:w="125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keepNext/>
              <w:keepLines/>
              <w:rPr>
                <w:rFonts w:eastAsia="Verdana" w:cs="Verdana"/>
                <w:noProof/>
              </w:rPr>
            </w:pPr>
            <w:r>
              <w:rPr>
                <w:noProof/>
              </w:rPr>
              <w:t>Девети ЕФР</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keepNext/>
              <w:keepLines/>
              <w:rPr>
                <w:rFonts w:eastAsia="Verdana" w:cs="Verdana"/>
                <w:b w:val="0"/>
              </w:rPr>
            </w:pPr>
            <w:r>
              <w:rPr>
                <w:b w:val="0"/>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keepNext/>
              <w:keepLines/>
              <w:rPr>
                <w:rFonts w:eastAsia="Verdana" w:cs="Verdana"/>
                <w:noProof/>
              </w:rPr>
            </w:pPr>
            <w:r>
              <w:rPr>
                <w:noProof/>
              </w:rPr>
              <w:t>11-и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keepNext/>
              <w:keepLines/>
              <w:rPr>
                <w:rFonts w:eastAsia="Verdana" w:cs="Verdana"/>
                <w:noProof/>
              </w:rPr>
            </w:pPr>
            <w:r>
              <w:rPr>
                <w:noProof/>
              </w:rPr>
              <w:t>31.12.2018 г.</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keepNext/>
              <w:keepLines/>
              <w:rPr>
                <w:rFonts w:eastAsia="Verdana" w:cs="Verdana"/>
                <w:b w:val="0"/>
              </w:rPr>
            </w:pPr>
            <w:r>
              <w:rPr>
                <w:b w:val="0"/>
              </w:rPr>
              <w:t>31.12.2017 г.</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rPr>
            </w:pPr>
            <w:r>
              <w:t>Държави членки</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7</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rPr>
            </w:pPr>
            <w:r>
              <w:t>Клиенти</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2</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1</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19</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rPr>
            </w:pPr>
            <w:r>
              <w:t>Публични органи</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0</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25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20</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rPr>
            </w:pPr>
            <w:r>
              <w:t>Трети държави</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0</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6</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rPr>
            </w:pPr>
            <w:r>
              <w:t>Намаление</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(2)</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(10)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(34)</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keepNext/>
              <w:keepLines/>
              <w:rPr>
                <w:rFonts w:eastAsia="Verdana" w:cs="Verdana"/>
              </w:rPr>
            </w:pPr>
            <w:r>
              <w:t>Вътрешни сметки с институциите на ЕС</w:t>
            </w:r>
          </w:p>
        </w:tc>
        <w:tc>
          <w:tcPr>
            <w:tcW w:w="129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w:t>
            </w:r>
          </w:p>
        </w:tc>
        <w:tc>
          <w:tcPr>
            <w:tcW w:w="125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keepNext/>
              <w:keepLines/>
              <w:rPr>
                <w:rFonts w:eastAsia="Verdana" w:cs="Verdana"/>
              </w:rPr>
            </w:pPr>
            <w:r>
              <w:t xml:space="preserve"> 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keepNext/>
              <w:keepLines/>
              <w:rPr>
                <w:rFonts w:eastAsia="Verdana" w:cs="Verdana"/>
              </w:rPr>
            </w:pPr>
            <w:r>
              <w:t>Общо</w:t>
            </w:r>
          </w:p>
        </w:tc>
        <w:tc>
          <w:tcPr>
            <w:tcW w:w="1299"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rPr>
            </w:pPr>
            <w:r>
              <w:t>1</w:t>
            </w:r>
          </w:p>
        </w:tc>
        <w:tc>
          <w:tcPr>
            <w:tcW w:w="125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rPr>
            </w:pPr>
            <w:r>
              <w:t>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rPr>
            </w:pPr>
            <w:r>
              <w:t>18</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rPr>
            </w:pPr>
            <w:r>
              <w:t>16</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rPr>
            </w:pPr>
            <w:r>
              <w:t>37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keepNext/>
              <w:keepLines/>
              <w:rPr>
                <w:rFonts w:eastAsia="Verdana" w:cs="Verdana"/>
              </w:rPr>
            </w:pPr>
            <w:r>
              <w:t>19</w:t>
            </w:r>
          </w:p>
        </w:tc>
      </w:tr>
    </w:tbl>
    <w:p>
      <w:pPr>
        <w:pStyle w:val="HEADER3Part2"/>
        <w:keepNext/>
        <w:keepLines/>
        <w:rPr>
          <w:noProof/>
        </w:rPr>
      </w:pPr>
      <w:r>
        <w:rPr>
          <w:noProof/>
        </w:rPr>
        <w:t>Вземания от операции с размяна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276"/>
        <w:gridCol w:w="1276"/>
        <w:gridCol w:w="1276"/>
        <w:gridCol w:w="1276"/>
        <w:gridCol w:w="1418"/>
        <w:gridCol w:w="1417"/>
      </w:tblGrid>
      <w:tr>
        <w:tc>
          <w:tcPr>
            <w:tcW w:w="180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3" w:name="DOC_TBL00020_1_1"/>
            <w:bookmarkEnd w:id="83"/>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47"/>
        </w:trPr>
        <w:tc>
          <w:tcPr>
            <w:tcW w:w="1808"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Verdana" w:cs="Verdana"/>
                <w:b w:val="0"/>
              </w:rPr>
            </w:pPr>
            <w:r>
              <w:rPr>
                <w:b w:val="0"/>
              </w:rPr>
              <w:t>10-и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rPr>
            </w:pPr>
            <w:r>
              <w:rPr>
                <w:noProof/>
              </w:rPr>
              <w:t>11-и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rPr>
            </w:pPr>
            <w:r>
              <w:rPr>
                <w:noProof/>
              </w:rPr>
              <w:t>31.12.2018 г.</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Verdana" w:cs="Verdana"/>
                <w:b w:val="0"/>
              </w:rPr>
            </w:pPr>
            <w:r>
              <w:rPr>
                <w:b w:val="0"/>
              </w:rPr>
              <w:t>31.12.2017 г.</w:t>
            </w:r>
          </w:p>
        </w:tc>
      </w:tr>
      <w:tr>
        <w:trPr>
          <w:trHeight w:val="247"/>
        </w:trPr>
        <w:tc>
          <w:tcPr>
            <w:tcW w:w="1808"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Начислени приходи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74</w:t>
            </w:r>
          </w:p>
        </w:tc>
      </w:tr>
      <w:tr>
        <w:trPr>
          <w:trHeight w:val="247"/>
        </w:trPr>
        <w:tc>
          <w:tcPr>
            <w:tcW w:w="1808"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Вземания от ЕС</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trHeight w:val="247"/>
        </w:trPr>
        <w:tc>
          <w:tcPr>
            <w:tcW w:w="1808"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Сметки между ЕФР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2 421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(2 715)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trHeight w:val="247"/>
        </w:trPr>
        <w:tc>
          <w:tcPr>
            <w:tcW w:w="1808"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183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174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2 439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(2 695)</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101</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73</w:t>
            </w:r>
          </w:p>
        </w:tc>
      </w:tr>
    </w:tbl>
    <w:p>
      <w:pPr>
        <w:pStyle w:val="Textstand-alone"/>
      </w:pPr>
      <w:r>
        <w:t>Начислените приходи включват начислени лихви по суми от предварителното финансиране, свързано с проекти (63 милиона евро) и от предварителното финансиране, свързано с Доверителния фонд на ЕС за Африка (18 милиона евро).</w:t>
      </w:r>
    </w:p>
    <w:p>
      <w:pPr>
        <w:pStyle w:val="Textstand-alone"/>
      </w:pPr>
      <w:r>
        <w:t>Вземането от ЕС е сумата, която е била прехвърлена към доверителната сметка, притежавана от Европейската комисия.</w:t>
      </w:r>
    </w:p>
    <w:p>
      <w:pPr>
        <w:pStyle w:val="Textstand-alone"/>
      </w:pPr>
      <w:r>
        <w:t xml:space="preserve">За по-голяма ефективност единната каса, обхващаща всички ЕФР, е разпределена към 11-ия ЕФР; в резултат на това се осъществяват операции между отделните ЕФР, които се компенсират чрез сметките между ЕФР между счетоводните баланси на различните ЕФР. </w:t>
      </w:r>
    </w:p>
    <w:p>
      <w:pPr>
        <w:pStyle w:val="Textstand-alone"/>
      </w:pPr>
      <w:r>
        <w:t>Сметките между ЕФР са представени само в отделните ЕФР. Общата сума на сметките между ЕФР е нула.</w:t>
      </w:r>
      <w:bookmarkEnd w:id="80"/>
    </w:p>
    <w:p>
      <w:pPr>
        <w:rPr>
          <w:rFonts w:ascii="Verdana" w:hAnsi="Verdana"/>
          <w:noProof/>
          <w:sz w:val="18"/>
          <w:szCs w:val="18"/>
        </w:rPr>
      </w:pPr>
      <w:r>
        <w:rPr>
          <w:noProof/>
        </w:rPr>
        <w:br w:type="page"/>
      </w:r>
    </w:p>
    <w:p>
      <w:pPr>
        <w:pStyle w:val="Textstand-alone"/>
        <w:sectPr>
          <w:headerReference w:type="even" r:id="rId149"/>
          <w:headerReference w:type="default" r:id="rId150"/>
          <w:footerReference w:type="even" r:id="rId151"/>
          <w:footerReference w:type="default" r:id="rId152"/>
          <w:headerReference w:type="first" r:id="rId153"/>
          <w:footerReference w:type="first" r:id="rId154"/>
          <w:type w:val="continuous"/>
          <w:pgSz w:w="11906" w:h="16838"/>
          <w:pgMar w:top="1134" w:right="1134" w:bottom="1134" w:left="1134" w:header="709" w:footer="709" w:gutter="0"/>
          <w:cols w:space="708"/>
          <w:docGrid w:linePitch="360"/>
        </w:sectPr>
      </w:pPr>
    </w:p>
    <w:p>
      <w:pPr>
        <w:pStyle w:val="HEADER2Part2"/>
        <w:rPr>
          <w:noProof/>
        </w:rPr>
      </w:pPr>
      <w:bookmarkStart w:id="84" w:name="_DMBM_14166"/>
      <w:r>
        <w:rPr>
          <w:noProof/>
        </w:rPr>
        <w:t>ПАРИ И ПАРИЧНИ ЕКВИВАЛЕНТИ</w:t>
      </w:r>
      <w:r>
        <w:rPr>
          <w:rStyle w:val="FootnoteReference"/>
          <w:noProof/>
        </w:rPr>
        <w:footnoteReference w:id="3"/>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12"/>
        <w:gridCol w:w="1198"/>
        <w:gridCol w:w="1276"/>
        <w:gridCol w:w="1134"/>
        <w:gridCol w:w="1276"/>
        <w:gridCol w:w="1275"/>
      </w:tblGrid>
      <w:tr>
        <w:trPr>
          <w:cantSplit/>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5" w:name="DOC_TBL00021_1_1"/>
            <w:bookmarkEnd w:id="85"/>
          </w:p>
        </w:tc>
        <w:tc>
          <w:tcPr>
            <w:tcW w:w="12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cantSplit/>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1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19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 г.</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Централни банки</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105</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Търговски банки</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242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Парични средства, предназначени за финансови инструменти</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12"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19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387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387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347</w:t>
            </w:r>
          </w:p>
        </w:tc>
      </w:tr>
    </w:tbl>
    <w:p>
      <w:pPr>
        <w:pStyle w:val="Textstand-alone"/>
        <w:spacing w:before="0" w:after="0"/>
      </w:pPr>
    </w:p>
    <w:p>
      <w:pPr>
        <w:pStyle w:val="Textstand-alone"/>
        <w:spacing w:before="0" w:after="0"/>
      </w:pPr>
      <w:r>
        <w:t>Общото равнище на парите и паричните еквиваленти остана стабилно. Структурата на позицията на ликвидност обаче се е променила. Значителен спад (136 милиона евро) бе наблюдаван в сметката за вноската на Обединеното кралство в търговската банка Natwest. Това се дължи главно на факта, че в края на 2017 г. Обединеното кралство изплати първия транш от своята вноска за 2018 г. в размер на 170 милиона евро.</w:t>
      </w:r>
    </w:p>
    <w:p>
      <w:pPr>
        <w:pStyle w:val="Textstand-alone"/>
        <w:spacing w:before="0" w:after="0"/>
      </w:pPr>
      <w:r>
        <w:t xml:space="preserve">На 31.12.2018 г. бяха държани повече пари в брой в централните банки, за да се ограничи рискът от контрагента (вж. бележка </w:t>
      </w:r>
      <w:r>
        <w:rPr>
          <w:b/>
        </w:rPr>
        <w:t>5.4</w:t>
      </w:r>
      <w:r>
        <w:t>).</w:t>
      </w:r>
    </w:p>
    <w:p>
      <w:pPr>
        <w:pStyle w:val="HEADERTABLE"/>
        <w:rPr>
          <w:noProof/>
        </w:rPr>
      </w:pPr>
      <w:bookmarkStart w:id="86" w:name="_DMBM_14102"/>
      <w:bookmarkEnd w:id="84"/>
    </w:p>
    <w:p>
      <w:pPr>
        <w:pStyle w:val="HEADERTABLE"/>
        <w:rPr>
          <w:noProof/>
        </w:rPr>
      </w:pPr>
      <w:r>
        <w:rPr>
          <w:noProof/>
        </w:rPr>
        <w:t>ПАСИВИ</w:t>
      </w:r>
      <w:bookmarkEnd w:id="86"/>
    </w:p>
    <w:p>
      <w:pPr>
        <w:pStyle w:val="HEADER2Part2"/>
        <w:rPr>
          <w:noProof/>
        </w:rPr>
      </w:pPr>
      <w:bookmarkStart w:id="87" w:name="_DMBM_14083"/>
      <w:r>
        <w:rPr>
          <w:noProof/>
        </w:rPr>
        <w:t>ПРОВИЗИИ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75"/>
        <w:gridCol w:w="1276"/>
        <w:gridCol w:w="1276"/>
        <w:gridCol w:w="1134"/>
        <w:gridCol w:w="1276"/>
        <w:gridCol w:w="1275"/>
      </w:tblGrid>
      <w:tr>
        <w:tc>
          <w:tcPr>
            <w:tcW w:w="223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8" w:name="DOC_TBL00022_1_1"/>
            <w:bookmarkEnd w:id="88"/>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223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 г.</w:t>
            </w:r>
          </w:p>
        </w:tc>
      </w:tr>
      <w:tr>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Провизии</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r>
      <w:tr>
        <w:trPr>
          <w:trHeight w:val="247"/>
        </w:trPr>
        <w:tc>
          <w:tcPr>
            <w:tcW w:w="223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4</w:t>
            </w:r>
          </w:p>
        </w:tc>
      </w:tr>
    </w:tbl>
    <w:p>
      <w:pPr>
        <w:rPr>
          <w:noProof/>
        </w:rPr>
      </w:pPr>
    </w:p>
    <w:p>
      <w:pPr>
        <w:pStyle w:val="Textstand-alone"/>
        <w:spacing w:after="0"/>
      </w:pPr>
      <w:r>
        <w:t>Провизията за Центъра за развитие (CDE) беше освободена, тъй като съдебните дела приключиха и не се налагат никакви допълнителни разходи.</w:t>
      </w:r>
    </w:p>
    <w:p>
      <w:pPr>
        <w:pStyle w:val="HEADER2Part2"/>
        <w:rPr>
          <w:noProof/>
        </w:rPr>
      </w:pPr>
      <w:r>
        <w:rPr>
          <w:noProof/>
        </w:rPr>
        <w:t xml:space="preserve"> </w:t>
      </w:r>
      <w:bookmarkStart w:id="89" w:name="_DMBM_14090"/>
      <w:bookmarkEnd w:id="87"/>
      <w:r>
        <w:rPr>
          <w:noProof/>
        </w:rPr>
        <w:t>ФИНАНСОВИ ПАСИВИ</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1219"/>
        <w:gridCol w:w="1219"/>
        <w:gridCol w:w="1276"/>
        <w:gridCol w:w="1134"/>
        <w:gridCol w:w="1276"/>
        <w:gridCol w:w="1275"/>
      </w:tblGrid>
      <w:tr>
        <w:tc>
          <w:tcPr>
            <w:tcW w:w="232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0" w:name="DOC_TBL00023_1_1"/>
            <w:bookmarkEnd w:id="90"/>
          </w:p>
        </w:tc>
        <w:tc>
          <w:tcPr>
            <w:tcW w:w="121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1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23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1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1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 г.</w:t>
            </w:r>
          </w:p>
        </w:tc>
      </w:tr>
      <w:tr>
        <w:trPr>
          <w:trHeight w:val="247"/>
        </w:trPr>
        <w:tc>
          <w:tcPr>
            <w:tcW w:w="232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Съфинансиране — задължения</w:t>
            </w:r>
          </w:p>
        </w:tc>
        <w:tc>
          <w:tcPr>
            <w:tcW w:w="121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19"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14</w:t>
            </w:r>
          </w:p>
        </w:tc>
      </w:tr>
      <w:tr>
        <w:trPr>
          <w:trHeight w:val="247"/>
        </w:trPr>
        <w:tc>
          <w:tcPr>
            <w:tcW w:w="232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19"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19"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14</w:t>
            </w:r>
          </w:p>
        </w:tc>
      </w:tr>
    </w:tbl>
    <w:p>
      <w:pPr>
        <w:pStyle w:val="Textstand-alone"/>
        <w:spacing w:after="0"/>
        <w:rPr>
          <w:b/>
        </w:rPr>
      </w:pPr>
      <w:r>
        <w:t xml:space="preserve">Изменението в общия размер на пасивите по съфинансирането е обяснено в бележка </w:t>
      </w:r>
      <w:r>
        <w:rPr>
          <w:b/>
        </w:rPr>
        <w:t>2.7.2.1.</w:t>
      </w:r>
    </w:p>
    <w:p>
      <w:pPr>
        <w:pStyle w:val="Textstand-alone"/>
        <w:spacing w:after="0"/>
        <w:rPr>
          <w:b/>
        </w:rPr>
      </w:pPr>
    </w:p>
    <w:p>
      <w:pPr>
        <w:pStyle w:val="Textstand-alone"/>
        <w:spacing w:after="0"/>
      </w:pPr>
    </w:p>
    <w:p>
      <w:pPr>
        <w:pStyle w:val="HEADER2Part2"/>
        <w:rPr>
          <w:noProof/>
        </w:rPr>
      </w:pPr>
      <w:bookmarkStart w:id="91" w:name="_DMBM_14110"/>
      <w:bookmarkStart w:id="92" w:name="_DMBM_14148"/>
      <w:bookmarkEnd w:id="89"/>
      <w:bookmarkEnd w:id="91"/>
      <w:r>
        <w:rPr>
          <w:noProof/>
        </w:rPr>
        <w:t>ЗАДЪЛЖЕНИЯ</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877"/>
        <w:gridCol w:w="1245"/>
        <w:gridCol w:w="1245"/>
        <w:gridCol w:w="1081"/>
        <w:gridCol w:w="1081"/>
        <w:gridCol w:w="1276"/>
        <w:gridCol w:w="1275"/>
      </w:tblGrid>
      <w:tr>
        <w:tc>
          <w:tcPr>
            <w:tcW w:w="177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3" w:name="DOC_TBL00024_1_1"/>
            <w:bookmarkEnd w:id="93"/>
          </w:p>
        </w:tc>
        <w:tc>
          <w:tcPr>
            <w:tcW w:w="8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4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4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8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8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177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87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Забележка</w:t>
            </w:r>
          </w:p>
        </w:tc>
        <w:tc>
          <w:tcPr>
            <w:tcW w:w="124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4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08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08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 г.</w:t>
            </w:r>
          </w:p>
        </w:tc>
      </w:tr>
      <w:tr>
        <w:tc>
          <w:tcPr>
            <w:tcW w:w="177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Текущи задължения</w:t>
            </w:r>
          </w:p>
        </w:tc>
        <w:tc>
          <w:tcPr>
            <w:tcW w:w="87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2.7.1</w:t>
            </w:r>
          </w:p>
        </w:tc>
        <w:tc>
          <w:tcPr>
            <w:tcW w:w="124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24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w:t>
            </w:r>
          </w:p>
        </w:tc>
        <w:tc>
          <w:tcPr>
            <w:tcW w:w="108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80</w:t>
            </w:r>
          </w:p>
        </w:tc>
        <w:tc>
          <w:tcPr>
            <w:tcW w:w="108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88</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173</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361</w:t>
            </w:r>
          </w:p>
        </w:tc>
      </w:tr>
      <w:tr>
        <w:tc>
          <w:tcPr>
            <w:tcW w:w="177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Разни задължения</w:t>
            </w:r>
          </w:p>
        </w:tc>
        <w:tc>
          <w:tcPr>
            <w:tcW w:w="87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2.7.2</w:t>
            </w:r>
          </w:p>
        </w:tc>
        <w:tc>
          <w:tcPr>
            <w:tcW w:w="124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4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08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45</w:t>
            </w:r>
          </w:p>
        </w:tc>
        <w:tc>
          <w:tcPr>
            <w:tcW w:w="108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23</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202</w:t>
            </w:r>
          </w:p>
        </w:tc>
      </w:tr>
      <w:tr>
        <w:tc>
          <w:tcPr>
            <w:tcW w:w="177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rPr>
            </w:pPr>
            <w:r>
              <w:t>Общо</w:t>
            </w:r>
          </w:p>
        </w:tc>
        <w:tc>
          <w:tcPr>
            <w:tcW w:w="87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rPr>
            </w:pPr>
          </w:p>
        </w:tc>
        <w:tc>
          <w:tcPr>
            <w:tcW w:w="1245"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0</w:t>
            </w:r>
          </w:p>
        </w:tc>
        <w:tc>
          <w:tcPr>
            <w:tcW w:w="1245"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6</w:t>
            </w:r>
          </w:p>
        </w:tc>
        <w:tc>
          <w:tcPr>
            <w:tcW w:w="1081"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125</w:t>
            </w:r>
          </w:p>
        </w:tc>
        <w:tc>
          <w:tcPr>
            <w:tcW w:w="1081"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111</w:t>
            </w:r>
          </w:p>
        </w:tc>
        <w:tc>
          <w:tcPr>
            <w:tcW w:w="127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241</w:t>
            </w:r>
          </w:p>
        </w:tc>
        <w:tc>
          <w:tcPr>
            <w:tcW w:w="1275"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563</w:t>
            </w:r>
          </w:p>
        </w:tc>
      </w:tr>
    </w:tbl>
    <w:p>
      <w:pPr>
        <w:pStyle w:val="HEADER3Part2"/>
        <w:numPr>
          <w:ilvl w:val="0"/>
          <w:numId w:val="0"/>
        </w:numPr>
        <w:ind w:left="907"/>
        <w:rPr>
          <w:noProof/>
        </w:rPr>
      </w:pPr>
    </w:p>
    <w:p>
      <w:pPr>
        <w:pStyle w:val="HEADER3Part2"/>
        <w:rPr>
          <w:noProof/>
        </w:rPr>
      </w:pPr>
      <w:r>
        <w:rPr>
          <w:noProof/>
        </w:rPr>
        <w:t xml:space="preserve"> Текущи задължения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12"/>
        <w:gridCol w:w="1198"/>
        <w:gridCol w:w="1276"/>
        <w:gridCol w:w="1134"/>
        <w:gridCol w:w="1276"/>
        <w:gridCol w:w="1275"/>
      </w:tblGrid>
      <w:tr>
        <w:trPr>
          <w:cantSplit/>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4" w:name="DOC_TBL00025_1_1"/>
            <w:bookmarkEnd w:id="94"/>
          </w:p>
        </w:tc>
        <w:tc>
          <w:tcPr>
            <w:tcW w:w="12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cantSplit/>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1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19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 г.</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Доставчици</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133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Държави членки</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Трети държави</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146</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Публични органи</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Други текущи задължения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(13)</w:t>
            </w:r>
          </w:p>
        </w:tc>
      </w:tr>
      <w:tr>
        <w:trPr>
          <w:cantSplit/>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12"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0</w:t>
            </w:r>
          </w:p>
        </w:tc>
        <w:tc>
          <w:tcPr>
            <w:tcW w:w="119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173</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361</w:t>
            </w:r>
          </w:p>
        </w:tc>
      </w:tr>
    </w:tbl>
    <w:p>
      <w:pPr>
        <w:pStyle w:val="Textstand-alone"/>
      </w:pPr>
      <w:r>
        <w:t>Задълженията включват декларациите за разходи, получени от ЕФР във връзка с неговите дейности, свързани с безвъзмездните средства. Те се вписват с декларираната сума в момента на получаване на искането. Същата процедура се прилага за фактурите и кредитните известия, получени в рамките на дейностите, свързани с обществените поръчки. Съответните декларации за разходи са взети предвид за процедурите по разделяне на финансовите периоди в края на годината. След вписването за разделяне на финансовите периоди очакваните допустими суми са били признати в отчета за финансовия резултат. Недопустимите суми са посочени като други текущи задължения.</w:t>
      </w:r>
    </w:p>
    <w:p>
      <w:pPr>
        <w:pStyle w:val="HEADER3Part2"/>
        <w:rPr>
          <w:noProof/>
        </w:rPr>
      </w:pPr>
      <w:r>
        <w:rPr>
          <w:noProof/>
        </w:rPr>
        <w:t>Разни задължения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30"/>
        <w:gridCol w:w="1179"/>
        <w:gridCol w:w="1098"/>
        <w:gridCol w:w="1057"/>
        <w:gridCol w:w="992"/>
        <w:gridCol w:w="1263"/>
        <w:gridCol w:w="1263"/>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18"/>
              </w:rPr>
            </w:pPr>
            <w:bookmarkStart w:id="95" w:name="DOC_TBL00026_1_1"/>
            <w:bookmarkEnd w:id="95"/>
          </w:p>
        </w:tc>
        <w:tc>
          <w:tcPr>
            <w:tcW w:w="86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5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0" w:type="auto"/>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szCs w:val="18"/>
              </w:rPr>
            </w:pPr>
          </w:p>
        </w:tc>
        <w:tc>
          <w:tcPr>
            <w:tcW w:w="8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rPr>
            </w:pPr>
            <w:r>
              <w:rPr>
                <w:noProof/>
              </w:rPr>
              <w:t>Забележка</w:t>
            </w:r>
          </w:p>
        </w:tc>
        <w:tc>
          <w:tcPr>
            <w:tcW w:w="125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rPr>
            </w:pPr>
            <w:r>
              <w:rPr>
                <w:noProof/>
              </w:rPr>
              <w:t>Осми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rPr>
            </w:pPr>
            <w:r>
              <w:rPr>
                <w:noProof/>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rPr>
            </w:pPr>
            <w:r>
              <w:rPr>
                <w:noProof/>
              </w:rPr>
              <w:t>10-и ЕФР</w:t>
            </w:r>
          </w:p>
        </w:tc>
        <w:tc>
          <w:tcPr>
            <w:tcW w:w="105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rPr>
            </w:pPr>
            <w:r>
              <w:rPr>
                <w:noProof/>
              </w:rPr>
              <w:t>11-и ЕФР</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rPr>
            </w:pPr>
            <w:r>
              <w:rPr>
                <w:noProof/>
              </w:rPr>
              <w:t>31.12.2018 г.</w:t>
            </w:r>
          </w:p>
        </w:tc>
        <w:tc>
          <w:tcPr>
            <w:tcW w:w="0" w:type="auto"/>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zCs w:val="18"/>
              </w:rPr>
            </w:pPr>
            <w:r>
              <w:rPr>
                <w:noProof/>
              </w:rPr>
              <w:t>31.12.2017 г.</w:t>
            </w:r>
          </w:p>
        </w:tc>
      </w:tr>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szCs w:val="18"/>
              </w:rPr>
            </w:pPr>
            <w:r>
              <w:t>Съфинансиране — задължения</w:t>
            </w:r>
          </w:p>
        </w:tc>
        <w:tc>
          <w:tcPr>
            <w:tcW w:w="86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2.7.2.1</w:t>
            </w:r>
          </w:p>
        </w:tc>
        <w:tc>
          <w:tcPr>
            <w:tcW w:w="12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47</w:t>
            </w:r>
          </w:p>
        </w:tc>
        <w:tc>
          <w:tcPr>
            <w:tcW w:w="10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21</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28</w:t>
            </w:r>
          </w:p>
        </w:tc>
      </w:tr>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szCs w:val="18"/>
              </w:rPr>
            </w:pPr>
            <w:r>
              <w:t>Отложени капиталови вноски за фонда</w:t>
            </w:r>
          </w:p>
        </w:tc>
        <w:tc>
          <w:tcPr>
            <w:tcW w:w="86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2.7.2.2</w:t>
            </w:r>
          </w:p>
        </w:tc>
        <w:tc>
          <w:tcPr>
            <w:tcW w:w="125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05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0" w:type="auto"/>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173</w:t>
            </w:r>
          </w:p>
        </w:tc>
      </w:tr>
      <w:tr>
        <w:tc>
          <w:tcPr>
            <w:tcW w:w="180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szCs w:val="18"/>
              </w:rPr>
            </w:pPr>
            <w:r>
              <w:t>Други разни задължения</w:t>
            </w:r>
          </w:p>
        </w:tc>
        <w:tc>
          <w:tcPr>
            <w:tcW w:w="86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5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0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0" w:type="auto"/>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r>
      <w:tr>
        <w:tc>
          <w:tcPr>
            <w:tcW w:w="1809"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szCs w:val="18"/>
              </w:rPr>
            </w:pPr>
            <w:r>
              <w:t>Общо</w:t>
            </w:r>
          </w:p>
        </w:tc>
        <w:tc>
          <w:tcPr>
            <w:tcW w:w="869"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rPr>
            </w:pPr>
          </w:p>
        </w:tc>
        <w:tc>
          <w:tcPr>
            <w:tcW w:w="1258"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w:t>
            </w:r>
          </w:p>
        </w:tc>
        <w:tc>
          <w:tcPr>
            <w:tcW w:w="113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w:t>
            </w:r>
          </w:p>
        </w:tc>
        <w:tc>
          <w:tcPr>
            <w:tcW w:w="113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45</w:t>
            </w:r>
          </w:p>
        </w:tc>
        <w:tc>
          <w:tcPr>
            <w:tcW w:w="1059"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23</w:t>
            </w:r>
          </w:p>
        </w:tc>
        <w:tc>
          <w:tcPr>
            <w:tcW w:w="0" w:type="auto"/>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68</w:t>
            </w:r>
          </w:p>
        </w:tc>
        <w:tc>
          <w:tcPr>
            <w:tcW w:w="0" w:type="auto"/>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202</w:t>
            </w:r>
          </w:p>
        </w:tc>
      </w:tr>
    </w:tbl>
    <w:p>
      <w:pPr>
        <w:rPr>
          <w:rFonts w:ascii="Verdana" w:hAnsi="Verdana"/>
          <w:noProof/>
          <w:color w:val="016794"/>
          <w:sz w:val="18"/>
          <w:szCs w:val="18"/>
        </w:rPr>
      </w:pPr>
    </w:p>
    <w:p>
      <w:pPr>
        <w:pStyle w:val="HEADER4Part2"/>
        <w:rPr>
          <w:noProof/>
        </w:rPr>
      </w:pPr>
      <w:r>
        <w:rPr>
          <w:noProof/>
        </w:rPr>
        <w:t>Съфинансиране — задължения</w:t>
      </w:r>
    </w:p>
    <w:p>
      <w:pPr>
        <w:pStyle w:val="Textstand-alone"/>
      </w:pPr>
      <w:r>
        <w:t>Разбивката на нетекущи и текущи задължения по съфинансирането по държави членки е обобщена в таблицата по-долу:</w:t>
      </w:r>
    </w:p>
    <w:p>
      <w:pPr>
        <w:rPr>
          <w:rFonts w:ascii="Verdana" w:hAnsi="Verdana"/>
          <w:noProof/>
          <w:sz w:val="18"/>
          <w:szCs w:val="18"/>
        </w:rPr>
      </w:pPr>
      <w:r>
        <w:rPr>
          <w:noProof/>
        </w:rPr>
        <w:br w:type="page"/>
      </w:r>
    </w:p>
    <w:p>
      <w:pPr>
        <w:pStyle w:val="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12"/>
        <w:gridCol w:w="1198"/>
        <w:gridCol w:w="1276"/>
        <w:gridCol w:w="1134"/>
        <w:gridCol w:w="1276"/>
        <w:gridCol w:w="1275"/>
      </w:tblGrid>
      <w:tr>
        <w:trPr>
          <w:cantSplit/>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6" w:name="DOC_TBL00027_1_1"/>
            <w:bookmarkEnd w:id="96"/>
          </w:p>
        </w:tc>
        <w:tc>
          <w:tcPr>
            <w:tcW w:w="121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cantSplit/>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1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19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 г.</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rPr>
            </w:pPr>
            <w:r>
              <w:t>Нетекущо предварително финансиране</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Австрия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Белгия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Чешка република</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Дания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Финландия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Франция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Люксембург</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Нидерландия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Португалия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Швеция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Обединено кралство</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Австралия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cantSplit/>
          <w:trHeight w:val="247"/>
        </w:trPr>
        <w:tc>
          <w:tcPr>
            <w:tcW w:w="23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Text9pItalicLeft"/>
              <w:rPr>
                <w:rFonts w:eastAsia="Verdana" w:cs="Verdana"/>
              </w:rPr>
            </w:pPr>
            <w:r>
              <w:t>USAID</w:t>
            </w:r>
          </w:p>
        </w:tc>
        <w:tc>
          <w:tcPr>
            <w:tcW w:w="1212"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r>
      <w:tr>
        <w:trPr>
          <w:cantSplit/>
          <w:trHeight w:val="247"/>
        </w:trPr>
        <w:tc>
          <w:tcPr>
            <w:tcW w:w="23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rPr>
            </w:pPr>
          </w:p>
        </w:tc>
        <w:tc>
          <w:tcPr>
            <w:tcW w:w="1212"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w:t>
            </w:r>
          </w:p>
        </w:tc>
        <w:tc>
          <w:tcPr>
            <w:tcW w:w="1198"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1</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16</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18</w:t>
            </w: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14</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rPr>
            </w:pPr>
            <w:r>
              <w:t>Текущо предварително финансиране</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Австрия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Белгия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Чешка република</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Дания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Финландия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Франция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Германия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Люксембург</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Нидерландия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Полша</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Португалия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Испания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Швеция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Швейцария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Обединено кралство</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Канада</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Австралия</w:t>
            </w:r>
          </w:p>
        </w:tc>
        <w:tc>
          <w:tcPr>
            <w:tcW w:w="1212"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Text9pItalicLeft"/>
              <w:rPr>
                <w:rFonts w:eastAsia="Verdana" w:cs="Verdana"/>
              </w:rPr>
            </w:pPr>
            <w:r>
              <w:t>USAID</w:t>
            </w:r>
          </w:p>
        </w:tc>
        <w:tc>
          <w:tcPr>
            <w:tcW w:w="1212"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8"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r>
      <w:tr>
        <w:trPr>
          <w:cantSplit/>
          <w:trHeight w:val="247"/>
        </w:trPr>
        <w:tc>
          <w:tcPr>
            <w:tcW w:w="23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rPr>
            </w:pPr>
          </w:p>
        </w:tc>
        <w:tc>
          <w:tcPr>
            <w:tcW w:w="1212"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w:t>
            </w:r>
          </w:p>
        </w:tc>
        <w:tc>
          <w:tcPr>
            <w:tcW w:w="1198"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47</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21</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68</w:t>
            </w: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28</w:t>
            </w:r>
          </w:p>
        </w:tc>
      </w:tr>
      <w:tr>
        <w:trPr>
          <w:cantSplit/>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12"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19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48</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42</w:t>
            </w:r>
          </w:p>
        </w:tc>
      </w:tr>
    </w:tbl>
    <w:p>
      <w:pPr>
        <w:pStyle w:val="Textstand-alone"/>
      </w:pPr>
      <w:r>
        <w:t xml:space="preserve">Общите нетекущи и текущи задължения по съфинансирането се увеличиха с 44 милиона евро в сравнение с предишния отчетен период. </w:t>
      </w:r>
    </w:p>
    <w:p>
      <w:pPr>
        <w:pStyle w:val="Textstand-alone"/>
      </w:pPr>
      <w:r>
        <w:t xml:space="preserve">През 2018 г. бяха получени общо 28 милиона евро нови вноски по съфинансирането. </w:t>
      </w:r>
    </w:p>
    <w:p>
      <w:pPr>
        <w:pStyle w:val="Textstand-alone"/>
      </w:pPr>
      <w:r>
        <w:t xml:space="preserve">Общите задължения по съфинансирането се увеличиха със 17 милиона евро, за да се впишат приходите и разходите, свързани със съфинансирани проекти (вж. бележки </w:t>
      </w:r>
      <w:r>
        <w:rPr>
          <w:b/>
        </w:rPr>
        <w:t>3.1.1</w:t>
      </w:r>
      <w:r>
        <w:t xml:space="preserve"> и </w:t>
      </w:r>
      <w:r>
        <w:rPr>
          <w:b/>
        </w:rPr>
        <w:t>3.4</w:t>
      </w:r>
      <w:r>
        <w:t xml:space="preserve">). </w:t>
      </w:r>
    </w:p>
    <w:p>
      <w:pPr>
        <w:pStyle w:val="Textstand-alone"/>
      </w:pPr>
      <w:r>
        <w:br w:type="page"/>
      </w:r>
    </w:p>
    <w:p>
      <w:pPr>
        <w:pStyle w:val="HEADER4Part2"/>
        <w:rPr>
          <w:noProof/>
        </w:rPr>
      </w:pPr>
      <w:r>
        <w:rPr>
          <w:noProof/>
        </w:rPr>
        <w:t>Отложени капиталови вноски за фонда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75"/>
        <w:gridCol w:w="1276"/>
        <w:gridCol w:w="1276"/>
        <w:gridCol w:w="1134"/>
        <w:gridCol w:w="1276"/>
        <w:gridCol w:w="1275"/>
      </w:tblGrid>
      <w:tr>
        <w:tc>
          <w:tcPr>
            <w:tcW w:w="223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7" w:name="DOC_TBL00028_1_1"/>
            <w:bookmarkEnd w:id="97"/>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223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 г.</w:t>
            </w:r>
          </w:p>
        </w:tc>
      </w:tr>
      <w:tr>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Обединено кралство</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170</w:t>
            </w:r>
          </w:p>
        </w:tc>
      </w:tr>
      <w:tr>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Литва</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r>
      <w:tr>
        <w:trPr>
          <w:trHeight w:val="247"/>
        </w:trPr>
        <w:tc>
          <w:tcPr>
            <w:tcW w:w="223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173</w:t>
            </w:r>
          </w:p>
        </w:tc>
      </w:tr>
    </w:tbl>
    <w:p>
      <w:pPr>
        <w:pStyle w:val="Textstand-alone"/>
      </w:pPr>
      <w:r>
        <w:t>Тази позиция се отнася изцяло до вноските на държавите членки за 2018 г., платени предварително.</w:t>
      </w:r>
    </w:p>
    <w:bookmarkEnd w:id="92"/>
    <w:p>
      <w:pPr>
        <w:pStyle w:val="Textstand-alone"/>
        <w:sectPr>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134" w:bottom="1134" w:left="1134" w:header="709" w:footer="709" w:gutter="0"/>
          <w:cols w:space="708"/>
          <w:docGrid w:linePitch="360"/>
        </w:sectPr>
      </w:pPr>
    </w:p>
    <w:p>
      <w:pPr>
        <w:pStyle w:val="HEADER2Part2"/>
        <w:rPr>
          <w:noProof/>
        </w:rPr>
      </w:pPr>
      <w:bookmarkStart w:id="98" w:name="_DMBM_14099"/>
      <w:r>
        <w:rPr>
          <w:noProof/>
        </w:rPr>
        <w:t>НАЧИСЛЕНИ РАЗХОДИ И ПРИХОДИ ЗА БЪДЕЩИ ПЕРИОДИ</w:t>
      </w:r>
    </w:p>
    <w:tbl>
      <w:tblPr>
        <w:tblW w:w="10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383"/>
        <w:gridCol w:w="1383"/>
        <w:gridCol w:w="1196"/>
        <w:gridCol w:w="1196"/>
        <w:gridCol w:w="1418"/>
        <w:gridCol w:w="1418"/>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9" w:name="DOC_TBL00029_1_1"/>
            <w:bookmarkEnd w:id="99"/>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 г.</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 г.</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Начислени разходи</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83</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358</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838</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1 279</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730</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Други начисления и отсрочки</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0</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83</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358</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840</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1 281</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733</w:t>
            </w:r>
          </w:p>
        </w:tc>
      </w:tr>
    </w:tbl>
    <w:p>
      <w:pPr>
        <w:pStyle w:val="Textstand-alone"/>
      </w:pPr>
      <w:r>
        <w:t xml:space="preserve">Начислените разходи включват прогнозните оперативни разходи за текущи или приключили договори без заверени декларации за разходи, при които допустимите разходи за 2018 г., направени от бенефициерите на ЕФР, са били изчислени въз основа на най-добрата налична информация. Делът на очакваните начислени разходи, който се отнася до изплатено предварително финансиране, е вписан като намаление на сумите по предварителното финансиране (вж. бележка </w:t>
      </w:r>
      <w:r>
        <w:rPr>
          <w:b/>
        </w:rPr>
        <w:t>2.1</w:t>
      </w:r>
      <w:r>
        <w:t>).</w:t>
      </w:r>
    </w:p>
    <w:p>
      <w:pPr>
        <w:pStyle w:val="Textstand-alone"/>
      </w:pPr>
      <w:r>
        <w:t>Начислените разходи се увеличиха главно в 11-ия ЕФР (от 140 милиона евро през 2017 г. на 840 милиона евро през 2018 г.). Това съответства на увеличението на броя на договорите (от 1 600 през 2017 г. на 2 300 през 2018 г.). 11-ият ЕФР започна през 2015 г., следователно 2018 г. бе четвъртата година от съществуването му. 11-ият ЕФР достигна зрялост по отношение на изпълнението на приетите действия.</w:t>
      </w:r>
    </w:p>
    <w:bookmarkEnd w:id="98"/>
    <w:p>
      <w:pPr>
        <w:pStyle w:val="Textstand-alone"/>
        <w:sectPr>
          <w:headerReference w:type="even" r:id="rId161"/>
          <w:headerReference w:type="default" r:id="rId162"/>
          <w:footerReference w:type="even" r:id="rId163"/>
          <w:footerReference w:type="default" r:id="rId164"/>
          <w:headerReference w:type="first" r:id="rId165"/>
          <w:footerReference w:type="first" r:id="rId166"/>
          <w:type w:val="continuous"/>
          <w:pgSz w:w="11906" w:h="16838"/>
          <w:pgMar w:top="1134" w:right="1134" w:bottom="1134" w:left="1134" w:header="709" w:footer="709" w:gutter="0"/>
          <w:cols w:space="708"/>
          <w:docGrid w:linePitch="360"/>
        </w:sectPr>
      </w:pPr>
    </w:p>
    <w:p>
      <w:pPr>
        <w:pStyle w:val="HEADERTABLE"/>
        <w:spacing w:after="0"/>
        <w:rPr>
          <w:noProof/>
        </w:rPr>
      </w:pPr>
      <w:bookmarkStart w:id="100" w:name="_DMBM_14088"/>
      <w:r>
        <w:rPr>
          <w:noProof/>
        </w:rPr>
        <w:t>НЕТНИ АКТИВИ</w:t>
      </w:r>
    </w:p>
    <w:p>
      <w:pPr>
        <w:pStyle w:val="Textstand-alone"/>
        <w:spacing w:before="0"/>
        <w:sectPr>
          <w:headerReference w:type="even" r:id="rId167"/>
          <w:headerReference w:type="default" r:id="rId168"/>
          <w:footerReference w:type="even" r:id="rId169"/>
          <w:footerReference w:type="default" r:id="rId170"/>
          <w:headerReference w:type="first" r:id="rId171"/>
          <w:footerReference w:type="first" r:id="rId172"/>
          <w:type w:val="continuous"/>
          <w:pgSz w:w="11906" w:h="16838"/>
          <w:pgMar w:top="1134" w:right="1134" w:bottom="1134" w:left="1134" w:header="709" w:footer="709" w:gutter="0"/>
          <w:cols w:space="708"/>
          <w:docGrid w:linePitch="360"/>
        </w:sectPr>
      </w:pPr>
      <w:r>
        <w:t xml:space="preserve"> </w:t>
      </w:r>
      <w:bookmarkEnd w:id="100"/>
    </w:p>
    <w:p>
      <w:pPr>
        <w:pStyle w:val="HEADER2Part2"/>
        <w:spacing w:after="0"/>
        <w:rPr>
          <w:noProof/>
        </w:rPr>
      </w:pPr>
      <w:bookmarkStart w:id="101" w:name="_DMBM_14153"/>
      <w:r>
        <w:rPr>
          <w:noProof/>
        </w:rPr>
        <w:t>КАПИТАЛ НА ФОНДА</w:t>
      </w:r>
    </w:p>
    <w:p>
      <w:pPr>
        <w:pStyle w:val="HEADER3Part2"/>
        <w:keepNext/>
        <w:keepLines/>
        <w:rPr>
          <w:noProof/>
        </w:rPr>
      </w:pPr>
      <w:r>
        <w:rPr>
          <w:noProof/>
        </w:rPr>
        <w:t>Поискан капитал на фонда — активни ЕФР</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522"/>
        <w:gridCol w:w="1523"/>
        <w:gridCol w:w="1317"/>
        <w:gridCol w:w="1317"/>
        <w:gridCol w:w="1560"/>
      </w:tblGrid>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2" w:name="DOC_TBL00030_1_1"/>
            <w:bookmarkEnd w:id="102"/>
          </w:p>
        </w:tc>
        <w:tc>
          <w:tcPr>
            <w:tcW w:w="152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2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cantSplit/>
        </w:trPr>
        <w:tc>
          <w:tcPr>
            <w:tcW w:w="2615"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2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Осми ЕФР</w:t>
            </w:r>
          </w:p>
        </w:tc>
        <w:tc>
          <w:tcPr>
            <w:tcW w:w="152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Девети ЕФР</w:t>
            </w:r>
          </w:p>
        </w:tc>
        <w:tc>
          <w:tcPr>
            <w:tcW w:w="13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10-и ЕФР</w:t>
            </w:r>
          </w:p>
        </w:tc>
        <w:tc>
          <w:tcPr>
            <w:tcW w:w="13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11-и ЕФР</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Общо</w:t>
            </w: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Капитал на фонда</w:t>
            </w: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12 164</w:t>
            </w: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10 773</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20 960</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29 367</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73 264</w:t>
            </w: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Непоискан капитал на фонда</w:t>
            </w: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(27 090)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(27 090)</w:t>
            </w:r>
          </w:p>
        </w:tc>
      </w:tr>
      <w:tr>
        <w:trPr>
          <w:cantSplit/>
        </w:trPr>
        <w:tc>
          <w:tcPr>
            <w:tcW w:w="2615"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Поискан капитал на фонда 31.12.2017 г.</w:t>
            </w:r>
          </w:p>
        </w:tc>
        <w:tc>
          <w:tcPr>
            <w:tcW w:w="152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12 164</w:t>
            </w:r>
          </w:p>
        </w:tc>
        <w:tc>
          <w:tcPr>
            <w:tcW w:w="152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10 773</w:t>
            </w:r>
          </w:p>
        </w:tc>
        <w:tc>
          <w:tcPr>
            <w:tcW w:w="13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20 960</w:t>
            </w:r>
          </w:p>
        </w:tc>
        <w:tc>
          <w:tcPr>
            <w:tcW w:w="13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2 277</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46 173</w:t>
            </w: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Капитал на фонда</w:t>
            </w: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12 164</w:t>
            </w: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10 773</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20 960</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29 367</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73 264</w:t>
            </w:r>
          </w:p>
        </w:tc>
      </w:tr>
      <w:tr>
        <w:trPr>
          <w:cantSplit/>
        </w:trPr>
        <w:tc>
          <w:tcPr>
            <w:tcW w:w="261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Непоискан капитал на фонда</w:t>
            </w:r>
          </w:p>
        </w:tc>
        <w:tc>
          <w:tcPr>
            <w:tcW w:w="152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2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(22 840)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(22 840)</w:t>
            </w:r>
          </w:p>
        </w:tc>
      </w:tr>
      <w:tr>
        <w:trPr>
          <w:cantSplit/>
        </w:trPr>
        <w:tc>
          <w:tcPr>
            <w:tcW w:w="2615"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Поискан капитал на фонда 31.12.2018 г.</w:t>
            </w:r>
          </w:p>
        </w:tc>
        <w:tc>
          <w:tcPr>
            <w:tcW w:w="152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12 164</w:t>
            </w:r>
          </w:p>
        </w:tc>
        <w:tc>
          <w:tcPr>
            <w:tcW w:w="152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10 773</w:t>
            </w:r>
          </w:p>
        </w:tc>
        <w:tc>
          <w:tcPr>
            <w:tcW w:w="13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20 960</w:t>
            </w:r>
          </w:p>
        </w:tc>
        <w:tc>
          <w:tcPr>
            <w:tcW w:w="13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6 527</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50 423</w:t>
            </w:r>
          </w:p>
        </w:tc>
      </w:tr>
    </w:tbl>
    <w:p>
      <w:pPr>
        <w:pStyle w:val="Textstand-alone"/>
      </w:pPr>
      <w:r>
        <w:t>Капиталът на фонда представлява общият размер на вноските от държавите членки за съответния ЕФР, както е посочено във всяко от вътрешните споразумения. Непоисканите средства представляват първоначалните средства, които още не са поискани от държавите членки.</w:t>
      </w:r>
    </w:p>
    <w:p>
      <w:pPr>
        <w:pStyle w:val="Textstand-alone"/>
      </w:pPr>
      <w:r>
        <w:t xml:space="preserve">Поисканият капитал представлява сумата на първоначалните средства, за които държавите членки са поискали да бъдат прехвърлени по касовите сметки (вж. бележка </w:t>
      </w:r>
      <w:r>
        <w:rPr>
          <w:b/>
        </w:rPr>
        <w:t>2.9.2</w:t>
      </w:r>
      <w:r>
        <w:t xml:space="preserve"> по-долу).</w:t>
      </w:r>
    </w:p>
    <w:p>
      <w:pPr>
        <w:pStyle w:val="HEADER3Part2"/>
        <w:keepNext/>
        <w:keepLines/>
        <w:rPr>
          <w:noProof/>
        </w:rPr>
      </w:pPr>
      <w:r>
        <w:rPr>
          <w:noProof/>
        </w:rPr>
        <w:t>Поискан и непоискан капитал на фонда по държави членки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1"/>
        <w:gridCol w:w="1473"/>
        <w:gridCol w:w="1683"/>
        <w:gridCol w:w="1404"/>
        <w:gridCol w:w="1543"/>
      </w:tblGrid>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3" w:name="DOC_TBL00031_1_1"/>
            <w:bookmarkEnd w:id="103"/>
          </w:p>
        </w:tc>
        <w:tc>
          <w:tcPr>
            <w:tcW w:w="14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6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0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cantSplit/>
        </w:trPr>
        <w:tc>
          <w:tcPr>
            <w:tcW w:w="375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Вноски за 11-и ЕФР</w:t>
            </w:r>
          </w:p>
        </w:tc>
        <w:tc>
          <w:tcPr>
            <w:tcW w:w="1473"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w:t>
            </w:r>
          </w:p>
        </w:tc>
        <w:tc>
          <w:tcPr>
            <w:tcW w:w="1683"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Непоискан капитал 31.12.2017 г.</w:t>
            </w:r>
          </w:p>
        </w:tc>
        <w:tc>
          <w:tcPr>
            <w:tcW w:w="1404"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Поискан капитал през 2018 г.</w:t>
            </w:r>
          </w:p>
        </w:tc>
        <w:tc>
          <w:tcPr>
            <w:tcW w:w="1543"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Непоискан капитал 31.12.2018 г.</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Австрия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2.40</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650</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(102)</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548</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Белгия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3.25</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880</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(138)</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742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България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0.22</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Хърватия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0.23</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61</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Кипър</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0.11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Чешка република</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0.80</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Дания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1.98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537</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452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Естония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0.09</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Финландия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1.51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409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345</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Франция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17.81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4 826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(757)</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4 068</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Германия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20.58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5 575</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4 700</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Гърция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1.51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408</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344</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Унгария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0.61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140</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Ирландия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0.94</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255</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(40)</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215</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Италия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12.53</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3 394</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(533)</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2 862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Латвия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0.12</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27</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Литва</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0.18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Люксембург</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0.26</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Малта</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0.04</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Нидерландия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4.78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1 294</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(203)</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1 091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Полша</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2.01</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544</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458</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Португалия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1.20</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324</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(51)</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273</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Румъния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0.72</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195</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164</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Словакия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0.38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102</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Словения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0.22</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61</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Испания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7.93</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2 149</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(337)</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1 812</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Швеция</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2.94</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796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(125)</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671</w:t>
            </w:r>
          </w:p>
        </w:tc>
      </w:tr>
      <w:tr>
        <w:trPr>
          <w:cantSplit/>
        </w:trPr>
        <w:tc>
          <w:tcPr>
            <w:tcW w:w="3751"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Обединено кралство</w:t>
            </w:r>
          </w:p>
        </w:tc>
        <w:tc>
          <w:tcPr>
            <w:tcW w:w="147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14.68</w:t>
            </w:r>
          </w:p>
        </w:tc>
        <w:tc>
          <w:tcPr>
            <w:tcW w:w="168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3 976</w:t>
            </w:r>
          </w:p>
        </w:tc>
        <w:tc>
          <w:tcPr>
            <w:tcW w:w="1404"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(624)</w:t>
            </w:r>
          </w:p>
        </w:tc>
        <w:tc>
          <w:tcPr>
            <w:tcW w:w="15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3 353</w:t>
            </w:r>
          </w:p>
        </w:tc>
      </w:tr>
      <w:tr>
        <w:trPr>
          <w:cantSplit/>
        </w:trPr>
        <w:tc>
          <w:tcPr>
            <w:tcW w:w="375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14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100.00</w:t>
            </w:r>
          </w:p>
        </w:tc>
        <w:tc>
          <w:tcPr>
            <w:tcW w:w="168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27 090</w:t>
            </w:r>
          </w:p>
        </w:tc>
        <w:tc>
          <w:tcPr>
            <w:tcW w:w="140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(4 250)</w:t>
            </w:r>
          </w:p>
        </w:tc>
        <w:tc>
          <w:tcPr>
            <w:tcW w:w="15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22 840</w:t>
            </w:r>
          </w:p>
        </w:tc>
      </w:tr>
    </w:tbl>
    <w:p>
      <w:pPr>
        <w:pStyle w:val="Textstand-alone"/>
      </w:pPr>
      <w:r>
        <w:t>През 2018 г. са поискани 4 250 милиона евро от 11-ия ЕФР. Към 31 декември 2018 г. целият капитал на осмия, деветия и 10-ия ЕФР е бил поискан и получен.</w:t>
      </w:r>
    </w:p>
    <w:bookmarkEnd w:id="101"/>
    <w:p>
      <w:pPr>
        <w:pStyle w:val="Textstand-alone"/>
        <w:sectPr>
          <w:headerReference w:type="even" r:id="rId173"/>
          <w:headerReference w:type="default" r:id="rId174"/>
          <w:footerReference w:type="even" r:id="rId175"/>
          <w:footerReference w:type="default" r:id="rId176"/>
          <w:headerReference w:type="first" r:id="rId177"/>
          <w:footerReference w:type="first" r:id="rId178"/>
          <w:type w:val="continuous"/>
          <w:pgSz w:w="11906" w:h="16838"/>
          <w:pgMar w:top="1134" w:right="1134" w:bottom="1134" w:left="1134" w:header="709" w:footer="709" w:gutter="0"/>
          <w:cols w:space="708"/>
          <w:docGrid w:linePitch="360"/>
        </w:sectPr>
      </w:pPr>
    </w:p>
    <w:p>
      <w:pPr>
        <w:pStyle w:val="HEADER3Part2"/>
        <w:rPr>
          <w:noProof/>
        </w:rPr>
      </w:pPr>
      <w:bookmarkStart w:id="104" w:name="_DMBM_14096"/>
      <w:r>
        <w:rPr>
          <w:noProof/>
        </w:rPr>
        <w:t>Поискан капитал на фонда от пренесени закрити ЕФР</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19"/>
        <w:gridCol w:w="1219"/>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5" w:name="DOC_TBL00032_1_1"/>
            <w:bookmarkEnd w:id="105"/>
          </w:p>
        </w:tc>
        <w:tc>
          <w:tcPr>
            <w:tcW w:w="121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1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1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1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 г.</w:t>
            </w:r>
          </w:p>
        </w:tc>
      </w:tr>
      <w:tr>
        <w:trPr>
          <w:trHeight w:val="247"/>
        </w:trPr>
        <w:tc>
          <w:tcPr>
            <w:tcW w:w="23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Text9pItalicLeft"/>
              <w:rPr>
                <w:rFonts w:eastAsia="Verdana" w:cs="Verdana"/>
              </w:rPr>
            </w:pPr>
            <w:r>
              <w:t>Средства, прехвърлени от закрити ЕФР</w:t>
            </w:r>
          </w:p>
        </w:tc>
        <w:tc>
          <w:tcPr>
            <w:tcW w:w="1219"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627</w:t>
            </w:r>
          </w:p>
        </w:tc>
        <w:tc>
          <w:tcPr>
            <w:tcW w:w="1219"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1 625</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2 252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2 252</w:t>
            </w:r>
          </w:p>
        </w:tc>
      </w:tr>
    </w:tbl>
    <w:p>
      <w:pPr>
        <w:pStyle w:val="Textstand-alone"/>
      </w:pPr>
      <w:r>
        <w:t>Тази позиция включва средствата, прехвърлени от закритите ЕФР към осмия и деветия ЕФР.</w:t>
      </w:r>
    </w:p>
    <w:bookmarkEnd w:id="104"/>
    <w:p>
      <w:pPr>
        <w:rPr>
          <w:rFonts w:ascii="Verdana" w:hAnsi="Verdana"/>
          <w:noProof/>
          <w:sz w:val="18"/>
          <w:szCs w:val="18"/>
        </w:rPr>
      </w:pPr>
      <w:r>
        <w:rPr>
          <w:noProof/>
        </w:rPr>
        <w:br w:type="page"/>
      </w:r>
    </w:p>
    <w:p>
      <w:pPr>
        <w:pStyle w:val="Textstand-alone"/>
        <w:sectPr>
          <w:headerReference w:type="even" r:id="rId179"/>
          <w:headerReference w:type="default" r:id="rId180"/>
          <w:footerReference w:type="even" r:id="rId181"/>
          <w:footerReference w:type="default" r:id="rId182"/>
          <w:headerReference w:type="first" r:id="rId183"/>
          <w:footerReference w:type="first" r:id="rId184"/>
          <w:type w:val="continuous"/>
          <w:pgSz w:w="11906" w:h="16838"/>
          <w:pgMar w:top="1134" w:right="1134" w:bottom="1134" w:left="1134" w:header="709" w:footer="709" w:gutter="0"/>
          <w:cols w:space="708"/>
          <w:docGrid w:linePitch="360"/>
        </w:sectPr>
      </w:pPr>
    </w:p>
    <w:p>
      <w:pPr>
        <w:pStyle w:val="HEADER3Part2"/>
        <w:spacing w:before="0" w:after="240"/>
        <w:rPr>
          <w:noProof/>
        </w:rPr>
      </w:pPr>
      <w:bookmarkStart w:id="106" w:name="_DMBM_14186"/>
      <w:r>
        <w:rPr>
          <w:noProof/>
        </w:rPr>
        <w:t>Поискан капитал на фонда, трансфери между активни ЕФР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7" w:name="DOC_TBL00033_1_1"/>
            <w:bookmarkEnd w:id="107"/>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Осми ЕФР</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Девети ЕФР</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10-и ЕФР</w:t>
            </w:r>
          </w:p>
        </w:tc>
        <w:tc>
          <w:tcPr>
            <w:tcW w:w="127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11-и ЕФР</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Общо</w:t>
            </w:r>
          </w:p>
        </w:tc>
      </w:tr>
      <w:t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Салдо към 31.12.2016 г.</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(2 496)</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2 214</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247</w:t>
            </w:r>
          </w:p>
        </w:tc>
        <w:tc>
          <w:tcPr>
            <w:tcW w:w="12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Прехвърляне на отменени задължения към резерва за изпълнение на 10-ия ЕФР от предходни ЕФР</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Прехвърляне на отменени задължения към резерва за изпълнение на 11-ия ЕФР от предходни ЕФР</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(171)</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Салдо към 31.12.2017 г.</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(2 503)</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2 177</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120</w:t>
            </w:r>
          </w:p>
        </w:tc>
        <w:tc>
          <w:tcPr>
            <w:tcW w:w="12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206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Прехвърляне на отменени задължения към резерва за изпълнение на 10-ия ЕФР от предходни ЕФР</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Прехвърляне на отменени задължения към резерва за изпълнение на 11-ия ЕФР от предходни ЕФР</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Салдо към 31.12.2018 г.</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(2 509)</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2 137</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55</w:t>
            </w:r>
          </w:p>
        </w:tc>
        <w:tc>
          <w:tcPr>
            <w:tcW w:w="12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317</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bl>
    <w:p>
      <w:pPr>
        <w:pStyle w:val="Textstand-alone"/>
      </w:pPr>
      <w:r>
        <w:t>Тази позиция включва средствата, прехвърлени между активните ЕФР.</w:t>
      </w:r>
    </w:p>
    <w:p>
      <w:pPr>
        <w:pStyle w:val="Textstand-alone"/>
      </w:pPr>
      <w:r>
        <w:t xml:space="preserve">След влизането в сила на Споразумението от Котону всички неизразходвани средства от предишни активни ЕФР се прехвърлят към последния открит ЕФР след отмяна на поетите задължения. Средствата, прехвърлени от други ЕФР, увеличават бюджетните кредити на получаващия фонд и намаляват бюджетните кредити на фонда, от който се прехвърлят. Средствата, прехвърлени към резерва за изпълнение на 10-ия и 11-ия ЕФР, могат да бъдат поети като задължение само при специфични условия, определени във вътрешните споразумения.  </w:t>
      </w:r>
    </w:p>
    <w:bookmarkEnd w:id="106"/>
    <w:p>
      <w:pPr>
        <w:pStyle w:val="Textstand-alone"/>
        <w:sectPr>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p>
    <w:p>
      <w:pPr>
        <w:pStyle w:val="HEADER1Part2"/>
        <w:spacing w:after="0"/>
        <w:rPr>
          <w:noProof/>
        </w:rPr>
      </w:pPr>
      <w:bookmarkStart w:id="108" w:name="_DMBM_14142"/>
      <w:r>
        <w:rPr>
          <w:noProof/>
        </w:rPr>
        <w:t>БЕЛЕЖКИ КЪМ ОТЧЕТА ЗА ФИНАНСОВИЯ РЕЗУЛТАТ</w:t>
      </w:r>
    </w:p>
    <w:p>
      <w:pPr>
        <w:pStyle w:val="Textstand-alone"/>
        <w:spacing w:before="0" w:after="0"/>
        <w:sectPr>
          <w:headerReference w:type="even" r:id="rId191"/>
          <w:headerReference w:type="default" r:id="rId192"/>
          <w:footerReference w:type="even" r:id="rId193"/>
          <w:footerReference w:type="default" r:id="rId194"/>
          <w:headerReference w:type="first" r:id="rId195"/>
          <w:footerReference w:type="first" r:id="rId196"/>
          <w:pgSz w:w="11906" w:h="16838"/>
          <w:pgMar w:top="1134" w:right="1134" w:bottom="1134" w:left="1134" w:header="709" w:footer="709" w:gutter="0"/>
          <w:cols w:space="708"/>
          <w:docGrid w:linePitch="360"/>
        </w:sectPr>
      </w:pPr>
      <w:r>
        <w:t xml:space="preserve"> </w:t>
      </w:r>
      <w:bookmarkEnd w:id="108"/>
    </w:p>
    <w:p>
      <w:pPr>
        <w:pStyle w:val="HEADERTABLE"/>
        <w:rPr>
          <w:noProof/>
        </w:rPr>
      </w:pPr>
      <w:bookmarkStart w:id="109" w:name="_DMBM_14072"/>
      <w:r>
        <w:rPr>
          <w:noProof/>
        </w:rPr>
        <w:t>ПРИХОДИ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1485"/>
        <w:gridCol w:w="1736"/>
        <w:gridCol w:w="1760"/>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0" w:name="DOC_TBL00034_1_1"/>
            <w:bookmarkEnd w:id="11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Забележка</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 г.</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 г.</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Приходи от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Приходи от операции с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60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87</w:t>
            </w:r>
          </w:p>
        </w:tc>
      </w:tr>
    </w:tbl>
    <w:p>
      <w:pPr>
        <w:pStyle w:val="HEADER2Part2"/>
        <w:rPr>
          <w:noProof/>
        </w:rPr>
      </w:pPr>
      <w:r>
        <w:rPr>
          <w:noProof/>
        </w:rPr>
        <w:t>ПРИХОДИ ОТ ОПЕРАЦИИ БЕЗ РАЗМЯНА</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41"/>
        <w:gridCol w:w="1254"/>
        <w:gridCol w:w="1126"/>
        <w:gridCol w:w="1126"/>
        <w:gridCol w:w="1126"/>
        <w:gridCol w:w="997"/>
        <w:gridCol w:w="1357"/>
      </w:tblGrid>
      <w:tr>
        <w:tc>
          <w:tcPr>
            <w:tcW w:w="21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1" w:name="DOC_TBL00035_1_1"/>
            <w:bookmarkEnd w:id="111"/>
          </w:p>
        </w:tc>
        <w:tc>
          <w:tcPr>
            <w:tcW w:w="74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5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5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2127"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74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Забележка</w:t>
            </w:r>
          </w:p>
        </w:tc>
        <w:tc>
          <w:tcPr>
            <w:tcW w:w="125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12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12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2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99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2018 г.</w:t>
            </w:r>
          </w:p>
        </w:tc>
        <w:tc>
          <w:tcPr>
            <w:tcW w:w="135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2017 г.</w:t>
            </w:r>
          </w:p>
        </w:tc>
      </w:tr>
      <w:tr>
        <w:tc>
          <w:tcPr>
            <w:tcW w:w="21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Събиране на разходи</w:t>
            </w:r>
          </w:p>
        </w:tc>
        <w:tc>
          <w:tcPr>
            <w:tcW w:w="7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5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w:t>
            </w:r>
          </w:p>
        </w:tc>
        <w:tc>
          <w:tcPr>
            <w:tcW w:w="99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21</w:t>
            </w:r>
          </w:p>
        </w:tc>
        <w:tc>
          <w:tcPr>
            <w:tcW w:w="13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19</w:t>
            </w:r>
          </w:p>
        </w:tc>
      </w:tr>
      <w:tr>
        <w:tc>
          <w:tcPr>
            <w:tcW w:w="21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Събиране на средства по STABEX</w:t>
            </w:r>
          </w:p>
        </w:tc>
        <w:tc>
          <w:tcPr>
            <w:tcW w:w="74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5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12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35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r>
      <w:tr>
        <w:tc>
          <w:tcPr>
            <w:tcW w:w="212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Приходи от съфинансиране</w:t>
            </w:r>
          </w:p>
        </w:tc>
        <w:tc>
          <w:tcPr>
            <w:tcW w:w="74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3.1.1</w:t>
            </w:r>
          </w:p>
        </w:tc>
        <w:tc>
          <w:tcPr>
            <w:tcW w:w="125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(18)</w:t>
            </w:r>
          </w:p>
        </w:tc>
        <w:tc>
          <w:tcPr>
            <w:tcW w:w="1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135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w:t>
            </w:r>
          </w:p>
        </w:tc>
      </w:tr>
      <w:tr>
        <w:tc>
          <w:tcPr>
            <w:tcW w:w="212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rPr>
            </w:pPr>
            <w:r>
              <w:t>Общо</w:t>
            </w:r>
          </w:p>
        </w:tc>
        <w:tc>
          <w:tcPr>
            <w:tcW w:w="741"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rPr>
            </w:pPr>
          </w:p>
        </w:tc>
        <w:tc>
          <w:tcPr>
            <w:tcW w:w="125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0</w:t>
            </w:r>
          </w:p>
        </w:tc>
        <w:tc>
          <w:tcPr>
            <w:tcW w:w="112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3</w:t>
            </w:r>
          </w:p>
        </w:tc>
        <w:tc>
          <w:tcPr>
            <w:tcW w:w="112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(3)</w:t>
            </w:r>
          </w:p>
        </w:tc>
        <w:tc>
          <w:tcPr>
            <w:tcW w:w="112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4</w:t>
            </w:r>
          </w:p>
        </w:tc>
        <w:tc>
          <w:tcPr>
            <w:tcW w:w="99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4</w:t>
            </w:r>
          </w:p>
        </w:tc>
        <w:tc>
          <w:tcPr>
            <w:tcW w:w="135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61</w:t>
            </w:r>
          </w:p>
        </w:tc>
      </w:tr>
    </w:tbl>
    <w:p>
      <w:pPr>
        <w:pStyle w:val="Textstand-alone"/>
        <w:spacing w:before="0" w:after="0"/>
      </w:pPr>
      <w:r>
        <w:t xml:space="preserve"> </w:t>
      </w:r>
    </w:p>
    <w:p>
      <w:pPr>
        <w:pStyle w:val="Textstand-alone"/>
        <w:spacing w:before="0" w:after="0"/>
      </w:pPr>
      <w:r>
        <w:t>Приходите от операции без размяна могат да бъдат разделени по режими на управление, както следва: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2" w:name="DOC_TBL00036_1_1"/>
            <w:bookmarkEnd w:id="11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 г.</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 г.</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Пряко управление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Indented"/>
              <w:ind w:left="200"/>
              <w:rPr>
                <w:rFonts w:eastAsia="Verdana" w:cs="Verdana"/>
              </w:rPr>
            </w:pPr>
            <w:r>
              <w:t>Изпълнява се от: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Комисията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ind w:left="600"/>
              <w:rPr>
                <w:rFonts w:eastAsia="Verdana" w:cs="Verdana"/>
              </w:rPr>
            </w:pPr>
            <w:r>
              <w:t>Делегациите на ЕС</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Непряко управление</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Indented"/>
              <w:ind w:left="200"/>
              <w:rPr>
                <w:rFonts w:eastAsia="Verdana" w:cs="Verdana"/>
              </w:rPr>
            </w:pPr>
            <w:r>
              <w:t>Изпълнява се от: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Трети държави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Международни организации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Публичноправни органи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Частноправни органи със задължение за обществена услуга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61</w:t>
            </w:r>
          </w:p>
        </w:tc>
      </w:tr>
    </w:tbl>
    <w:p>
      <w:pPr>
        <w:pStyle w:val="HEADER3Part2"/>
        <w:rPr>
          <w:noProof/>
        </w:rPr>
      </w:pPr>
      <w:r>
        <w:rPr>
          <w:noProof/>
        </w:rPr>
        <w:t>Приходи от съфинансиране</w:t>
      </w:r>
    </w:p>
    <w:p>
      <w:pPr>
        <w:pStyle w:val="Textstand-alone"/>
      </w:pPr>
      <w:r>
        <w:t xml:space="preserve">Получените вноски по </w:t>
      </w:r>
      <w:r>
        <w:noBreakHyphen/>
        <w:t xml:space="preserve">съфинансирането изпълняват критериите за условни приходи от операции без размяна и като такива не следва да оказват въздействие върху отчета за финансовия резултат. Получените вноски продължават да се вписват като пасиви (вж. бележка </w:t>
      </w:r>
      <w:r>
        <w:rPr>
          <w:b/>
        </w:rPr>
        <w:t>2.7.2.1</w:t>
      </w:r>
      <w:r>
        <w:t xml:space="preserve">), докато бъдат изпълнени условията, определени за дарените средства, т.е. докато допустимите разходи бъдат направени (вж. бележка </w:t>
      </w:r>
      <w:r>
        <w:rPr>
          <w:b/>
        </w:rPr>
        <w:t>3.4</w:t>
      </w:r>
      <w:r>
        <w:t>). Тогава съответната сума се признава като приходи от операции без размяна от съфинансиране. Следователно ефектът върху икономическия резултат за годината е нулев.</w:t>
      </w:r>
    </w:p>
    <w:p>
      <w:pPr>
        <w:pStyle w:val="Textstand-alone"/>
      </w:pPr>
      <w:r>
        <w:br w:type="page"/>
      </w:r>
    </w:p>
    <w:p>
      <w:pPr>
        <w:pStyle w:val="HEADER2Part2"/>
        <w:rPr>
          <w:noProof/>
        </w:rPr>
      </w:pPr>
      <w:r>
        <w:rPr>
          <w:noProof/>
        </w:rPr>
        <w:t>ПРИХОДИ ОТ ОПЕРАЦИИ С РАЗМЯНА</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1247"/>
        <w:gridCol w:w="1276"/>
        <w:gridCol w:w="1276"/>
        <w:gridCol w:w="1134"/>
        <w:gridCol w:w="1276"/>
        <w:gridCol w:w="1275"/>
      </w:tblGrid>
      <w:tr>
        <w:tc>
          <w:tcPr>
            <w:tcW w:w="232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3" w:name="DOC_TBL00037_1_1"/>
            <w:bookmarkEnd w:id="113"/>
          </w:p>
        </w:tc>
        <w:tc>
          <w:tcPr>
            <w:tcW w:w="124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23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4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2018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2017 г.</w:t>
            </w:r>
          </w:p>
        </w:tc>
      </w:tr>
      <w:tr>
        <w:trPr>
          <w:trHeight w:val="247"/>
        </w:trPr>
        <w:tc>
          <w:tcPr>
            <w:tcW w:w="232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Финансови приходи</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r>
      <w:tr>
        <w:trPr>
          <w:trHeight w:val="247"/>
        </w:trPr>
        <w:tc>
          <w:tcPr>
            <w:tcW w:w="232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Други приходи</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22</w:t>
            </w:r>
          </w:p>
        </w:tc>
      </w:tr>
      <w:tr>
        <w:trPr>
          <w:trHeight w:val="247"/>
        </w:trPr>
        <w:tc>
          <w:tcPr>
            <w:tcW w:w="232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4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35</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57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25</w:t>
            </w:r>
          </w:p>
        </w:tc>
      </w:tr>
    </w:tbl>
    <w:p>
      <w:pPr>
        <w:pStyle w:val="Textstand-alone"/>
        <w:spacing w:before="0"/>
      </w:pPr>
      <w:r>
        <w:t>Финансовите приходи включват лихвите от доверителния фонд и лихвите върху предварителното финансиране.</w:t>
      </w:r>
    </w:p>
    <w:p>
      <w:pPr>
        <w:pStyle w:val="Textstand-alone"/>
        <w:spacing w:before="0"/>
      </w:pPr>
      <w:r>
        <w:t xml:space="preserve">Другите приходи изцяло се отнасят до реализираните и нереализираните валутни печалби. </w:t>
      </w:r>
    </w:p>
    <w:bookmarkEnd w:id="109"/>
    <w:p>
      <w:pPr>
        <w:rPr>
          <w:rFonts w:ascii="Verdana" w:hAnsi="Verdana"/>
          <w:noProof/>
          <w:sz w:val="18"/>
          <w:szCs w:val="18"/>
        </w:rPr>
      </w:pPr>
    </w:p>
    <w:p>
      <w:pPr>
        <w:pStyle w:val="Textstand-alone"/>
        <w:spacing w:before="0"/>
        <w:sectPr>
          <w:headerReference w:type="even" r:id="rId197"/>
          <w:headerReference w:type="default" r:id="rId198"/>
          <w:footerReference w:type="even" r:id="rId199"/>
          <w:footerReference w:type="default" r:id="rId200"/>
          <w:headerReference w:type="first" r:id="rId201"/>
          <w:footerReference w:type="first" r:id="rId202"/>
          <w:type w:val="continuous"/>
          <w:pgSz w:w="11906" w:h="16838"/>
          <w:pgMar w:top="1134" w:right="1134" w:bottom="1134" w:left="1134" w:header="709" w:footer="709" w:gutter="0"/>
          <w:cols w:space="708"/>
          <w:docGrid w:linePitch="360"/>
        </w:sectPr>
      </w:pPr>
    </w:p>
    <w:p>
      <w:pPr>
        <w:pStyle w:val="HEADERTABLE"/>
        <w:rPr>
          <w:noProof/>
        </w:rPr>
      </w:pPr>
      <w:bookmarkStart w:id="114" w:name="_DMBM_14095"/>
      <w:r>
        <w:rPr>
          <w:noProof/>
        </w:rPr>
        <w:t>РАЗХОДИ</w:t>
      </w:r>
    </w:p>
    <w:p>
      <w:pPr>
        <w:pStyle w:val="HEADER2Part2"/>
        <w:rPr>
          <w:noProof/>
        </w:rPr>
      </w:pPr>
      <w:r>
        <w:rPr>
          <w:noProof/>
        </w:rPr>
        <w:t>ИНСТРУМЕНТИ ЗА ПОМОЩ</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47"/>
        <w:gridCol w:w="1276"/>
        <w:gridCol w:w="1276"/>
        <w:gridCol w:w="1134"/>
        <w:gridCol w:w="1276"/>
        <w:gridCol w:w="1275"/>
      </w:tblGrid>
      <w:tr>
        <w:trPr>
          <w:cantSplit/>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5" w:name="DOC_TBL00038_1_1"/>
            <w:bookmarkEnd w:id="115"/>
          </w:p>
        </w:tc>
        <w:tc>
          <w:tcPr>
            <w:tcW w:w="124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cantSplit/>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4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2018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2017 г.</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Програмирана помощ</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532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1 468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2 001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2 150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Макроикономическа подкрепа</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Секторна политика</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(9)</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Проекти в рамките на АКТБ</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389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1 112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Спешна помощ</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873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289</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Други програми за помощ, свързани с предишни ЕФР</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Институционална подкрепа</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Компенсация постъпления от износ</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Вноски в доверителни фондове</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307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307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114</w:t>
            </w:r>
          </w:p>
        </w:tc>
      </w:tr>
      <w:tr>
        <w:trPr>
          <w:cantSplit/>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4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59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984</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3 012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4 054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3 700</w:t>
            </w:r>
          </w:p>
        </w:tc>
      </w:tr>
    </w:tbl>
    <w:p>
      <w:pPr>
        <w:pStyle w:val="Textstand-alone"/>
        <w:spacing w:before="0"/>
      </w:pPr>
      <w:r>
        <w:t xml:space="preserve"> </w:t>
      </w:r>
    </w:p>
    <w:p>
      <w:pPr>
        <w:pStyle w:val="Textstand-alone"/>
        <w:spacing w:after="0"/>
      </w:pPr>
      <w:r>
        <w:t>Оперативните разходи на ЕФР обхващат различни инструменти за помощ и са под различни форми в зависимост от това как средствата се изплащат и управляват.</w:t>
      </w:r>
    </w:p>
    <w:p>
      <w:pPr>
        <w:pStyle w:val="Textstand-alone"/>
        <w:spacing w:after="0"/>
      </w:pPr>
      <w:r>
        <w:t>Увеличението на общите разходи по инструментите за помощ е главно в 11-ия ЕФР. Това съответства на жизнения цикъл на този ЕФР. 11-ият ЕФР започна през 2015 г., следователно 2018 г. бе четвъртата година от съществуването му. През 2018 г. 11-ият ЕФР достигна зрялост по отношение на изпълнението на приетите действия и поради това разходите се увеличиха в сравнение с 2017 г. Броят на текущите договори по 11-ия ЕФР нарасна от 1 600 през 2017 г. на 2 300 през 2018 г.</w:t>
      </w:r>
    </w:p>
    <w:p>
      <w:pPr>
        <w:pStyle w:val="Textstand-alone"/>
        <w:spacing w:after="0"/>
      </w:pPr>
      <w:r>
        <w:t>Това увеличение съответства на увеличението в уравняванията на предварителното финансиране и увеличението на начислените разходи.</w:t>
      </w:r>
    </w:p>
    <w:p>
      <w:pPr>
        <w:pStyle w:val="Textstand-alone"/>
        <w:spacing w:after="0"/>
      </w:pPr>
      <w:r>
        <w:t>Разходите на секторната политика са били отрицателни през 2017 г., което се дължи на сторнирането на фактура, която е била неправилно вписана през 2016 г.</w:t>
      </w:r>
    </w:p>
    <w:p>
      <w:pPr>
        <w:pStyle w:val="Textstand-alone"/>
        <w:spacing w:after="0"/>
      </w:pPr>
    </w:p>
    <w:p>
      <w:pPr>
        <w:pStyle w:val="HEADER2Part2"/>
        <w:spacing w:after="240"/>
        <w:rPr>
          <w:noProof/>
        </w:rPr>
      </w:pPr>
      <w:r>
        <w:rPr>
          <w:noProof/>
        </w:rPr>
        <w:t>РАЗХОДИ ЗА СЪФИНАНСИРАНЕ</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47"/>
        <w:gridCol w:w="1276"/>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6" w:name="DOC_TBL00039_1_1"/>
            <w:bookmarkEnd w:id="116"/>
          </w:p>
        </w:tc>
        <w:tc>
          <w:tcPr>
            <w:tcW w:w="124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4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2018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2017 г.</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Съфинансиране</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42</w:t>
            </w:r>
          </w:p>
        </w:tc>
      </w:tr>
    </w:tbl>
    <w:p>
      <w:pPr>
        <w:pStyle w:val="Textstand-alone"/>
      </w:pPr>
      <w:r>
        <w:t>В тази позиция са включени разходите, направени по проекти за съфинансиране през 2018 г. Следва да се отбележи, че направените разходи включват прогнозните суми, свързани с разделянето на финансовите периоди (а оттам и корекции на прогнозните суми, свързани с миналата година). Тъй като корекциите на прогнозираните разходи за 2017 г. (52 милиона евро) надхвърлят разходите, направени през 2018 г. (36 милиона евро), разходите за съфинансиране са отрицателни за 2018 г.</w:t>
      </w:r>
    </w:p>
    <w:p>
      <w:pPr>
        <w:pStyle w:val="Textstand-alone"/>
      </w:pPr>
      <w:r>
        <w:t xml:space="preserve">Съответните отрицателни приходи са били признати в отчета за финансовия резултат (вж. бележка </w:t>
      </w:r>
      <w:r>
        <w:rPr>
          <w:b/>
        </w:rPr>
        <w:t>3.1.1</w:t>
      </w:r>
      <w:r>
        <w:t>).</w:t>
      </w:r>
    </w:p>
    <w:p>
      <w:pPr>
        <w:pStyle w:val="HEADER2Part2"/>
        <w:rPr>
          <w:noProof/>
        </w:rPr>
      </w:pPr>
      <w:r>
        <w:rPr>
          <w:noProof/>
        </w:rPr>
        <w:t>ИНСТРУМЕНТИ ЗА ПОМОЩ И РАЗХОДИ ЗА СЪФИНАНСИРАНЕ ПО ВИД УПРАВЛЕНИЕ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7" w:name="DOC_TBL00040_1_1"/>
            <w:bookmarkEnd w:id="11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 г.</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 г.</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Пряко управление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1 750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1 447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Indented"/>
              <w:ind w:left="200"/>
              <w:rPr>
                <w:rFonts w:eastAsia="Verdana" w:cs="Verdana"/>
              </w:rPr>
            </w:pPr>
            <w:r>
              <w:t>Изпълнява се от: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Комисията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Изпълнителните агенции на ЕС</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Доверителни фондове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89</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ind w:left="600"/>
              <w:rPr>
                <w:rFonts w:eastAsia="Verdana" w:cs="Verdana"/>
              </w:rPr>
            </w:pPr>
            <w:r>
              <w:t>Делегациите на ЕС</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1 003</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1 209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Непряко управление</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2 287</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2 295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Indented"/>
              <w:ind w:left="200"/>
              <w:rPr>
                <w:rFonts w:eastAsia="Verdana" w:cs="Verdana"/>
              </w:rPr>
            </w:pPr>
            <w:r>
              <w:t>Изпълнява се от: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ЕИБ и ЕИФ</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Международни организации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1 171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Частноправни органи със задължение за обществена услуга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Публичноправни органи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Трети държави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Органи на ЕС с публично-частно партньорство</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left="600"/>
              <w:rPr>
                <w:rFonts w:eastAsia="Verdana" w:cs="Verdana"/>
              </w:rPr>
            </w:pPr>
            <w:r>
              <w:t>Частноправни органи, изпълняващи публично-частно партньорство</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3 742</w:t>
            </w:r>
          </w:p>
        </w:tc>
      </w:tr>
    </w:tbl>
    <w:p>
      <w:pPr>
        <w:pStyle w:val="HEADER2Part2"/>
        <w:rPr>
          <w:noProof/>
        </w:rPr>
      </w:pPr>
      <w:r>
        <w:rPr>
          <w:noProof/>
        </w:rPr>
        <w:t>ФИНАНСОВИ РАЗХОДИ</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47"/>
        <w:gridCol w:w="1276"/>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8" w:name="DOC_TBL00041_1_1"/>
            <w:bookmarkEnd w:id="118"/>
          </w:p>
        </w:tc>
        <w:tc>
          <w:tcPr>
            <w:tcW w:w="124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4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2018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2017 г.</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Обезценка на вземания</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9</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Други финансови разходи</w:t>
            </w:r>
          </w:p>
        </w:tc>
        <w:tc>
          <w:tcPr>
            <w:tcW w:w="124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4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(5)</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w:t>
            </w:r>
          </w:p>
        </w:tc>
      </w:tr>
    </w:tbl>
    <w:p>
      <w:pPr>
        <w:pStyle w:val="Textstand-alone"/>
      </w:pPr>
      <w:r>
        <w:t xml:space="preserve">Позицията „Обезценка на вземания“ включва оценката на разходите по несъбираеми вземания. Тъй като оценката включва и корекциите на прогнозата за предходната година, през 2018 г. общите разходи бяха отрицателни (от 34 милиона евро през 2017 г. на 27 милиона евро през 2018 г. — вж. бележка </w:t>
      </w:r>
      <w:r>
        <w:rPr>
          <w:b/>
        </w:rPr>
        <w:t>2.3.1</w:t>
      </w:r>
      <w:r>
        <w:t xml:space="preserve">). </w:t>
      </w:r>
    </w:p>
    <w:p>
      <w:pPr>
        <w:pStyle w:val="Textstand-alone"/>
      </w:pPr>
    </w:p>
    <w:p>
      <w:pPr>
        <w:pStyle w:val="HEADER2Part2"/>
        <w:rPr>
          <w:noProof/>
        </w:rPr>
      </w:pPr>
      <w:r>
        <w:rPr>
          <w:noProof/>
        </w:rPr>
        <w:t>ДРУГИ РАЗХОДИ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9" w:name="DOC_TBL00042_1_1"/>
            <w:bookmarkEnd w:id="119"/>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2018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2017 г.</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Административни разходи и разходи в областта на ИТ</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107</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Провизия за рискове и разходи</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Реализирани загуби по търговски вземания</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Загуби от валутно-курсови разлики</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44</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148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154</w:t>
            </w:r>
          </w:p>
        </w:tc>
      </w:tr>
    </w:tbl>
    <w:p>
      <w:pPr>
        <w:pStyle w:val="Textstand-alone"/>
        <w:spacing w:after="0"/>
      </w:pPr>
      <w:r>
        <w:t>Тази позиция включва разходи за подкрепа, т.е. административните разходи, свързани с планирането и изпълнението на ЕФР. Това включва разходи за изготвяне, последващи мерки, мониторинг и оценка на проектите, както и разходи за компютърни мрежи, техническа помощ и т.н.</w:t>
      </w:r>
    </w:p>
    <w:bookmarkEnd w:id="114"/>
    <w:p>
      <w:pPr>
        <w:pStyle w:val="Textstand-alone"/>
        <w:spacing w:after="0"/>
        <w:sectPr>
          <w:headerReference w:type="even" r:id="rId203"/>
          <w:headerReference w:type="default" r:id="rId204"/>
          <w:footerReference w:type="even" r:id="rId205"/>
          <w:footerReference w:type="default" r:id="rId206"/>
          <w:headerReference w:type="first" r:id="rId207"/>
          <w:footerReference w:type="first" r:id="rId208"/>
          <w:type w:val="continuous"/>
          <w:pgSz w:w="11906" w:h="16838"/>
          <w:pgMar w:top="1134" w:right="1134" w:bottom="1134" w:left="1134" w:header="709" w:footer="709" w:gutter="0"/>
          <w:cols w:space="708"/>
          <w:docGrid w:linePitch="360"/>
        </w:sectPr>
      </w:pPr>
    </w:p>
    <w:p>
      <w:pPr>
        <w:pStyle w:val="Textstand-alone"/>
        <w:sectPr>
          <w:headerReference w:type="even" r:id="rId209"/>
          <w:headerReference w:type="default" r:id="rId210"/>
          <w:footerReference w:type="even" r:id="rId211"/>
          <w:footerReference w:type="default" r:id="rId212"/>
          <w:headerReference w:type="first" r:id="rId213"/>
          <w:footerReference w:type="first" r:id="rId214"/>
          <w:type w:val="continuous"/>
          <w:pgSz w:w="11906" w:h="16838"/>
          <w:pgMar w:top="1134" w:right="1134" w:bottom="1134" w:left="1134" w:header="709" w:footer="709" w:gutter="0"/>
          <w:cols w:space="708"/>
          <w:docGrid w:linePitch="360"/>
        </w:sectPr>
      </w:pPr>
      <w:bookmarkStart w:id="120" w:name="_DMBM_14134"/>
      <w:bookmarkEnd w:id="120"/>
    </w:p>
    <w:p>
      <w:pPr>
        <w:pStyle w:val="HEADER1Part2"/>
        <w:rPr>
          <w:noProof/>
        </w:rPr>
      </w:pPr>
      <w:bookmarkStart w:id="121" w:name="_DMBM_14120"/>
      <w:r>
        <w:rPr>
          <w:noProof/>
        </w:rPr>
        <w:t>УСЛОВНИ АКТИВИ И ПАСИВИ И ДРУГИ СЪЩЕСТВЕНИ ОПОВЕСТЕНИ ДАННИ</w:t>
      </w:r>
    </w:p>
    <w:p>
      <w:pPr>
        <w:pStyle w:val="Textstand-alone"/>
        <w:sectPr>
          <w:headerReference w:type="even" r:id="rId215"/>
          <w:headerReference w:type="default" r:id="rId216"/>
          <w:footerReference w:type="even" r:id="rId217"/>
          <w:footerReference w:type="default" r:id="rId218"/>
          <w:headerReference w:type="first" r:id="rId219"/>
          <w:footerReference w:type="first" r:id="rId220"/>
          <w:type w:val="continuous"/>
          <w:pgSz w:w="11906" w:h="16838"/>
          <w:pgMar w:top="1134" w:right="1134" w:bottom="1134" w:left="1134" w:header="709" w:footer="709" w:gutter="0"/>
          <w:cols w:space="708"/>
          <w:docGrid w:linePitch="360"/>
        </w:sectPr>
      </w:pPr>
      <w:r>
        <w:t xml:space="preserve"> </w:t>
      </w:r>
      <w:bookmarkEnd w:id="121"/>
    </w:p>
    <w:p>
      <w:pPr>
        <w:pStyle w:val="HEADER2Part2"/>
        <w:rPr>
          <w:noProof/>
        </w:rPr>
      </w:pPr>
      <w:bookmarkStart w:id="122" w:name="_DMBM_14113"/>
      <w:r>
        <w:rPr>
          <w:noProof/>
        </w:rPr>
        <w:t>УСЛОВНИ АКТИВИ</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383"/>
        <w:gridCol w:w="1383"/>
        <w:gridCol w:w="1196"/>
        <w:gridCol w:w="1196"/>
        <w:gridCol w:w="1418"/>
        <w:gridCol w:w="1418"/>
      </w:tblGrid>
      <w:tr>
        <w:tc>
          <w:tcPr>
            <w:tcW w:w="187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3" w:name="DOC_TBL00043_1_1"/>
            <w:bookmarkEnd w:id="123"/>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18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 г.</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 г.</w:t>
            </w:r>
          </w:p>
        </w:tc>
      </w:tr>
      <w:tr>
        <w:trPr>
          <w:trHeight w:val="247"/>
        </w:trPr>
        <w:tc>
          <w:tcPr>
            <w:tcW w:w="1871"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Гаранции за изпълнение</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11</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w:t>
            </w:r>
          </w:p>
        </w:tc>
      </w:tr>
      <w:tr>
        <w:trPr>
          <w:trHeight w:val="247"/>
        </w:trPr>
        <w:tc>
          <w:tcPr>
            <w:tcW w:w="1871"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Гаранции за удържане</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w:t>
            </w:r>
          </w:p>
        </w:tc>
      </w:tr>
      <w:tr>
        <w:trPr>
          <w:trHeight w:val="247"/>
        </w:trPr>
        <w:tc>
          <w:tcPr>
            <w:tcW w:w="1871"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16</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0</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17</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18</w:t>
            </w:r>
          </w:p>
        </w:tc>
      </w:tr>
    </w:tbl>
    <w:p>
      <w:pPr>
        <w:pStyle w:val="Textstand-alone"/>
      </w:pPr>
      <w:r>
        <w:t>Гаранциите за изпълнение се изискват, за да се гарантира, че бенефициерите на средства от ЕФР изпълняват задълженията по своите договори с ЕФР.</w:t>
      </w:r>
    </w:p>
    <w:p>
      <w:pPr>
        <w:pStyle w:val="Textstand-alone"/>
      </w:pPr>
      <w:r>
        <w:t>Гаранциите за удържане се отнасят само за договорите за строителство. По принцип 10 % от междинните плащания за бенефициерите се задържат, за да се гарантира, че изпълнителите ще изпълнят своите задължения. Тези задържани суми се записват като платими суми. Ако възлагащият орган даде своето одобрение, изпълнителят може вместо това да внесе гаранция за удържане, която замества сумата, удържана от междинното плащане. Тези получени гаранции се посочват като условни активи.</w:t>
      </w:r>
    </w:p>
    <w:p>
      <w:pPr>
        <w:pStyle w:val="Textstand-alone"/>
      </w:pPr>
      <w:r>
        <w:t>За договорите, които се управляват под непряк режим, гаранциите принадлежат на възлагащ орган, различен от ЕФР, и поради това не се записват от ЕФР. През 2018 г. тези гаранции възлизат на 501 милиона евро.</w:t>
      </w:r>
      <w:r>
        <w:br w:type="page"/>
      </w:r>
    </w:p>
    <w:bookmarkEnd w:id="122"/>
    <w:p>
      <w:pPr>
        <w:pStyle w:val="Textstand-alone"/>
        <w:sectPr>
          <w:headerReference w:type="even" r:id="rId221"/>
          <w:headerReference w:type="default" r:id="rId222"/>
          <w:footerReference w:type="even" r:id="rId223"/>
          <w:footerReference w:type="default" r:id="rId224"/>
          <w:headerReference w:type="first" r:id="rId225"/>
          <w:footerReference w:type="first" r:id="rId226"/>
          <w:type w:val="continuous"/>
          <w:pgSz w:w="11906" w:h="16838"/>
          <w:pgMar w:top="1134" w:right="1134" w:bottom="1134" w:left="1134" w:header="709" w:footer="709" w:gutter="0"/>
          <w:cols w:space="708"/>
          <w:docGrid w:linePitch="360"/>
        </w:sectPr>
      </w:pPr>
    </w:p>
    <w:p>
      <w:pPr>
        <w:pStyle w:val="HEADER2Part2"/>
        <w:rPr>
          <w:noProof/>
        </w:rPr>
      </w:pPr>
      <w:bookmarkStart w:id="124" w:name="_DMBM_14140"/>
      <w:r>
        <w:rPr>
          <w:noProof/>
        </w:rPr>
        <w:t>ДРУГИ СЪЩЕСТВЕНИ ОПОВЕСТЕНИ ДАННИ</w:t>
      </w:r>
    </w:p>
    <w:p>
      <w:pPr>
        <w:pStyle w:val="HEADER3Part2"/>
        <w:rPr>
          <w:noProof/>
        </w:rPr>
      </w:pPr>
      <w:r>
        <w:rPr>
          <w:noProof/>
        </w:rPr>
        <w:t>Неизпълнени задължения, които още не са отчетени като разход</w:t>
      </w:r>
    </w:p>
    <w:p>
      <w:pPr>
        <w:pStyle w:val="Textstand-alone"/>
      </w:pPr>
      <w:r>
        <w:t>Посочената по-долу сума са бюджетните RAL (Reste à Liquider — неизпълнени поети задължения) минус свързаните с тях суми, включени като разходи в отчета за финансовия резултат. Бюджетните RAL са сума, която представлява поети задължения, за които плащанията и/или отмените все още не са извършени. Това е нормално следствие от съществуването на многогодишни програми.</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383"/>
        <w:gridCol w:w="1383"/>
        <w:gridCol w:w="1196"/>
        <w:gridCol w:w="1196"/>
        <w:gridCol w:w="1418"/>
        <w:gridCol w:w="1418"/>
      </w:tblGrid>
      <w:tr>
        <w:tc>
          <w:tcPr>
            <w:tcW w:w="187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5" w:name="DOC_TBL00044_1_1"/>
            <w:bookmarkEnd w:id="125"/>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8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18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38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9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31.12.2018 г.</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31.12.2017 г.</w:t>
            </w:r>
          </w:p>
        </w:tc>
      </w:tr>
      <w:tr>
        <w:trPr>
          <w:trHeight w:val="247"/>
        </w:trPr>
        <w:tc>
          <w:tcPr>
            <w:tcW w:w="1871"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Неизпълнени задължения, които още не са отчетени като разход</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383"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88</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1 650</w:t>
            </w:r>
          </w:p>
        </w:tc>
        <w:tc>
          <w:tcPr>
            <w:tcW w:w="119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8 009</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9 071</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8 508</w:t>
            </w:r>
          </w:p>
        </w:tc>
      </w:tr>
      <w:tr>
        <w:trPr>
          <w:trHeight w:val="247"/>
        </w:trPr>
        <w:tc>
          <w:tcPr>
            <w:tcW w:w="1871"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0</w:t>
            </w:r>
          </w:p>
        </w:tc>
        <w:tc>
          <w:tcPr>
            <w:tcW w:w="1383"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88</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1 650</w:t>
            </w:r>
          </w:p>
        </w:tc>
        <w:tc>
          <w:tcPr>
            <w:tcW w:w="119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8 009</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9 071</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8 508</w:t>
            </w:r>
          </w:p>
        </w:tc>
      </w:tr>
    </w:tbl>
    <w:p>
      <w:pPr>
        <w:pStyle w:val="Textstand-alone"/>
      </w:pPr>
      <w:r>
        <w:t>Към 31 декември 2018 г. бюджетните RAL възлизат на 10 616 милиона евро (2017 г.: 9 745 милиона евро).</w:t>
      </w:r>
    </w:p>
    <w:p>
      <w:pPr>
        <w:pStyle w:val="HEADER3Part2"/>
        <w:rPr>
          <w:noProof/>
        </w:rPr>
      </w:pPr>
      <w:r>
        <w:rPr>
          <w:noProof/>
        </w:rPr>
        <w:t>Оттегляне на Обединеното кралство от Европейския съюз</w:t>
      </w:r>
    </w:p>
    <w:p>
      <w:pPr>
        <w:pStyle w:val="Textstand-alone"/>
        <w:rPr>
          <w:i/>
        </w:rPr>
      </w:pPr>
      <w:r>
        <w:rPr>
          <w:i/>
        </w:rPr>
        <w:t>Контекст</w:t>
      </w:r>
    </w:p>
    <w:p>
      <w:pPr>
        <w:pStyle w:val="Textstand-alone"/>
      </w:pPr>
      <w:r>
        <w:t>На 23 юни 2016 г. мнозинството от гражданите на Обединеното кралство, които гласуваха на референдума относно членството в Европейския съюз, избраха да напуснат ЕС. На 29 март 2017 г. Обединеното кралство официално уведоми Европейския съвет за намерението си да напусне ЕС и Европейската общност за атомна енергия (Евратом). По този начин то задейства член 50 от Договора за Европейския съюз, в който се посочва процедурата, по която държава членка се оттегля от Съюза.</w:t>
      </w:r>
    </w:p>
    <w:p>
      <w:pPr>
        <w:pStyle w:val="Textstand-alone"/>
      </w:pPr>
    </w:p>
    <w:p>
      <w:pPr>
        <w:pStyle w:val="Textstand-alone"/>
        <w:rPr>
          <w:i/>
        </w:rPr>
      </w:pPr>
      <w:r>
        <w:rPr>
          <w:i/>
        </w:rPr>
        <w:t>Процесът на преговори</w:t>
      </w:r>
    </w:p>
    <w:p>
      <w:pPr>
        <w:pStyle w:val="Textstand-alone"/>
      </w:pPr>
      <w:r>
        <w:t>На 19 март 2018 г. Комисията публикува проект на споразумението за оттегляне, в което се описва напредъкът, постигнат в преговорите. Във финансовото споразумение, което е част от споразумението за оттегляне, ЕС и Обединеното кралство превърнаха в правен текст напредъка, постигнат в първата фаза на преговорите.</w:t>
      </w:r>
    </w:p>
    <w:p>
      <w:pPr>
        <w:pStyle w:val="Textstand-alone"/>
      </w:pPr>
      <w:r>
        <w:t xml:space="preserve">На 14 ноември 2018 г. беше публикуван съвместен доклад, според който е постигнато съгласие на равнище преговарящи относно пълния текст на проекта на споразумението за оттегляне, както и относно първоначален вариант на политическата декларация за рамката на бъдещите отношения между Обединеното кралство и Европейския съюз. В същия ден бе публикуван актуализираният и съгласуван проект на споразумение за оттегляне, в който Обединеното кралство се съгласява да изплати всички свои задължения по текущата многогодишна финансова рамка (МФР) и предишните финансови перспективи, все едно че все още е държава членка, включително своя дял в задълженията и условните задължения на Съюза. Правителството на Обединеното кралство одобри проекта на споразумение за оттегляне на 14 ноември, а Европейският съвет го подкрепи на 25 ноември 2018 г. На 11 януари 2019 г. Съветът (член 50) одобри решението за сключване на споразумението за оттегляне и го изпрати на Европейския парламент за одобрение. По искане на Обединеното кралство, в съответствие с процедурата, предвидена в член 50 от ДФЕС, на 21 март 2019 г. Европейският съвет се съгласи да отложи датата на оттегляне на Обединеното кралство за 22 май 2019 г., при условие че споразумението за оттегляне бъде одобрено от Камарата на общините най-късно до 29 март 2019 г., или за 12 април 2019 г., ако това не бъде изпълнено (Решение (ЕС) 2019/476 на Европейския съвет от 22 март 2019 г. (ОВ L 80, 22.3.2019, стр. 1). Впоследствие Камарата на общините не одобри споразумението за оттегляне до 29 март 2019 г., така че отново по искане на Обединеното кралство на 10 април 2019 г. Европейският съвет се съгласи да отложи датата на оттегляне на Обединеното кралство за 31 октомври 2019 г. (Решение (ЕС) 2019/584 на Европейския съвет от 11 април 2019 г. (ОВ L 101, 11.4.2019, стр. 1). Оттеглянето следва да настъпи на по-ранната от следните две дати: на първия ден от месеца, следващ приключването на процедурите за ратификация, или на 1 ноември 2019 г. Обединеното кралство ще остане държава членка до новата дата на оттегляне с пълни права и задължения в съответствие с член 50 от ДЕС, като Обединеното кралство има право да оттегли своето уведомление по всяко време. </w:t>
      </w:r>
    </w:p>
    <w:p>
      <w:pPr>
        <w:pStyle w:val="Textstand-alone"/>
        <w:rPr>
          <w:i/>
        </w:rPr>
      </w:pPr>
      <w:r>
        <w:rPr>
          <w:i/>
        </w:rPr>
        <w:t>По отношение на ЕФР</w:t>
      </w:r>
    </w:p>
    <w:p>
      <w:pPr>
        <w:pStyle w:val="Textstand-alone"/>
      </w:pPr>
      <w:r>
        <w:t xml:space="preserve">В проекта на споразумение за оттегляне се посочва, че Обединеното кралство остава страна по ЕФР до приключването на 11-ия ЕФР и всички предишни неприключени ЕФР и поема същите задължения като държавите членки съгласно Вътрешното споразумение, с ЕФР което е създаден, както и задълженията, произтичащи от предишни ЕФР, до тяхното приключване. Обединеното кралство може да участва в Комитета на ЕФР като наблюдател без право на глас. </w:t>
      </w:r>
    </w:p>
    <w:p>
      <w:pPr>
        <w:pStyle w:val="Textstand-alone"/>
      </w:pPr>
      <w:r>
        <w:t xml:space="preserve">В проекта на споразумение за оттегляне се посочва също, че ако сумите от проекти по 10-ия ЕФР или от предходни ЕФР не са поети като задължения или са отменени към датата на влизане в сила на това споразумение, делът на Обединеното кралство от тези суми няма да се използва повторно. Същото се отнася за дела на Обединеното кралство от сумите, които не са поети като задължение или са отменени по 11-ия ЕФР след 31 декември 2020 г. </w:t>
      </w:r>
    </w:p>
    <w:p>
      <w:pPr>
        <w:pStyle w:val="Textstand-alone"/>
      </w:pPr>
      <w:r>
        <w:t>По време на подписването на тези отчети и при липсата на ратификация от Обединеното кралство действителната дата и начин на напускане (със или без споразумение) все още не бяха известни. Въз основа на настоящата ситуация няма финансово отражение, което да бъде отбелязано във финансовите отчети на ЕФР към 31 декември 2018 г.</w:t>
      </w:r>
      <w:bookmarkEnd w:id="124"/>
    </w:p>
    <w:p>
      <w:pPr>
        <w:pStyle w:val="Textstand-alone"/>
        <w:sectPr>
          <w:headerReference w:type="even" r:id="rId227"/>
          <w:headerReference w:type="default" r:id="rId228"/>
          <w:footerReference w:type="even" r:id="rId229"/>
          <w:footerReference w:type="default" r:id="rId230"/>
          <w:headerReference w:type="first" r:id="rId231"/>
          <w:footerReference w:type="first" r:id="rId232"/>
          <w:type w:val="continuous"/>
          <w:pgSz w:w="11906" w:h="16838"/>
          <w:pgMar w:top="1134" w:right="1134" w:bottom="1134" w:left="1134" w:header="709" w:footer="709" w:gutter="0"/>
          <w:cols w:space="708"/>
          <w:docGrid w:linePitch="360"/>
        </w:sectPr>
      </w:pPr>
    </w:p>
    <w:p>
      <w:pPr>
        <w:pStyle w:val="HEADER1Part2"/>
        <w:rPr>
          <w:noProof/>
        </w:rPr>
      </w:pPr>
      <w:bookmarkStart w:id="126" w:name="_DMBM_14131"/>
      <w:r>
        <w:rPr>
          <w:noProof/>
        </w:rPr>
        <w:t>УПРАВЛЕНИЕ НА ФИНАНСОВИЯ РИСК</w:t>
      </w:r>
    </w:p>
    <w:p>
      <w:pPr>
        <w:pStyle w:val="Textstand-alone"/>
      </w:pPr>
      <w:r>
        <w:t>Следните оповестени данни по отношение на управлението на финансовия риск на ЕФР се отнасят за касовите операции, извършвани от Комисията от името на ЕФР с цел прилагане на неговите ресурси.</w:t>
      </w:r>
    </w:p>
    <w:p>
      <w:pPr>
        <w:pStyle w:val="HEADER2Part2"/>
        <w:rPr>
          <w:noProof/>
        </w:rPr>
      </w:pPr>
      <w:r>
        <w:rPr>
          <w:noProof/>
        </w:rPr>
        <w:t>ПОЛИТИКИ ЗА УПРАВЛЕНИЕ НА РИСКА И ДЕЙНОСТИ ПО ХЕДЖИРАНЕ</w:t>
      </w:r>
    </w:p>
    <w:p>
      <w:pPr>
        <w:pStyle w:val="Textstand-alone"/>
      </w:pPr>
      <w:r>
        <w:t>Правилата и принципите на управление на касовите операции са посочени във Финансовия регламент за 11-ия ЕФР и във Вътрешното споразумение.</w:t>
      </w:r>
    </w:p>
    <w:p>
      <w:pPr>
        <w:pStyle w:val="Textstand-alone"/>
      </w:pPr>
      <w:r>
        <w:t>В резултат на посоченото по-горе регламентиране се прилагат следните основни принципи:</w:t>
      </w:r>
    </w:p>
    <w:p>
      <w:pPr>
        <w:pStyle w:val="Textstand-alonebulletpointJustified"/>
        <w:numPr>
          <w:ilvl w:val="0"/>
          <w:numId w:val="3"/>
        </w:numPr>
        <w:ind w:left="357" w:hanging="357"/>
        <w:rPr>
          <w:noProof/>
        </w:rPr>
      </w:pPr>
      <w:r>
        <w:rPr>
          <w:noProof/>
        </w:rPr>
        <w:t>Вноските на ЕФР се плащат от държавите членки по специални сметки, открити в емисионната банка на всяка държава членка или в определена от нея финансова институция. Сумите на вноските остават в тези специални сметки до момента, когато плащанията от ЕФР трябва да бъдат направени.</w:t>
      </w:r>
    </w:p>
    <w:p>
      <w:pPr>
        <w:pStyle w:val="Textstand-alonebulletpointJustified"/>
        <w:numPr>
          <w:ilvl w:val="0"/>
          <w:numId w:val="3"/>
        </w:numPr>
        <w:ind w:left="357" w:hanging="357"/>
        <w:rPr>
          <w:noProof/>
        </w:rPr>
      </w:pPr>
      <w:r>
        <w:rPr>
          <w:noProof/>
        </w:rPr>
        <w:t>Вноските в ЕФР се правят от държавите членки в евро, докато плащанията на ЕФР са в евро и в други валути, включително по-слабо познати валути.</w:t>
      </w:r>
    </w:p>
    <w:p>
      <w:pPr>
        <w:pStyle w:val="Textstand-alonebulletpointJustified"/>
        <w:numPr>
          <w:ilvl w:val="0"/>
          <w:numId w:val="3"/>
        </w:numPr>
        <w:ind w:left="357" w:hanging="357"/>
        <w:rPr>
          <w:noProof/>
        </w:rPr>
      </w:pPr>
      <w:r>
        <w:rPr>
          <w:noProof/>
        </w:rPr>
        <w:t>Не може по банковите сметки, открити от Комисията от името на ЕФР, да се теглят суми, надвишаващи наличните.</w:t>
      </w:r>
    </w:p>
    <w:p>
      <w:pPr>
        <w:pStyle w:val="Textstand-alone"/>
      </w:pPr>
      <w:r>
        <w:t>В допълнение към специалните сметки Комисията открива други банкови сметки на името на ЕФР във финансови институции (централни банки и търговски банки) с цел извършване на плащания и получаване на постъпления, различни от вноските на държавите членки към бюджета.</w:t>
      </w:r>
    </w:p>
    <w:p>
      <w:pPr>
        <w:pStyle w:val="Textstand-alone"/>
      </w:pPr>
      <w:r>
        <w:t>Касовите и платежните операции са силно автоматизирани и разчитат на модерни информационни системи. Прилагат се специални процедури, за да се гарантира сигурността на системата и да се осигури разделението на служебните задължения в съответствие с Финансовия регламент, стандартите на Комисията за вътрешен контрол и принципите за одит.</w:t>
      </w:r>
    </w:p>
    <w:p>
      <w:pPr>
        <w:pStyle w:val="Textstand-alone"/>
        <w:rPr>
          <w:bCs/>
        </w:rPr>
      </w:pPr>
      <w:r>
        <w:t>Набор от писмени насоки и процедури уреждат управлението на касата и платежните операции с цел ограничаване на оперативния и финансовия риск и осигуряване на подходяща степен на контрол. Те обхващат различните области на действие, а съблюдаването на насоките и процедурите се проверява редовно.</w:t>
      </w:r>
    </w:p>
    <w:p>
      <w:pPr>
        <w:pStyle w:val="Textstand-alone"/>
        <w:sectPr>
          <w:headerReference w:type="even" r:id="rId233"/>
          <w:headerReference w:type="default" r:id="rId234"/>
          <w:footerReference w:type="even" r:id="rId235"/>
          <w:footerReference w:type="default" r:id="rId236"/>
          <w:headerReference w:type="first" r:id="rId237"/>
          <w:footerReference w:type="first" r:id="rId238"/>
          <w:pgSz w:w="11906" w:h="16838"/>
          <w:pgMar w:top="1134" w:right="1134" w:bottom="1134" w:left="1134" w:header="709" w:footer="709" w:gutter="0"/>
          <w:cols w:space="708"/>
          <w:docGrid w:linePitch="360"/>
        </w:sectPr>
      </w:pPr>
      <w:r>
        <w:t xml:space="preserve"> </w:t>
      </w:r>
      <w:bookmarkEnd w:id="126"/>
    </w:p>
    <w:p>
      <w:pPr>
        <w:pStyle w:val="HEADER2Part2"/>
        <w:spacing w:before="0" w:after="240"/>
        <w:rPr>
          <w:noProof/>
        </w:rPr>
      </w:pPr>
      <w:bookmarkStart w:id="127" w:name="_DMBM_14171"/>
      <w:r>
        <w:rPr>
          <w:noProof/>
        </w:rPr>
        <w:t>ВАЛУТЕН РИСК</w:t>
      </w:r>
    </w:p>
    <w:p>
      <w:pPr>
        <w:pStyle w:val="HEADER5"/>
        <w:rPr>
          <w:noProof/>
        </w:rPr>
      </w:pPr>
      <w:r>
        <w:rPr>
          <w:noProof/>
        </w:rPr>
        <w:t>Експозиция на ЕФР на валутен риск в края на годината — нетна позиция</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712"/>
        <w:gridCol w:w="874"/>
        <w:gridCol w:w="874"/>
        <w:gridCol w:w="874"/>
        <w:gridCol w:w="874"/>
        <w:gridCol w:w="874"/>
        <w:gridCol w:w="877"/>
        <w:gridCol w:w="285"/>
        <w:gridCol w:w="847"/>
        <w:gridCol w:w="847"/>
        <w:gridCol w:w="850"/>
        <w:gridCol w:w="847"/>
        <w:gridCol w:w="853"/>
        <w:gridCol w:w="994"/>
        <w:gridCol w:w="994"/>
      </w:tblGrid>
      <w:tr>
        <w:trPr>
          <w:cantSplit/>
        </w:trPr>
        <w:tc>
          <w:tcPr>
            <w:tcW w:w="2232"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color w:val="FFFFFF"/>
              </w:rPr>
            </w:pPr>
            <w:bookmarkStart w:id="128" w:name="DOC_TBL00045_1_1"/>
            <w:bookmarkEnd w:id="128"/>
          </w:p>
        </w:tc>
        <w:tc>
          <w:tcPr>
            <w:tcW w:w="71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7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28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5pItalicRight025"/>
              <w:rPr>
                <w:rFonts w:eastAsia="Verdana" w:cs="Verdana"/>
              </w:rPr>
            </w:pPr>
            <w:r>
              <w:t>милиони евро</w:t>
            </w:r>
          </w:p>
        </w:tc>
      </w:tr>
      <w:tr>
        <w:trPr>
          <w:cantSplit/>
        </w:trPr>
        <w:tc>
          <w:tcPr>
            <w:tcW w:w="223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p>
        </w:tc>
        <w:tc>
          <w:tcPr>
            <w:tcW w:w="5959" w:type="dxa"/>
            <w:gridSpan w:val="7"/>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r>
              <w:t>31.12.2018 г.</w:t>
            </w:r>
          </w:p>
        </w:tc>
        <w:tc>
          <w:tcPr>
            <w:tcW w:w="28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color w:val="auto"/>
              </w:rPr>
            </w:pPr>
          </w:p>
        </w:tc>
        <w:tc>
          <w:tcPr>
            <w:tcW w:w="6232" w:type="dxa"/>
            <w:gridSpan w:val="7"/>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31.12.2017 г.</w:t>
            </w:r>
          </w:p>
        </w:tc>
      </w:tr>
      <w:tr>
        <w:trPr>
          <w:cantSplit/>
        </w:trPr>
        <w:tc>
          <w:tcPr>
            <w:tcW w:w="223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p>
        </w:tc>
        <w:tc>
          <w:tcPr>
            <w:tcW w:w="71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r>
              <w:t>USD</w:t>
            </w:r>
          </w:p>
        </w:tc>
        <w:tc>
          <w:tcPr>
            <w:tcW w:w="874"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r>
              <w:t>GBP</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DKK</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SEK</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EUR</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Други</w:t>
            </w:r>
          </w:p>
        </w:tc>
        <w:tc>
          <w:tcPr>
            <w:tcW w:w="87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Общо</w:t>
            </w:r>
          </w:p>
        </w:tc>
        <w:tc>
          <w:tcPr>
            <w:tcW w:w="28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color w:val="auto"/>
              </w:rPr>
            </w:pP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USD</w:t>
            </w: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GBP</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DKK</w:t>
            </w: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SEK</w:t>
            </w:r>
          </w:p>
        </w:tc>
        <w:tc>
          <w:tcPr>
            <w:tcW w:w="853"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EUR</w:t>
            </w:r>
          </w:p>
        </w:tc>
        <w:tc>
          <w:tcPr>
            <w:tcW w:w="99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Други</w:t>
            </w:r>
          </w:p>
        </w:tc>
        <w:tc>
          <w:tcPr>
            <w:tcW w:w="99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Общо</w:t>
            </w:r>
          </w:p>
        </w:tc>
      </w:tr>
      <w:tr>
        <w:trPr>
          <w:cantSplit/>
        </w:trPr>
        <w:tc>
          <w:tcPr>
            <w:tcW w:w="2232" w:type="dxa"/>
            <w:tcBorders>
              <w:top w:val="nil"/>
              <w:left w:val="nil"/>
              <w:bottom w:val="nil"/>
              <w:right w:val="nil"/>
            </w:tcBorders>
            <w:shd w:val="clear" w:color="auto" w:fill="FFFFFF"/>
            <w:tcMar>
              <w:top w:w="0" w:type="dxa"/>
              <w:left w:w="108" w:type="dxa"/>
              <w:bottom w:w="0" w:type="dxa"/>
              <w:right w:w="108" w:type="dxa"/>
            </w:tcMar>
            <w:vAlign w:val="center"/>
          </w:tcPr>
          <w:p>
            <w:pPr>
              <w:pStyle w:val="Text7pBoldLeft"/>
              <w:rPr>
                <w:rFonts w:eastAsia="Verdana" w:cs="Verdana"/>
              </w:rPr>
            </w:pPr>
            <w:r>
              <w:t>Финансови активи</w:t>
            </w:r>
          </w:p>
        </w:tc>
        <w:tc>
          <w:tcPr>
            <w:tcW w:w="712"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285"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b w:val="0"/>
              </w:rPr>
            </w:pPr>
          </w:p>
        </w:tc>
        <w:tc>
          <w:tcPr>
            <w:tcW w:w="84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47" w:type="dxa"/>
            <w:tcBorders>
              <w:top w:val="nil"/>
              <w:left w:val="nil"/>
              <w:bottom w:val="nil"/>
              <w:right w:val="nil"/>
            </w:tcBorders>
            <w:shd w:val="clear" w:color="auto" w:fill="FFFFFF"/>
            <w:tcMar>
              <w:top w:w="0" w:type="dxa"/>
              <w:left w:w="108" w:type="dxa"/>
              <w:bottom w:w="0" w:type="dxa"/>
              <w:right w:w="108" w:type="dxa"/>
            </w:tcMar>
          </w:tcPr>
          <w:p>
            <w:pPr>
              <w:pStyle w:val="Figures55pBoldRight01"/>
              <w:rPr>
                <w:rFonts w:eastAsia="Verdana" w:cs="Verdana"/>
              </w:rPr>
            </w:pPr>
          </w:p>
        </w:tc>
        <w:tc>
          <w:tcPr>
            <w:tcW w:w="850"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4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53"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r>
      <w:tr>
        <w:trPr>
          <w:cantSplit/>
        </w:trPr>
        <w:tc>
          <w:tcPr>
            <w:tcW w:w="223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rPr>
                <w:rFonts w:eastAsia="Verdana" w:cs="Verdana"/>
              </w:rPr>
            </w:pPr>
            <w:r>
              <w:t>Вземания и средства, подлежащи на събиране</w:t>
            </w:r>
          </w:p>
        </w:tc>
        <w:tc>
          <w:tcPr>
            <w:tcW w:w="712"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63</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0</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67</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8</w:t>
            </w:r>
          </w:p>
        </w:tc>
        <w:tc>
          <w:tcPr>
            <w:tcW w:w="87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138</w:t>
            </w:r>
          </w:p>
        </w:tc>
        <w:tc>
          <w:tcPr>
            <w:tcW w:w="285"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i w:val="0"/>
              </w:rPr>
            </w:pP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64</w:t>
            </w: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26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92</w:t>
            </w:r>
          </w:p>
        </w:tc>
      </w:tr>
      <w:tr>
        <w:trPr>
          <w:cantSplit/>
        </w:trPr>
        <w:tc>
          <w:tcPr>
            <w:tcW w:w="2232"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Text7pItalicLeft"/>
              <w:rPr>
                <w:rFonts w:eastAsia="Verdana" w:cs="Verdana"/>
              </w:rPr>
            </w:pPr>
            <w:r>
              <w:t>Пари и парични еквиваленти</w:t>
            </w:r>
          </w:p>
        </w:tc>
        <w:tc>
          <w:tcPr>
            <w:tcW w:w="712"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1</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0</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386</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387</w:t>
            </w:r>
          </w:p>
        </w:tc>
        <w:tc>
          <w:tcPr>
            <w:tcW w:w="285"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i w:val="0"/>
              </w:rPr>
            </w:pP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4</w:t>
            </w: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0</w:t>
            </w:r>
          </w:p>
        </w:tc>
        <w:tc>
          <w:tcPr>
            <w:tcW w:w="850"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53"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344</w:t>
            </w:r>
          </w:p>
        </w:tc>
        <w:tc>
          <w:tcPr>
            <w:tcW w:w="99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99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347</w:t>
            </w:r>
          </w:p>
        </w:tc>
      </w:tr>
      <w:tr>
        <w:trPr>
          <w:cantSplit/>
        </w:trPr>
        <w:tc>
          <w:tcPr>
            <w:tcW w:w="223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Text7pItalicLeft"/>
              <w:rPr>
                <w:rFonts w:eastAsia="Verdana" w:cs="Verdana"/>
              </w:rPr>
            </w:pPr>
            <w:r>
              <w:t>Общо</w:t>
            </w:r>
          </w:p>
        </w:tc>
        <w:tc>
          <w:tcPr>
            <w:tcW w:w="71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64</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0</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0</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453</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8</w:t>
            </w:r>
          </w:p>
        </w:tc>
        <w:tc>
          <w:tcPr>
            <w:tcW w:w="87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525</w:t>
            </w:r>
          </w:p>
        </w:tc>
        <w:tc>
          <w:tcPr>
            <w:tcW w:w="285"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b w:val="0"/>
              </w:rPr>
            </w:pP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68</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tcPr>
          <w:p>
            <w:pPr>
              <w:pStyle w:val="Figures55pBoldRight01"/>
              <w:rPr>
                <w:rFonts w:eastAsia="Verdana" w:cs="Verdana"/>
              </w:rPr>
            </w:pPr>
            <w:r>
              <w:t xml:space="preserve"> 0</w:t>
            </w:r>
          </w:p>
        </w:tc>
        <w:tc>
          <w:tcPr>
            <w:tcW w:w="850"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53"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370</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2</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439</w:t>
            </w:r>
          </w:p>
        </w:tc>
      </w:tr>
      <w:tr>
        <w:trPr>
          <w:cantSplit/>
        </w:trPr>
        <w:tc>
          <w:tcPr>
            <w:tcW w:w="2232"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Text7pBoldLeft"/>
              <w:rPr>
                <w:rFonts w:eastAsia="Verdana" w:cs="Verdana"/>
              </w:rPr>
            </w:pPr>
            <w:r>
              <w:t>Финансови пасиви</w:t>
            </w:r>
          </w:p>
        </w:tc>
        <w:tc>
          <w:tcPr>
            <w:tcW w:w="712"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7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285"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b w:val="0"/>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55pBoldRight01"/>
              <w:rPr>
                <w:rFonts w:eastAsia="Verdana" w:cs="Verdana"/>
              </w:rPr>
            </w:pPr>
          </w:p>
        </w:tc>
        <w:tc>
          <w:tcPr>
            <w:tcW w:w="850"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853"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99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c>
          <w:tcPr>
            <w:tcW w:w="99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p>
        </w:tc>
      </w:tr>
      <w:tr>
        <w:trPr>
          <w:cantSplit/>
        </w:trPr>
        <w:tc>
          <w:tcPr>
            <w:tcW w:w="223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rPr>
                <w:rFonts w:eastAsia="Verdana" w:cs="Verdana"/>
              </w:rPr>
            </w:pPr>
            <w:r>
              <w:t>Нетекущи финансови пасиви</w:t>
            </w:r>
          </w:p>
        </w:tc>
        <w:tc>
          <w:tcPr>
            <w:tcW w:w="712"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(18)</w:t>
            </w:r>
          </w:p>
        </w:tc>
        <w:tc>
          <w:tcPr>
            <w:tcW w:w="87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(18)</w:t>
            </w:r>
          </w:p>
        </w:tc>
        <w:tc>
          <w:tcPr>
            <w:tcW w:w="285"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i w:val="0"/>
              </w:rPr>
            </w:pP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47"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53"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(14)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(14)</w:t>
            </w:r>
          </w:p>
        </w:tc>
      </w:tr>
      <w:tr>
        <w:trPr>
          <w:cantSplit/>
        </w:trPr>
        <w:tc>
          <w:tcPr>
            <w:tcW w:w="2232"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Text7pItalicLeft"/>
              <w:rPr>
                <w:rFonts w:eastAsia="Verdana" w:cs="Verdana"/>
              </w:rPr>
            </w:pPr>
            <w:r>
              <w:t>Задължения</w:t>
            </w:r>
          </w:p>
        </w:tc>
        <w:tc>
          <w:tcPr>
            <w:tcW w:w="712"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(1)</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(218)</w:t>
            </w:r>
          </w:p>
        </w:tc>
        <w:tc>
          <w:tcPr>
            <w:tcW w:w="87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(22)</w:t>
            </w:r>
          </w:p>
        </w:tc>
        <w:tc>
          <w:tcPr>
            <w:tcW w:w="87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(241)</w:t>
            </w:r>
          </w:p>
        </w:tc>
        <w:tc>
          <w:tcPr>
            <w:tcW w:w="285"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i w:val="0"/>
              </w:rPr>
            </w:pP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0</w:t>
            </w: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50"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47"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w:t>
            </w:r>
          </w:p>
        </w:tc>
        <w:tc>
          <w:tcPr>
            <w:tcW w:w="853"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(533)</w:t>
            </w:r>
          </w:p>
        </w:tc>
        <w:tc>
          <w:tcPr>
            <w:tcW w:w="99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(30)</w:t>
            </w:r>
          </w:p>
        </w:tc>
        <w:tc>
          <w:tcPr>
            <w:tcW w:w="994" w:type="dxa"/>
            <w:tcBorders>
              <w:top w:val="nil"/>
              <w:left w:val="nil"/>
              <w:bottom w:val="single" w:sz="4" w:space="0" w:color="3486A9"/>
              <w:right w:val="nil"/>
            </w:tcBorders>
            <w:shd w:val="clear" w:color="auto" w:fill="auto"/>
            <w:tcMar>
              <w:top w:w="0" w:type="dxa"/>
              <w:left w:w="108" w:type="dxa"/>
              <w:bottom w:w="0" w:type="dxa"/>
              <w:right w:w="108" w:type="dxa"/>
            </w:tcMar>
            <w:vAlign w:val="center"/>
          </w:tcPr>
          <w:p>
            <w:pPr>
              <w:pStyle w:val="Figures55pItalicRight01"/>
              <w:rPr>
                <w:rFonts w:eastAsia="Verdana" w:cs="Verdana"/>
              </w:rPr>
            </w:pPr>
            <w:r>
              <w:t xml:space="preserve"> (563)</w:t>
            </w:r>
          </w:p>
        </w:tc>
      </w:tr>
      <w:tr>
        <w:trPr>
          <w:cantSplit/>
        </w:trPr>
        <w:tc>
          <w:tcPr>
            <w:tcW w:w="223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Text7pItalicLeft"/>
              <w:rPr>
                <w:rFonts w:eastAsia="Verdana" w:cs="Verdana"/>
              </w:rPr>
            </w:pPr>
            <w:r>
              <w:t>Общо</w:t>
            </w:r>
          </w:p>
        </w:tc>
        <w:tc>
          <w:tcPr>
            <w:tcW w:w="71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(1)</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(236)</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(22)</w:t>
            </w:r>
          </w:p>
        </w:tc>
        <w:tc>
          <w:tcPr>
            <w:tcW w:w="87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(259)</w:t>
            </w:r>
          </w:p>
        </w:tc>
        <w:tc>
          <w:tcPr>
            <w:tcW w:w="285"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b w:val="0"/>
              </w:rPr>
            </w:pP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0</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tcPr>
          <w:p>
            <w:pPr>
              <w:pStyle w:val="Figures55pBoldRight01"/>
              <w:rPr>
                <w:rFonts w:eastAsia="Verdana" w:cs="Verdana"/>
              </w:rPr>
            </w:pPr>
            <w:r>
              <w:t>–</w:t>
            </w:r>
          </w:p>
        </w:tc>
        <w:tc>
          <w:tcPr>
            <w:tcW w:w="850"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w:t>
            </w:r>
          </w:p>
        </w:tc>
        <w:tc>
          <w:tcPr>
            <w:tcW w:w="853"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(547)</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(30)</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Verdana" w:cs="Verdana"/>
              </w:rPr>
            </w:pPr>
            <w:r>
              <w:t xml:space="preserve"> (577)</w:t>
            </w:r>
          </w:p>
        </w:tc>
      </w:tr>
      <w:tr>
        <w:trPr>
          <w:cantSplit/>
        </w:trPr>
        <w:tc>
          <w:tcPr>
            <w:tcW w:w="2232"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Общо</w:t>
            </w:r>
          </w:p>
        </w:tc>
        <w:tc>
          <w:tcPr>
            <w:tcW w:w="712"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63</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0</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0</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217</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(14)</w:t>
            </w:r>
          </w:p>
        </w:tc>
        <w:tc>
          <w:tcPr>
            <w:tcW w:w="87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267</w:t>
            </w:r>
          </w:p>
        </w:tc>
        <w:tc>
          <w:tcPr>
            <w:tcW w:w="285"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b w:val="0"/>
              </w:rPr>
            </w:pP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68</w:t>
            </w: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0</w:t>
            </w:r>
          </w:p>
        </w:tc>
        <w:tc>
          <w:tcPr>
            <w:tcW w:w="850"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w:t>
            </w: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w:t>
            </w:r>
          </w:p>
        </w:tc>
        <w:tc>
          <w:tcPr>
            <w:tcW w:w="853"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(177)</w:t>
            </w:r>
          </w:p>
        </w:tc>
        <w:tc>
          <w:tcPr>
            <w:tcW w:w="99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(28)</w:t>
            </w:r>
          </w:p>
        </w:tc>
        <w:tc>
          <w:tcPr>
            <w:tcW w:w="99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Verdana" w:cs="Verdana"/>
              </w:rPr>
            </w:pPr>
            <w:r>
              <w:t xml:space="preserve"> (138)</w:t>
            </w:r>
          </w:p>
        </w:tc>
      </w:tr>
    </w:tbl>
    <w:p>
      <w:pPr>
        <w:pStyle w:val="Textstand-alone"/>
      </w:pPr>
      <w:r>
        <w:t>Всички вноски са в евро, а други валути се купуват само ако са необходими за извършване на плащания. В резултат касовите операции на ЕФР не са изложени на валутен риск.</w:t>
      </w:r>
    </w:p>
    <w:p>
      <w:pPr>
        <w:pStyle w:val="Textstand-alone"/>
        <w:sectPr>
          <w:headerReference w:type="even" r:id="rId239"/>
          <w:headerReference w:type="default" r:id="rId240"/>
          <w:footerReference w:type="even" r:id="rId241"/>
          <w:footerReference w:type="default" r:id="rId242"/>
          <w:headerReference w:type="first" r:id="rId243"/>
          <w:footerReference w:type="first" r:id="rId244"/>
          <w:pgSz w:w="16838" w:h="11906" w:orient="landscape"/>
          <w:pgMar w:top="1134" w:right="1134" w:bottom="1134" w:left="1134" w:header="708" w:footer="708" w:gutter="0"/>
          <w:cols w:space="708"/>
          <w:docGrid w:linePitch="360"/>
        </w:sectPr>
      </w:pPr>
      <w:r>
        <w:t xml:space="preserve"> </w:t>
      </w:r>
      <w:bookmarkEnd w:id="127"/>
    </w:p>
    <w:p>
      <w:pPr>
        <w:pStyle w:val="HEADER2Part2"/>
        <w:rPr>
          <w:noProof/>
        </w:rPr>
      </w:pPr>
      <w:bookmarkStart w:id="129" w:name="_DMBM_14172"/>
      <w:r>
        <w:rPr>
          <w:noProof/>
        </w:rPr>
        <w:t>ЛИХВЕН РИСК</w:t>
      </w:r>
    </w:p>
    <w:p>
      <w:pPr>
        <w:pStyle w:val="Textstand-alone"/>
      </w:pPr>
      <w:r>
        <w:t>ЕФР не използва заеми и в резултат на това не е изложен на лихвен риск.</w:t>
      </w:r>
    </w:p>
    <w:p>
      <w:pPr>
        <w:pStyle w:val="Textstand-alone"/>
        <w:spacing w:before="120" w:after="120"/>
      </w:pPr>
      <w:r>
        <w:t>Лихви се трупат от наличностите по различните му банкови сметки. Затова Комисията от името на ЕФР е въвела мерки за гарантиране на това, че начисляваната лихва редовно се адаптира към пазарните лихвени проценти, както и техните възможни колебания.</w:t>
      </w:r>
    </w:p>
    <w:p>
      <w:pPr>
        <w:pStyle w:val="Textstand-alone"/>
        <w:spacing w:before="120" w:after="120"/>
      </w:pPr>
      <w:r>
        <w:t>Вноските в бюджета на ЕФР се кредитират от всяка държава членка по специална сметка, открита във финансовата институция, създадена от нея. Тъй като лихвите, които се прилагат по отношение на тези сметки, могат понастоящем да са отрицателни, са въведени процедури за управление на средствата с цел свеждане до минимум на наличностите по тези сметки. Освен това в съответствие с Регламент (ЕС) 2016/888 на Съвета всяка отрицателна лихва по тези сметки се поема от съответната държава членка.</w:t>
      </w:r>
    </w:p>
    <w:p>
      <w:pPr>
        <w:pStyle w:val="Textstand-alone"/>
        <w:spacing w:before="120" w:after="120"/>
      </w:pPr>
      <w:r>
        <w:t>Върху овърнайт наличностите по сметки в търговски банки се начисляват лихви всеки ден. Лихвите върху наличностите по тези сметки се основават на плаващи пазарни лихви, към които се прилага договорен марж (положителен или отрицателен). За повечето сметки изчисляването на лихвата е свързано с пазарен референтен процент и се коригира така, че да отразява всички колебания на този лихвен процент. В резултат ЕФР не поема никакъв риск, че по неговите наличности ще бъде начислена по-ниска лихва от пазарната.</w:t>
      </w:r>
    </w:p>
    <w:p>
      <w:pPr>
        <w:pStyle w:val="Textstand-alone"/>
        <w:sectPr>
          <w:headerReference w:type="even" r:id="rId245"/>
          <w:headerReference w:type="default" r:id="rId246"/>
          <w:footerReference w:type="even" r:id="rId247"/>
          <w:footerReference w:type="default" r:id="rId248"/>
          <w:headerReference w:type="first" r:id="rId249"/>
          <w:footerReference w:type="first" r:id="rId250"/>
          <w:pgSz w:w="11906" w:h="16838"/>
          <w:pgMar w:top="1134" w:right="1134" w:bottom="1134" w:left="1134" w:header="709" w:footer="709" w:gutter="0"/>
          <w:cols w:space="708"/>
          <w:docGrid w:linePitch="360"/>
        </w:sectPr>
      </w:pPr>
      <w:r>
        <w:t xml:space="preserve"> </w:t>
      </w:r>
      <w:bookmarkEnd w:id="129"/>
    </w:p>
    <w:p>
      <w:pPr>
        <w:pStyle w:val="HEADER2Part2"/>
        <w:spacing w:before="120" w:after="120"/>
        <w:rPr>
          <w:noProof/>
        </w:rPr>
      </w:pPr>
      <w:bookmarkStart w:id="130" w:name="_DMBM_14173"/>
      <w:r>
        <w:rPr>
          <w:noProof/>
        </w:rPr>
        <w:t>КРЕДИТЕН РИСК (РИСК КЪМ КОНТРАГЕНТА)</w:t>
      </w:r>
    </w:p>
    <w:p>
      <w:pPr>
        <w:pStyle w:val="HEADER5"/>
        <w:rPr>
          <w:noProof/>
        </w:rPr>
      </w:pPr>
      <w:r>
        <w:rPr>
          <w:noProof/>
        </w:rPr>
        <w:t>Финансови активи, които не са нито просрочени, нито обезценени: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1365"/>
        <w:gridCol w:w="1559"/>
        <w:gridCol w:w="1235"/>
        <w:gridCol w:w="1100"/>
        <w:gridCol w:w="1382"/>
      </w:tblGrid>
      <w:tr>
        <w:trPr>
          <w:cantSplit/>
        </w:trPr>
        <w:tc>
          <w:tcPr>
            <w:tcW w:w="321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1" w:name="DOC_TBL00046_1_1"/>
            <w:bookmarkEnd w:id="131"/>
          </w:p>
        </w:tc>
        <w:tc>
          <w:tcPr>
            <w:tcW w:w="136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3894"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8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cantSplit/>
        </w:trPr>
        <w:tc>
          <w:tcPr>
            <w:tcW w:w="321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36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Общо</w:t>
            </w:r>
          </w:p>
        </w:tc>
        <w:tc>
          <w:tcPr>
            <w:tcW w:w="155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Непросрочени и необезценени</w:t>
            </w:r>
          </w:p>
        </w:tc>
        <w:tc>
          <w:tcPr>
            <w:tcW w:w="3717"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Просрочени, но необезценени</w:t>
            </w:r>
          </w:p>
        </w:tc>
      </w:tr>
      <w:tr>
        <w:trPr>
          <w:cantSplit/>
        </w:trPr>
        <w:tc>
          <w:tcPr>
            <w:tcW w:w="321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36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55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35"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&lt; 1 година</w:t>
            </w:r>
          </w:p>
        </w:tc>
        <w:tc>
          <w:tcPr>
            <w:tcW w:w="1100"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1—5 години</w:t>
            </w:r>
          </w:p>
        </w:tc>
        <w:tc>
          <w:tcPr>
            <w:tcW w:w="1382"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&gt; 5 години</w:t>
            </w:r>
          </w:p>
        </w:tc>
      </w:tr>
      <w:tr>
        <w:trPr>
          <w:cantSplit/>
        </w:trPr>
        <w:tc>
          <w:tcPr>
            <w:tcW w:w="321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по операции с размяна и средства, подлежащи на събиране, по операции без размяна</w:t>
            </w:r>
          </w:p>
        </w:tc>
        <w:tc>
          <w:tcPr>
            <w:tcW w:w="136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121</w:t>
            </w:r>
          </w:p>
        </w:tc>
        <w:tc>
          <w:tcPr>
            <w:tcW w:w="123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1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38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3213" w:type="dxa"/>
            <w:tcBorders>
              <w:top w:val="nil"/>
              <w:left w:val="nil"/>
              <w:bottom w:val="single" w:sz="4" w:space="0" w:color="016794"/>
              <w:right w:val="nil"/>
            </w:tcBorders>
            <w:shd w:val="clear" w:color="auto" w:fill="CBE1EA"/>
            <w:tcMar>
              <w:top w:w="0" w:type="dxa"/>
              <w:left w:w="108" w:type="dxa"/>
              <w:bottom w:w="0" w:type="dxa"/>
              <w:right w:w="108" w:type="dxa"/>
            </w:tcMar>
          </w:tcPr>
          <w:p>
            <w:pPr>
              <w:pStyle w:val="Text9pBoldLeft"/>
              <w:rPr>
                <w:rFonts w:eastAsia="Verdana" w:cs="Verdana"/>
              </w:rPr>
            </w:pPr>
            <w:r>
              <w:t>Общо към 31.12.2018 г.</w:t>
            </w:r>
          </w:p>
        </w:tc>
        <w:tc>
          <w:tcPr>
            <w:tcW w:w="1365"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 xml:space="preserve"> 138</w:t>
            </w:r>
          </w:p>
        </w:tc>
        <w:tc>
          <w:tcPr>
            <w:tcW w:w="1559"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 xml:space="preserve"> 121</w:t>
            </w:r>
          </w:p>
        </w:tc>
        <w:tc>
          <w:tcPr>
            <w:tcW w:w="1235"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 xml:space="preserve"> 12</w:t>
            </w:r>
          </w:p>
        </w:tc>
        <w:tc>
          <w:tcPr>
            <w:tcW w:w="1100"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 xml:space="preserve"> 5</w:t>
            </w:r>
          </w:p>
        </w:tc>
        <w:tc>
          <w:tcPr>
            <w:tcW w:w="1382"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w:t>
            </w:r>
          </w:p>
        </w:tc>
      </w:tr>
      <w:tr>
        <w:trPr>
          <w:cantSplit/>
        </w:trPr>
        <w:tc>
          <w:tcPr>
            <w:tcW w:w="321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по операции с размяна и средства, подлежащи на събиране, по операции без размяна</w:t>
            </w:r>
          </w:p>
        </w:tc>
        <w:tc>
          <w:tcPr>
            <w:tcW w:w="136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w:t>
            </w:r>
          </w:p>
        </w:tc>
        <w:tc>
          <w:tcPr>
            <w:tcW w:w="123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0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8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3213" w:type="dxa"/>
            <w:tcBorders>
              <w:top w:val="nil"/>
              <w:left w:val="nil"/>
              <w:bottom w:val="single" w:sz="4" w:space="0" w:color="016794"/>
              <w:right w:val="nil"/>
            </w:tcBorders>
            <w:shd w:val="clear" w:color="auto" w:fill="CBE1EA"/>
            <w:tcMar>
              <w:top w:w="0" w:type="dxa"/>
              <w:left w:w="108" w:type="dxa"/>
              <w:bottom w:w="0" w:type="dxa"/>
              <w:right w:w="108" w:type="dxa"/>
            </w:tcMar>
          </w:tcPr>
          <w:p>
            <w:pPr>
              <w:pStyle w:val="Text9pBoldLeft"/>
              <w:rPr>
                <w:rFonts w:eastAsia="Verdana" w:cs="Verdana"/>
              </w:rPr>
            </w:pPr>
            <w:r>
              <w:t>Общо към 31.12.2017 г.</w:t>
            </w:r>
          </w:p>
        </w:tc>
        <w:tc>
          <w:tcPr>
            <w:tcW w:w="1365"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 xml:space="preserve"> 92</w:t>
            </w:r>
          </w:p>
        </w:tc>
        <w:tc>
          <w:tcPr>
            <w:tcW w:w="1559"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 xml:space="preserve"> 92</w:t>
            </w:r>
          </w:p>
        </w:tc>
        <w:tc>
          <w:tcPr>
            <w:tcW w:w="1235"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 xml:space="preserve"> 0</w:t>
            </w:r>
          </w:p>
        </w:tc>
        <w:tc>
          <w:tcPr>
            <w:tcW w:w="1100"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w:t>
            </w:r>
          </w:p>
        </w:tc>
        <w:tc>
          <w:tcPr>
            <w:tcW w:w="1382" w:type="dxa"/>
            <w:tcBorders>
              <w:top w:val="nil"/>
              <w:left w:val="nil"/>
              <w:bottom w:val="single" w:sz="4" w:space="0" w:color="016794"/>
              <w:right w:val="nil"/>
            </w:tcBorders>
            <w:shd w:val="clear" w:color="auto" w:fill="CBE1EA"/>
            <w:tcMar>
              <w:top w:w="0" w:type="dxa"/>
              <w:left w:w="108" w:type="dxa"/>
              <w:bottom w:w="0" w:type="dxa"/>
              <w:right w:w="108" w:type="dxa"/>
            </w:tcMar>
          </w:tcPr>
          <w:p>
            <w:pPr>
              <w:pStyle w:val="Figures9pBoldRight025"/>
              <w:rPr>
                <w:rFonts w:eastAsia="Verdana" w:cs="Verdana"/>
              </w:rPr>
            </w:pPr>
            <w:r>
              <w:t>–</w:t>
            </w:r>
          </w:p>
        </w:tc>
      </w:tr>
    </w:tbl>
    <w:p>
      <w:pPr>
        <w:rPr>
          <w:noProof/>
        </w:rPr>
      </w:pPr>
    </w:p>
    <w:p>
      <w:pPr>
        <w:pStyle w:val="HEADER5"/>
        <w:rPr>
          <w:noProof/>
        </w:rPr>
      </w:pPr>
      <w:r>
        <w:rPr>
          <w:noProof/>
        </w:rPr>
        <w:t>Финансови активи по категория на риска: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6"/>
        <w:gridCol w:w="992"/>
        <w:gridCol w:w="850"/>
        <w:gridCol w:w="1276"/>
        <w:gridCol w:w="992"/>
        <w:gridCol w:w="993"/>
      </w:tblGrid>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2" w:name="DOC_TBL00047_1_1"/>
            <w:bookmarkEnd w:id="132"/>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985"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p>
        </w:tc>
        <w:tc>
          <w:tcPr>
            <w:tcW w:w="311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31.12.2018 г.</w:t>
            </w:r>
          </w:p>
        </w:tc>
        <w:tc>
          <w:tcPr>
            <w:tcW w:w="3261"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31.12.2017 г.</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rPr>
            </w:pPr>
            <w:r>
              <w:rPr>
                <w:noProof/>
              </w:rPr>
              <w:t>Вземания</w:t>
            </w:r>
          </w:p>
        </w:tc>
        <w:tc>
          <w:tcPr>
            <w:tcW w:w="992"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rPr>
            </w:pPr>
            <w:r>
              <w:rPr>
                <w:noProof/>
              </w:rPr>
              <w:t>Парични средства</w:t>
            </w:r>
          </w:p>
        </w:tc>
        <w:tc>
          <w:tcPr>
            <w:tcW w:w="850"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rPr>
            </w:pPr>
            <w:r>
              <w:rPr>
                <w:noProof/>
              </w:rPr>
              <w:t>Общо</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rPr>
            </w:pPr>
            <w:r>
              <w:rPr>
                <w:noProof/>
              </w:rPr>
              <w:t>Вземания</w:t>
            </w:r>
          </w:p>
        </w:tc>
        <w:tc>
          <w:tcPr>
            <w:tcW w:w="992"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rPr>
            </w:pPr>
            <w:r>
              <w:rPr>
                <w:noProof/>
              </w:rPr>
              <w:t>Парични средства</w:t>
            </w:r>
          </w:p>
        </w:tc>
        <w:tc>
          <w:tcPr>
            <w:tcW w:w="993"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eastAsia="Verdana" w:cs="Verdana"/>
                <w:noProof/>
              </w:rPr>
            </w:pPr>
            <w:r>
              <w:rPr>
                <w:noProof/>
              </w:rPr>
              <w:t>Общо</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Контрагенти с външен кредитен рейтинг</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Нискорисков и висок рейтинг</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303</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308</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103</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106</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Горен среден рейтинг</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80</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240</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240</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Долен среден рейтинг</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r>
      <w:tr>
        <w:tc>
          <w:tcPr>
            <w:tcW w:w="3227" w:type="dxa"/>
            <w:tcBorders>
              <w:top w:val="nil"/>
              <w:left w:val="nil"/>
              <w:bottom w:val="single" w:sz="4" w:space="0" w:color="3486A9"/>
              <w:right w:val="nil"/>
            </w:tcBorders>
            <w:shd w:val="clear" w:color="auto" w:fill="auto"/>
            <w:tcMar>
              <w:top w:w="0" w:type="dxa"/>
              <w:left w:w="108" w:type="dxa"/>
              <w:bottom w:w="0" w:type="dxa"/>
              <w:right w:w="108" w:type="dxa"/>
            </w:tcMar>
          </w:tcPr>
          <w:p>
            <w:pPr>
              <w:pStyle w:val="Text8pItalicLeft"/>
              <w:rPr>
                <w:rFonts w:eastAsia="Verdana" w:cs="Verdana"/>
              </w:rPr>
            </w:pPr>
            <w:r>
              <w:t>Неинвестиционен рейтинг</w:t>
            </w:r>
          </w:p>
        </w:tc>
        <w:tc>
          <w:tcPr>
            <w:tcW w:w="1276"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2"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850"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276"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w:t>
            </w:r>
          </w:p>
        </w:tc>
        <w:tc>
          <w:tcPr>
            <w:tcW w:w="992"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993"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w:t>
            </w:r>
          </w:p>
        </w:tc>
      </w:tr>
      <w:tr>
        <w:tc>
          <w:tcPr>
            <w:tcW w:w="3227"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Text8pItalicBoldLeft"/>
              <w:rPr>
                <w:rFonts w:eastAsia="Verdana" w:cs="Verdana"/>
              </w:rPr>
            </w:pPr>
            <w:r>
              <w:t>Общо</w:t>
            </w:r>
          </w:p>
        </w:tc>
        <w:tc>
          <w:tcPr>
            <w:tcW w:w="1276"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5</w:t>
            </w:r>
          </w:p>
        </w:tc>
        <w:tc>
          <w:tcPr>
            <w:tcW w:w="992"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387</w:t>
            </w:r>
          </w:p>
        </w:tc>
        <w:tc>
          <w:tcPr>
            <w:tcW w:w="850"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391</w:t>
            </w:r>
          </w:p>
        </w:tc>
        <w:tc>
          <w:tcPr>
            <w:tcW w:w="1276"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7</w:t>
            </w:r>
          </w:p>
        </w:tc>
        <w:tc>
          <w:tcPr>
            <w:tcW w:w="992"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347</w:t>
            </w:r>
          </w:p>
        </w:tc>
        <w:tc>
          <w:tcPr>
            <w:tcW w:w="993"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354</w:t>
            </w:r>
          </w:p>
        </w:tc>
      </w:tr>
      <w:tr>
        <w:tc>
          <w:tcPr>
            <w:tcW w:w="3227" w:type="dxa"/>
            <w:tcBorders>
              <w:top w:val="single" w:sz="4" w:space="0" w:color="3486A9"/>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Контрагенти без външен кредитен рейтинг</w:t>
            </w:r>
          </w:p>
        </w:tc>
        <w:tc>
          <w:tcPr>
            <w:tcW w:w="1276"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992"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850"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1276"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992"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c>
          <w:tcPr>
            <w:tcW w:w="993" w:type="dxa"/>
            <w:tcBorders>
              <w:top w:val="single" w:sz="4" w:space="0" w:color="3486A9"/>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Група 1 (длъжници без неизпълнени задължения в миналото)</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133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134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86</w:t>
            </w:r>
          </w:p>
        </w:tc>
      </w:tr>
      <w:tr>
        <w:tc>
          <w:tcPr>
            <w:tcW w:w="3227" w:type="dxa"/>
            <w:tcBorders>
              <w:top w:val="nil"/>
              <w:left w:val="nil"/>
              <w:bottom w:val="single" w:sz="4" w:space="0" w:color="3486A9"/>
              <w:right w:val="nil"/>
            </w:tcBorders>
            <w:shd w:val="clear" w:color="auto" w:fill="auto"/>
            <w:tcMar>
              <w:top w:w="0" w:type="dxa"/>
              <w:left w:w="108" w:type="dxa"/>
              <w:bottom w:w="0" w:type="dxa"/>
              <w:right w:w="108" w:type="dxa"/>
            </w:tcMar>
          </w:tcPr>
          <w:p>
            <w:pPr>
              <w:pStyle w:val="Text8pItalicLeft"/>
              <w:rPr>
                <w:rFonts w:eastAsia="Verdana" w:cs="Verdana"/>
              </w:rPr>
            </w:pPr>
            <w:r>
              <w:t>Група 2 (длъжници с неизпълнени задължения в миналото)</w:t>
            </w:r>
          </w:p>
        </w:tc>
        <w:tc>
          <w:tcPr>
            <w:tcW w:w="1276"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2"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850"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2"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93" w:type="dxa"/>
            <w:tcBorders>
              <w:top w:val="nil"/>
              <w:left w:val="nil"/>
              <w:bottom w:val="single" w:sz="4" w:space="0" w:color="3486A9"/>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r>
      <w:tr>
        <w:tc>
          <w:tcPr>
            <w:tcW w:w="3227"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Text8pItalicBoldLeft"/>
              <w:rPr>
                <w:rFonts w:eastAsia="Verdana" w:cs="Verdana"/>
              </w:rPr>
            </w:pPr>
            <w:r>
              <w:t>Общо</w:t>
            </w:r>
          </w:p>
        </w:tc>
        <w:tc>
          <w:tcPr>
            <w:tcW w:w="1276"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133</w:t>
            </w:r>
          </w:p>
        </w:tc>
        <w:tc>
          <w:tcPr>
            <w:tcW w:w="992"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0</w:t>
            </w:r>
          </w:p>
        </w:tc>
        <w:tc>
          <w:tcPr>
            <w:tcW w:w="850"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134</w:t>
            </w:r>
          </w:p>
        </w:tc>
        <w:tc>
          <w:tcPr>
            <w:tcW w:w="1276"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86</w:t>
            </w:r>
          </w:p>
        </w:tc>
        <w:tc>
          <w:tcPr>
            <w:tcW w:w="992"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0</w:t>
            </w:r>
          </w:p>
        </w:tc>
        <w:tc>
          <w:tcPr>
            <w:tcW w:w="993" w:type="dxa"/>
            <w:tcBorders>
              <w:top w:val="single" w:sz="4" w:space="0" w:color="3486A9"/>
              <w:left w:val="nil"/>
              <w:bottom w:val="single" w:sz="4" w:space="0" w:color="3486A9"/>
              <w:right w:val="nil"/>
            </w:tcBorders>
            <w:shd w:val="clear" w:color="auto" w:fill="auto"/>
            <w:tcMar>
              <w:top w:w="0" w:type="dxa"/>
              <w:left w:w="108" w:type="dxa"/>
              <w:bottom w:w="0" w:type="dxa"/>
              <w:right w:w="108" w:type="dxa"/>
            </w:tcMar>
          </w:tcPr>
          <w:p>
            <w:pPr>
              <w:pStyle w:val="Figures8pItalicBoldRight025"/>
              <w:rPr>
                <w:rFonts w:eastAsia="Verdana" w:cs="Verdana"/>
              </w:rPr>
            </w:pPr>
            <w:r>
              <w:t xml:space="preserve"> 86</w:t>
            </w:r>
          </w:p>
        </w:tc>
      </w:tr>
      <w:tr>
        <w:tc>
          <w:tcPr>
            <w:tcW w:w="3227" w:type="dxa"/>
            <w:tcBorders>
              <w:top w:val="single" w:sz="4" w:space="0" w:color="3486A9"/>
              <w:left w:val="nil"/>
              <w:bottom w:val="nil"/>
              <w:right w:val="nil"/>
            </w:tcBorders>
            <w:shd w:val="clear" w:color="auto" w:fill="CCE1EA"/>
            <w:tcMar>
              <w:top w:w="0" w:type="dxa"/>
              <w:left w:w="108" w:type="dxa"/>
              <w:bottom w:w="0" w:type="dxa"/>
              <w:right w:w="108" w:type="dxa"/>
            </w:tcMar>
          </w:tcPr>
          <w:p>
            <w:pPr>
              <w:pStyle w:val="Heading7pBoldLeft"/>
              <w:rPr>
                <w:rFonts w:eastAsia="Verdana" w:cs="Verdana"/>
              </w:rPr>
            </w:pPr>
            <w:r>
              <w:t>Общо</w:t>
            </w:r>
          </w:p>
        </w:tc>
        <w:tc>
          <w:tcPr>
            <w:tcW w:w="1276"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138</w:t>
            </w:r>
          </w:p>
        </w:tc>
        <w:tc>
          <w:tcPr>
            <w:tcW w:w="992"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387</w:t>
            </w:r>
          </w:p>
        </w:tc>
        <w:tc>
          <w:tcPr>
            <w:tcW w:w="850"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525</w:t>
            </w:r>
          </w:p>
        </w:tc>
        <w:tc>
          <w:tcPr>
            <w:tcW w:w="1276"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92</w:t>
            </w:r>
          </w:p>
        </w:tc>
        <w:tc>
          <w:tcPr>
            <w:tcW w:w="992"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347</w:t>
            </w:r>
          </w:p>
        </w:tc>
        <w:tc>
          <w:tcPr>
            <w:tcW w:w="993"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440</w:t>
            </w:r>
          </w:p>
        </w:tc>
      </w:tr>
    </w:tbl>
    <w:p>
      <w:pPr>
        <w:pStyle w:val="Textstand-alone"/>
      </w:pPr>
      <w:r>
        <w:t xml:space="preserve">Средствата в категориите </w:t>
      </w:r>
      <w:r>
        <w:rPr>
          <w:i/>
        </w:rPr>
        <w:t>„неинвестиционен рейтинг“</w:t>
      </w:r>
      <w:r>
        <w:t xml:space="preserve"> и </w:t>
      </w:r>
      <w:r>
        <w:rPr>
          <w:i/>
        </w:rPr>
        <w:t>„долен среден рейтинг“</w:t>
      </w:r>
      <w:r>
        <w:t xml:space="preserve"> са свързани основно с вноските на държавите членки за ЕФР, платени по специалните сметки, открити от държавите членки в съответствие с член 20, параграф 3 от ФР за ЕФР. Съгласно този регламент сумата на тези вноски трябва да остане в тези специални сметки до момента, когато трябва да бъдат направени плащанията. </w:t>
      </w:r>
    </w:p>
    <w:p>
      <w:pPr>
        <w:pStyle w:val="Textstand-alone"/>
      </w:pPr>
      <w:r>
        <w:t>В съответствие с ФР за ЕФР по-голямата част от касовите ресурси на ЕФР се държат в „специалните сметки“, открити от държавите членки за плащане на техните вноски. Повечето от тези сметки са към министерствата на финансите на държавите членки или в националните централни банки. Тези институции носят най-нисък риск към контрагента за ЕФР (рискът се поема от държавите членки).</w:t>
      </w:r>
    </w:p>
    <w:p>
      <w:pPr>
        <w:pStyle w:val="Textstand-alone"/>
      </w:pPr>
      <w:r>
        <w:t>За частта от касовите ресурси на ЕФР, които са в търговски банки, с цел извършване на плащания, попълването на тези сметки се прави на принципа „точно навреме“ и автоматично се управлява от системата на Комисията за управление на паричните наличности. По всяка сметка се запазват минимални наличности, пропорционални на средната сума на ежедневните плащания, направени от тази сметка. Вследствие на това сумите, оставащи за едно денонощие по тези сметки, постоянно се запазват на ниско равнище, което ограничава риска за ЕФР.</w:t>
      </w:r>
    </w:p>
    <w:p>
      <w:pPr>
        <w:pStyle w:val="Textstand-alone"/>
      </w:pPr>
      <w:r>
        <w:t>Освен това за подбора на търговските банки се прилагат специални насоки с цел допълнително минимизиране на риска към контрагента на ЕФР.</w:t>
      </w:r>
    </w:p>
    <w:p>
      <w:pPr>
        <w:pStyle w:val="Textstand-alone"/>
      </w:pPr>
      <w:r>
        <w:t xml:space="preserve">Всички търговски банки се подбират чрез покани за представяне на предложения. Минималният краткосрочен кредитен рейтинг за допускане до тръжната процедура е Moody's P-1 или негов еквивалент (S&amp;P A-1 или Fitch F1). При специални и надлежно обосновани обстоятелства може да се изисква по-ниско равнище. </w:t>
      </w:r>
    </w:p>
    <w:bookmarkEnd w:id="130"/>
    <w:p>
      <w:pPr>
        <w:pStyle w:val="Textstand-alone"/>
        <w:sectPr>
          <w:headerReference w:type="even" r:id="rId251"/>
          <w:headerReference w:type="default" r:id="rId252"/>
          <w:footerReference w:type="even" r:id="rId253"/>
          <w:footerReference w:type="default" r:id="rId254"/>
          <w:headerReference w:type="first" r:id="rId255"/>
          <w:footerReference w:type="first" r:id="rId256"/>
          <w:type w:val="continuous"/>
          <w:pgSz w:w="11906" w:h="16838"/>
          <w:pgMar w:top="1134" w:right="1134" w:bottom="1134" w:left="1134" w:header="709" w:footer="709" w:gutter="0"/>
          <w:cols w:space="708"/>
          <w:docGrid w:linePitch="360"/>
        </w:sectPr>
      </w:pPr>
    </w:p>
    <w:p>
      <w:pPr>
        <w:pStyle w:val="HEADER2Part2"/>
        <w:rPr>
          <w:noProof/>
        </w:rPr>
      </w:pPr>
      <w:bookmarkStart w:id="133" w:name="_DMBM_14174"/>
      <w:r>
        <w:rPr>
          <w:noProof/>
        </w:rPr>
        <w:t>ЛИКВИДЕН РИСК</w:t>
      </w:r>
    </w:p>
    <w:p>
      <w:pPr>
        <w:pStyle w:val="HEADER5"/>
        <w:rPr>
          <w:noProof/>
        </w:rPr>
      </w:pPr>
      <w:r>
        <w:rPr>
          <w:noProof/>
        </w:rPr>
        <w:t>Анализ на срока на финансовите пасиви по оставащия срок по договора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4" w:name="DOC_TBL00048_1_1"/>
            <w:bookmarkEnd w:id="134"/>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&lt; 1 година</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1—5 години</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&gt; 5 години</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Общо</w:t>
            </w:r>
          </w:p>
        </w:tc>
      </w:tr>
      <w:t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259</w:t>
            </w:r>
          </w:p>
        </w:tc>
      </w:tr>
      <w:tr>
        <w:tc>
          <w:tcPr>
            <w:tcW w:w="3794"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Text9pBoldLeft"/>
              <w:rPr>
                <w:rFonts w:eastAsia="Verdana" w:cs="Verdana"/>
              </w:rPr>
            </w:pPr>
            <w:r>
              <w:t>Общо към 31.12.2018 г.</w:t>
            </w:r>
          </w:p>
        </w:tc>
        <w:tc>
          <w:tcPr>
            <w:tcW w:w="1488"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241</w:t>
            </w:r>
          </w:p>
        </w:tc>
        <w:tc>
          <w:tcPr>
            <w:tcW w:w="1488"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7</w:t>
            </w:r>
          </w:p>
        </w:tc>
        <w:tc>
          <w:tcPr>
            <w:tcW w:w="1418"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11</w:t>
            </w:r>
          </w:p>
        </w:tc>
        <w:tc>
          <w:tcPr>
            <w:tcW w:w="1559" w:type="dxa"/>
            <w:tcBorders>
              <w:top w:val="single" w:sz="4" w:space="0" w:color="016794"/>
              <w:left w:val="nil"/>
              <w:bottom w:val="single" w:sz="4" w:space="0" w:color="016794"/>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259</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563</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577</w:t>
            </w:r>
          </w:p>
        </w:tc>
      </w:tr>
      <w:tr>
        <w:tc>
          <w:tcPr>
            <w:tcW w:w="3794"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 към 31.12.2017 г.</w:t>
            </w:r>
          </w:p>
        </w:tc>
        <w:tc>
          <w:tcPr>
            <w:tcW w:w="148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563</w:t>
            </w:r>
          </w:p>
        </w:tc>
        <w:tc>
          <w:tcPr>
            <w:tcW w:w="148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13</w:t>
            </w:r>
          </w:p>
        </w:tc>
        <w:tc>
          <w:tcPr>
            <w:tcW w:w="141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1</w:t>
            </w:r>
          </w:p>
        </w:tc>
        <w:tc>
          <w:tcPr>
            <w:tcW w:w="1559"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577</w:t>
            </w:r>
          </w:p>
        </w:tc>
      </w:tr>
    </w:tbl>
    <w:p>
      <w:pPr>
        <w:pStyle w:val="Textstand-alone"/>
      </w:pPr>
      <w:r>
        <w:t>Бюджетните принципи, които се прилагат за ЕФР, гарантират, че общите парични ресурси за бюджетния период са винаги достатъчни за извършване на всички свързани плащания. Действително всички вноски от държавите членки са равни на общата сума на бюджетните кредити за плащания за съответния бюджетен период.</w:t>
      </w:r>
    </w:p>
    <w:p>
      <w:pPr>
        <w:pStyle w:val="Textstand-alone"/>
      </w:pPr>
      <w:r>
        <w:t>Вноските от държавите членки за ЕФР обаче се изплащат на три транша за година, докато плащанията подлежат на известна сезонност.</w:t>
      </w:r>
    </w:p>
    <w:p>
      <w:pPr>
        <w:pStyle w:val="Textstand-alone"/>
      </w:pPr>
      <w:r>
        <w:t>С цел касовите ресурси да бъдат винаги достатъчни за покриване на плащанията, които трябва да бъдат направени в даден месец, редовно се обменя информация за касовата наличност между касата на Комисията и съответните разплащателни отдели.</w:t>
      </w:r>
    </w:p>
    <w:p>
      <w:pPr>
        <w:pStyle w:val="Textstand-alone"/>
      </w:pPr>
      <w:r>
        <w:t>В допълнение към горното, в контекста на касовите операции на ЕФР автоматичните инструменти за управление ежедневно гарантират наличието на достатъчна ликвидност по всяка банкова сметка на ЕФР.</w:t>
      </w:r>
    </w:p>
    <w:p>
      <w:pPr>
        <w:rPr>
          <w:noProof/>
        </w:rPr>
        <w:sectPr>
          <w:headerReference w:type="even" r:id="rId257"/>
          <w:headerReference w:type="default" r:id="rId258"/>
          <w:footerReference w:type="even" r:id="rId259"/>
          <w:footerReference w:type="default" r:id="rId260"/>
          <w:headerReference w:type="first" r:id="rId261"/>
          <w:footerReference w:type="first" r:id="rId262"/>
          <w:type w:val="continuous"/>
          <w:pgSz w:w="11906" w:h="16838"/>
          <w:pgMar w:top="1134" w:right="1134" w:bottom="1134" w:left="1134" w:header="709" w:footer="709" w:gutter="0"/>
          <w:cols w:space="708"/>
          <w:docGrid w:linePitch="360"/>
        </w:sectPr>
      </w:pPr>
      <w:r>
        <w:rPr>
          <w:noProof/>
        </w:rPr>
        <w:t xml:space="preserve"> </w:t>
      </w:r>
      <w:bookmarkEnd w:id="133"/>
    </w:p>
    <w:p>
      <w:pPr>
        <w:pStyle w:val="HEADER1Part2"/>
        <w:rPr>
          <w:noProof/>
        </w:rPr>
      </w:pPr>
      <w:bookmarkStart w:id="135" w:name="_DMBM_14132"/>
      <w:r>
        <w:rPr>
          <w:noProof/>
        </w:rPr>
        <w:t>ОПОВЕСТЯВАНЕ НА СВЪРЗАНИ ЛИЦА</w:t>
      </w:r>
    </w:p>
    <w:p>
      <w:pPr>
        <w:pStyle w:val="Textstand-alone"/>
      </w:pPr>
      <w:r>
        <w:t>Свързаните лица на ЕФР са доверителният фонд „Беку“, Доверителният фонд на ЕС за Африка и Европейската комисия. Операциите между тези субекти се осъществяват като част от обичайните операции на ЕФР и поради това не са необходими специални изисквания за оповестяването за тези операции в съответствие със счетоводните правила на ЕС.</w:t>
      </w:r>
    </w:p>
    <w:p>
      <w:pPr>
        <w:pStyle w:val="Textstand-alone"/>
      </w:pPr>
      <w:r>
        <w:t>ЕФР няма отделно управление, тъй като се управлява от Комисията. Финансовите права на служителите на ключова ръководна длъжност в ЕС, в това число Комисията, са посочени в консолидираните годишни отчети на Европейския съюз в раздел 7.2 „Финансови права на служителите на ключова ръководна длъжност“.</w:t>
      </w:r>
    </w:p>
    <w:bookmarkEnd w:id="135"/>
    <w:p>
      <w:pPr>
        <w:pStyle w:val="Textstand-alone"/>
        <w:sectPr>
          <w:headerReference w:type="even" r:id="rId263"/>
          <w:headerReference w:type="default" r:id="rId264"/>
          <w:footerReference w:type="even" r:id="rId265"/>
          <w:footerReference w:type="default" r:id="rId266"/>
          <w:headerReference w:type="first" r:id="rId267"/>
          <w:footerReference w:type="first" r:id="rId268"/>
          <w:pgSz w:w="11906" w:h="16838"/>
          <w:pgMar w:top="1134" w:right="1134" w:bottom="1134" w:left="1134" w:header="709" w:footer="709" w:gutter="0"/>
          <w:cols w:space="708"/>
          <w:docGrid w:linePitch="360"/>
        </w:sectPr>
      </w:pPr>
    </w:p>
    <w:p>
      <w:pPr>
        <w:pStyle w:val="HEADER1Part2"/>
        <w:rPr>
          <w:noProof/>
        </w:rPr>
      </w:pPr>
      <w:bookmarkStart w:id="136" w:name="_DMBM_14135"/>
      <w:r>
        <w:rPr>
          <w:noProof/>
        </w:rPr>
        <w:t>СЪБИТИЯ СЛЕД ДАТАТА НА СЧЕТОВОДНИЯ БАЛАНС</w:t>
      </w:r>
    </w:p>
    <w:p>
      <w:pPr>
        <w:pStyle w:val="Textstand-alone"/>
      </w:pPr>
      <w:r>
        <w:t>Към датата на подписването на настоящите отчети счетоводителят на ЕФР не е забелязал, нито му е било докладвано за някакви съществени въпроси, които биха наложили отделно оповестяване в тази част. Годишните отчети и свързаните с тях бележки бяха подготвени, като бяха използвани най-актуалните налични данни, и това е отразено в представената по-горе информация.</w:t>
      </w:r>
    </w:p>
    <w:p>
      <w:pPr>
        <w:pStyle w:val="Textstand-alone"/>
        <w:sectPr>
          <w:headerReference w:type="even" r:id="rId269"/>
          <w:headerReference w:type="default" r:id="rId270"/>
          <w:footerReference w:type="even" r:id="rId271"/>
          <w:footerReference w:type="default" r:id="rId272"/>
          <w:headerReference w:type="first" r:id="rId273"/>
          <w:footerReference w:type="first" r:id="rId274"/>
          <w:pgSz w:w="11906" w:h="16838"/>
          <w:pgMar w:top="1134" w:right="1134" w:bottom="1134" w:left="1134" w:header="709" w:footer="709" w:gutter="0"/>
          <w:cols w:space="708"/>
          <w:docGrid w:linePitch="360"/>
        </w:sectPr>
      </w:pPr>
      <w:r>
        <w:t xml:space="preserve"> </w:t>
      </w:r>
      <w:bookmarkEnd w:id="136"/>
    </w:p>
    <w:p>
      <w:pPr>
        <w:pStyle w:val="HEADER1Part2"/>
        <w:rPr>
          <w:noProof/>
        </w:rPr>
      </w:pPr>
      <w:bookmarkStart w:id="137" w:name="_DMBM_14161"/>
      <w:r>
        <w:rPr>
          <w:noProof/>
        </w:rPr>
        <w:t>РАВНЕНИЕ НА ИКОНОМИЧЕСКИЯ РЕЗУЛТАТ С БЮДЖЕТНИЯ РЕЗУЛТАТ</w:t>
      </w:r>
    </w:p>
    <w:p>
      <w:pPr>
        <w:pStyle w:val="Textstand-alone"/>
      </w:pPr>
      <w:r>
        <w:t>Икономическият резултат за годината се изчислява въз основа на принципите на счетоводната отчетност на базата на текущо начисляване. Бюджетният резултат обаче е основан на правилата за касова отчетност. Тъй като икономическият и бюджетният резултат обхващат едни и същи оперативни трансакции, гарантирането на тяхната равняемост представлява полезна проверка. Таблицата по-долу показва това равнение, като подчертава ключовите равняващи се суми, разделени на приходни и разходни позиции.</w:t>
      </w:r>
      <w: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8" w:name="DOC_TBL00049_1_1"/>
            <w:bookmarkEnd w:id="13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 г.</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 г.</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ИКОНОМИЧЕСКИ РЕЗУЛТАТ ЗА ГОДИНАТА</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(4 118)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(3 818)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Приходи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които не засягат бюджетния резултат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установени през текущата година, но все още несъбрани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установени през предходни години и събрани през текущата година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Нетен ефект на предварителното 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Начислени приходи (нетни)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Разходи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за текущата година, още неизплатени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от предходни години, платени през текущата година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Нетен ефект на предварителното 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Начислени разходи (нетни)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373</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 xml:space="preserve">БЮДЖЕТЕН РЕЗУЛТАТ ЗА ГОДИНАТА </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(4 069)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(4 158)</w:t>
            </w:r>
          </w:p>
        </w:tc>
      </w:tr>
    </w:tbl>
    <w:p>
      <w:pPr>
        <w:pStyle w:val="HEADER2Part2"/>
        <w:rPr>
          <w:noProof/>
        </w:rPr>
      </w:pPr>
      <w:r>
        <w:rPr>
          <w:noProof/>
        </w:rPr>
        <w:t>РАВНЯВАНЕ НА ПОЗИЦИИ — ПРИХОДИ</w:t>
      </w:r>
    </w:p>
    <w:p>
      <w:pPr>
        <w:pStyle w:val="Textstand-alone"/>
      </w:pPr>
      <w:r>
        <w:t>Бюджетните приходи за дадена финансова година съответстват на събраните приходи от вземанията, установени в хода на годината, и на събраните суми от вземанията, установени през предходни години.</w:t>
      </w:r>
    </w:p>
    <w:p>
      <w:pPr>
        <w:pStyle w:val="Textstand-alone"/>
      </w:pPr>
      <w:r>
        <w:t>Вземанията, които не засягат бюджетния резултат, се записват в икономическия резултат, но от бюджетна перспектива не могат да се смятат за приходи, тъй като получената сума се прехвърля към резервите и не може да бъде отново поета като задължение без решение на Съвета.</w:t>
      </w:r>
    </w:p>
    <w:p>
      <w:pPr>
        <w:pStyle w:val="Textstand-alone"/>
      </w:pPr>
      <w:r>
        <w:t>Вземанията, установени през текущата година, но все още несъбрани, трябва да бъдат приспаднати от икономическия резултат за целите на равнението, тъй като не са част от бюджетните приходи. Напротив, вземанията, установени през предходни години и събрани през текущата година, трябва да бъдат добавени към икономическия резултат за целите на равнението.</w:t>
      </w:r>
    </w:p>
    <w:p>
      <w:pPr>
        <w:pStyle w:val="Textstand-alone"/>
      </w:pPr>
      <w:r>
        <w:t>Нетният ефект на предварителното финансиране е приключването на събраните суми по предварителното финансиране. Това е парично постъпление, което няма отражение върху икономическия резултат.</w:t>
      </w:r>
    </w:p>
    <w:p>
      <w:pPr>
        <w:pStyle w:val="Textstand-alone"/>
        <w:spacing w:after="0"/>
      </w:pPr>
      <w:r>
        <w:t>Нетните начислени приходи се състоят главно от начисленията, направени за целите на разделянето на финансовите периоди в края на годината. Взема се предвид само нетният ефект, т.е. начислените приходи за текущата година минус корекцията на начислените приходи от предходната година.</w:t>
      </w:r>
    </w:p>
    <w:p>
      <w:pPr>
        <w:pStyle w:val="HEADER2Part2"/>
        <w:rPr>
          <w:noProof/>
        </w:rPr>
      </w:pPr>
      <w:r>
        <w:rPr>
          <w:noProof/>
        </w:rPr>
        <w:t>РАВНЯВАНЕ НА ПОЗИЦИИ — РАЗХОДИ</w:t>
      </w:r>
    </w:p>
    <w:p>
      <w:pPr>
        <w:pStyle w:val="Textstand-alone"/>
      </w:pPr>
      <w:r>
        <w:rPr>
          <w:b/>
        </w:rPr>
        <w:t>Разходите за текущата година, още неизплатени</w:t>
      </w:r>
      <w:r>
        <w:t>, трябва да се добавят за целите на равнението, тъй като те са включени в икономическия резултат, но не са част от бюджетните разходи. Обратно, разходите от предходни години, платени през текущата година, трябва да бъдат приспаднати от икономическия резултат за целите на равнението, тъй като те са част от бюджетните разходи за текущата година, но или нямат отражение върху икономическия резултат, или намаляват разходите в случай на корекции.</w:t>
      </w:r>
    </w:p>
    <w:p>
      <w:pPr>
        <w:pStyle w:val="Textstand-alone"/>
        <w:rPr>
          <w:bCs/>
        </w:rPr>
      </w:pPr>
      <w:r>
        <w:t xml:space="preserve">Паричните постъпления от </w:t>
      </w:r>
      <w:r>
        <w:rPr>
          <w:b/>
        </w:rPr>
        <w:t>анулирани плащания</w:t>
      </w:r>
      <w:r>
        <w:t xml:space="preserve"> не засягат икономическия резултат, но те засягат бюджетния резултат.</w:t>
      </w:r>
    </w:p>
    <w:p>
      <w:pPr>
        <w:pStyle w:val="Textstand-alone"/>
      </w:pPr>
      <w:r>
        <w:rPr>
          <w:b/>
        </w:rPr>
        <w:t>Нетният ефект на предварителното финансиране</w:t>
      </w:r>
      <w:r>
        <w:t xml:space="preserve"> е комбинация от новите суми по предварително финансиране, платени през текущата година (признати като бюджетни разходи за годината), и изчистването на предварителното финансиране, платено през текущата година или предходни години, чрез приемането на допустимите разходи. Последните представляват разход от гледна точка на начисляването, но не и в бюджетните сметки, тъй като плащането на първоначалната сума по предварителното финансиране вече е било счетено за бюджетен разход в момента на извършването на плащането.</w:t>
      </w:r>
    </w:p>
    <w:p>
      <w:pPr>
        <w:pStyle w:val="Textstand-alone"/>
        <w:spacing w:after="0"/>
      </w:pPr>
      <w:r>
        <w:rPr>
          <w:b/>
        </w:rPr>
        <w:t>Нетните начислени разходи</w:t>
      </w:r>
      <w:r>
        <w:t xml:space="preserve"> се състоят главно от начисленията, направени за целите на разделянето на финансовите периоди в края на годината, т.е. допустимите разходи, направени от бенефициерите на средства от ЕФР, но за които все още не е съобщено на ЕФР. Взема се предвид само нетният ефект, т.е. начислените разходи за текущата година минус корекцията на начислените разходи от предходната година.</w:t>
      </w:r>
    </w:p>
    <w:bookmarkEnd w:id="137"/>
    <w:p>
      <w:pPr>
        <w:pStyle w:val="Textstand-alone"/>
        <w:spacing w:after="0"/>
        <w:sectPr>
          <w:headerReference w:type="even" r:id="rId275"/>
          <w:headerReference w:type="default" r:id="rId276"/>
          <w:footerReference w:type="even" r:id="rId277"/>
          <w:footerReference w:type="default" r:id="rId278"/>
          <w:headerReference w:type="first" r:id="rId279"/>
          <w:footerReference w:type="first" r:id="rId280"/>
          <w:pgSz w:w="11906" w:h="16838"/>
          <w:pgMar w:top="1134" w:right="1134" w:bottom="1134" w:left="1134" w:header="709" w:footer="709" w:gutter="0"/>
          <w:cols w:space="708"/>
          <w:docGrid w:linePitch="360"/>
        </w:sectPr>
      </w:pPr>
    </w:p>
    <w:p>
      <w:pPr>
        <w:pStyle w:val="FinancialYear"/>
        <w:rPr>
          <w:noProof/>
        </w:rPr>
      </w:pPr>
      <w:bookmarkStart w:id="139" w:name="_DMBM_14198"/>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140" w:name="_Toc9948394"/>
      <w:bookmarkStart w:id="141" w:name="_Toc9959662"/>
      <w:bookmarkStart w:id="142" w:name="_Toc16001694"/>
      <w:bookmarkStart w:id="143" w:name="_Toc17797625"/>
      <w:r>
        <w:t>ФИНАНСОВИ ОТЧЕТИ НА ДОВЕРИТЕЛНИТЕ ФОНДОВЕ НА ЕС, КОНСОЛИДИРАНИ В ЕФР</w:t>
      </w:r>
      <w:bookmarkEnd w:id="140"/>
      <w:bookmarkEnd w:id="141"/>
      <w:bookmarkEnd w:id="142"/>
      <w:bookmarkEnd w:id="143"/>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bookmarkEnd w:id="139"/>
    <w:p>
      <w:pPr>
        <w:pStyle w:val="TOPHEADERNOTE"/>
        <w:rPr>
          <w:noProof/>
        </w:rPr>
        <w:sectPr>
          <w:headerReference w:type="even" r:id="rId281"/>
          <w:headerReference w:type="default" r:id="rId282"/>
          <w:footerReference w:type="even" r:id="rId283"/>
          <w:footerReference w:type="default" r:id="rId284"/>
          <w:headerReference w:type="first" r:id="rId285"/>
          <w:footerReference w:type="first" r:id="rId286"/>
          <w:pgSz w:w="11906" w:h="16838" w:code="9"/>
          <w:pgMar w:top="1134" w:right="1134" w:bottom="1134" w:left="1134" w:header="709" w:footer="709" w:gutter="0"/>
          <w:cols w:space="708"/>
          <w:docGrid w:linePitch="360"/>
        </w:sectPr>
      </w:pPr>
    </w:p>
    <w:p>
      <w:pPr>
        <w:pStyle w:val="FinancialYear"/>
        <w:rPr>
          <w:noProof/>
        </w:rPr>
      </w:pPr>
      <w:bookmarkStart w:id="144" w:name="_DMBM_14149"/>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145" w:name="_Toc9948395"/>
      <w:bookmarkStart w:id="146" w:name="_Toc9959663"/>
      <w:bookmarkStart w:id="147" w:name="_Toc16001695"/>
      <w:bookmarkStart w:id="148" w:name="_Toc17797626"/>
      <w:r>
        <w:t>ОКОНЧАТЕЛНИ ГОДИШНИ ОТЧЕТИ НА ДОВЕРИТЕЛНИЯ ФОНД НА ЕС „БЕКУ“ ЗА 2018 г.</w:t>
      </w:r>
      <w:bookmarkEnd w:id="145"/>
      <w:bookmarkEnd w:id="146"/>
      <w:bookmarkEnd w:id="147"/>
      <w:bookmarkEnd w:id="148"/>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Следва да се отбележи, че поради закръглянето на цифрите в хиляди евро някои финансови данни в таблиците може да изглеждат грешни.</w:t>
      </w:r>
    </w:p>
    <w:p>
      <w:pPr>
        <w:pStyle w:val="TOPHEADERNOTE"/>
        <w:rPr>
          <w:noProof/>
        </w:rPr>
        <w:sectPr>
          <w:headerReference w:type="even" r:id="rId287"/>
          <w:headerReference w:type="default" r:id="rId288"/>
          <w:footerReference w:type="even" r:id="rId289"/>
          <w:footerReference w:type="default" r:id="rId290"/>
          <w:headerReference w:type="first" r:id="rId291"/>
          <w:footerReference w:type="first" r:id="rId292"/>
          <w:pgSz w:w="11906" w:h="16838"/>
          <w:pgMar w:top="1134" w:right="1134" w:bottom="1134" w:left="1134" w:header="709" w:footer="709" w:gutter="0"/>
          <w:cols w:space="708"/>
          <w:docGrid w:linePitch="360"/>
        </w:sectPr>
      </w:pPr>
      <w:r>
        <w:rPr>
          <w:noProof/>
        </w:rPr>
        <w:t xml:space="preserve"> </w:t>
      </w:r>
      <w:bookmarkEnd w:id="144"/>
    </w:p>
    <w:p>
      <w:pPr>
        <w:pStyle w:val="HEADERTITLE"/>
      </w:pPr>
      <w:bookmarkStart w:id="149" w:name="_Toc384635016"/>
      <w:bookmarkStart w:id="150" w:name="_Toc384635529"/>
      <w:bookmarkStart w:id="151" w:name="_DMBM_14180"/>
      <w:r>
        <w:t>ОБЩА ИНФОРМАЦИЯ ЗА ДОВЕРИТЕЛНИЯ ФОНД НА ЕС</w:t>
      </w:r>
      <w:bookmarkEnd w:id="149"/>
      <w:bookmarkEnd w:id="150"/>
      <w:r>
        <w:t xml:space="preserve"> „БЕКУ“</w:t>
      </w:r>
    </w:p>
    <w:p>
      <w:pPr>
        <w:pStyle w:val="Textstand-alone"/>
        <w:rPr>
          <w:b/>
          <w:color w:val="016794"/>
        </w:rPr>
      </w:pPr>
      <w:r>
        <w:rPr>
          <w:b/>
          <w:color w:val="016794"/>
        </w:rPr>
        <w:t>Обща информация относно доверителните фондове на Съюза</w:t>
      </w:r>
    </w:p>
    <w:p>
      <w:pPr>
        <w:pStyle w:val="Textstand-alone"/>
      </w:pPr>
      <w:r>
        <w:t>В съответствие с членове 234 и 235 от Финансовия регламент, приложим за общия бюджет на Съюза (ФР на ЕС)</w:t>
      </w:r>
      <w:r>
        <w:rPr>
          <w:rStyle w:val="FootnoteReference"/>
        </w:rPr>
        <w:footnoteReference w:id="4"/>
      </w:r>
      <w:r>
        <w:t xml:space="preserve"> и член 35 от Финансовия регламент, приложим за 11-ия ЕФР (ФР на ЕФР)</w:t>
      </w:r>
      <w:r>
        <w:rPr>
          <w:rStyle w:val="FootnoteReference"/>
        </w:rPr>
        <w:footnoteReference w:id="5"/>
      </w:r>
      <w:r>
        <w:t xml:space="preserve">, Европейската комисия може да създава доверителни фондове на Съюза за външни дейности („доверителни фондове на Съюза“). Доверителните фондове на Съюза се създават по силата на споразумение, сключено с други донори, за действия при спешни ситуации и след спешни ситуации, необходими за реагиране на криза или за тематични действия. </w:t>
      </w:r>
    </w:p>
    <w:p>
      <w:pPr>
        <w:pStyle w:val="Textstand-alone"/>
      </w:pPr>
      <w:r>
        <w:t>Доверителните фондове на Съюза се създават от Европейската комисия с решение след консултация или одобрение от Европейския парламент и Съвета. Това решение включва учредително споразумение с други донори.</w:t>
      </w:r>
    </w:p>
    <w:p>
      <w:pPr>
        <w:pStyle w:val="Textstand-alone"/>
      </w:pPr>
      <w:r>
        <w:t>Доверителните фондове на Съюза се създават и изпълняват само при следните условия:</w:t>
      </w:r>
    </w:p>
    <w:p>
      <w:pPr>
        <w:pStyle w:val="Textstand-alone"/>
        <w:numPr>
          <w:ilvl w:val="0"/>
          <w:numId w:val="18"/>
        </w:numPr>
        <w:spacing w:before="120" w:after="0"/>
        <w:ind w:left="1077"/>
        <w:contextualSpacing/>
      </w:pPr>
      <w:r>
        <w:t>намесата на Съюза има добавена стойност: целите на доверителните фондове на Съюза, по-специално поради своя мащаб или потенциални последици, могат да бъдат постигнати по-добре на равнището на Съюза, отколкото на национално равнище, а използването на съществуващите финансови инструменти не би било достатъчно за постигане на целите на политиката на Съюза;</w:t>
      </w:r>
    </w:p>
    <w:p>
      <w:pPr>
        <w:pStyle w:val="Textstand-alone"/>
        <w:numPr>
          <w:ilvl w:val="0"/>
          <w:numId w:val="18"/>
        </w:numPr>
        <w:spacing w:before="120" w:after="0"/>
        <w:ind w:left="1077"/>
        <w:contextualSpacing/>
      </w:pPr>
      <w:r>
        <w:t>доверителните фондове на Съюза осигуряват ясна политическа видимост на Съюза и управленски преимущества, както и по-добър контрол от страна на Съюза върху рисковете и плащането на вноските на Съюза и на другите донори;</w:t>
      </w:r>
    </w:p>
    <w:p>
      <w:pPr>
        <w:pStyle w:val="Textstand-alone"/>
        <w:numPr>
          <w:ilvl w:val="0"/>
          <w:numId w:val="18"/>
        </w:numPr>
        <w:spacing w:before="120" w:after="0"/>
        <w:ind w:left="1077"/>
        <w:contextualSpacing/>
      </w:pPr>
      <w:r>
        <w:t>доверителните фондове на Съюза не дублират други съществуващи пътища за финансиране или сходни инструменти, без да добавят нищо;</w:t>
      </w:r>
    </w:p>
    <w:p>
      <w:pPr>
        <w:pStyle w:val="Textstand-alone"/>
        <w:numPr>
          <w:ilvl w:val="0"/>
          <w:numId w:val="18"/>
        </w:numPr>
        <w:spacing w:before="120" w:after="0"/>
        <w:ind w:left="1077"/>
        <w:contextualSpacing/>
      </w:pPr>
      <w:r>
        <w:t>целите на доверителните фондове на Съюза съответстват на целите на инструмента на Съюза или на бюджетната позиция, от които се финансират.</w:t>
      </w:r>
    </w:p>
    <w:p>
      <w:pPr>
        <w:pStyle w:val="Textstand-alone"/>
      </w:pPr>
      <w:r>
        <w:t>За всеки доверителен фонд на Съюза се създава управителен съвет, председателстван от Комисията, с цел да се осигури справедливо представителство на донорите, както и с цел да се вземат решения за използването на средствата. Управителният съвет включва представител на всяка неучастваща държава членка като наблюдател. Правилата за състава на съвета и неговият вътрешен правилник се определят в учредителното споразумение на доверителния фонд на Съюза.</w:t>
      </w:r>
    </w:p>
    <w:p>
      <w:pPr>
        <w:pStyle w:val="Textstand-alone"/>
      </w:pPr>
      <w:r>
        <w:t>Доверителните фондове на Съюза се създават за ограничен срок, определен в тяхното учредително споразумение. Този срок може да бъде удължен при поискване от управителния съвет на доверителния фонд на Съюза и при представяне от страна на Комисията на доклад, който обосновава удължаването. Европейският парламент и/или Съветът могат да изискат от Комисията да спре бюджетните кредити за доверителния фонд или да преразгледа учредителния акт с оглед на неговата ликвидация.</w:t>
      </w:r>
    </w:p>
    <w:p>
      <w:pPr>
        <w:pStyle w:val="Textstand-alone"/>
      </w:pPr>
      <w:r>
        <w:t>Счетоводителят на Комисията изпълнява функциите на счетоводител на доверителните фондове на Съюза. Счетоводителят отговаря за определянето на счетоводните процедури и сметкоплана, които са общи за всички доверителни фондове на Съюза. Вътрешният одитор на Комисията, OLAF и Сметната палата упражняват спрямо доверителните фондове на Съюза същите правомощия като упражняваните от тях спрямо останалите извършвани от Комисията действия. Доверителните фондове на Съюза подлежат всяка година на независим външен одит.</w:t>
      </w:r>
    </w:p>
    <w:p>
      <w:pPr>
        <w:pStyle w:val="Textstand-alone"/>
        <w:rPr>
          <w:b/>
          <w:color w:val="016794"/>
        </w:rPr>
      </w:pPr>
      <w:r>
        <w:rPr>
          <w:b/>
          <w:color w:val="016794"/>
        </w:rPr>
        <w:t>Съществуващи доверителни фондове на ЕС</w:t>
      </w:r>
    </w:p>
    <w:p>
      <w:pPr>
        <w:pStyle w:val="Textstand-alone"/>
      </w:pPr>
      <w:r>
        <w:t xml:space="preserve"> Към днешна дата Комисията е създала четири доверителни фонда на ЕС:</w:t>
      </w:r>
    </w:p>
    <w:p>
      <w:pPr>
        <w:pStyle w:val="Textstand-alone"/>
        <w:spacing w:after="0"/>
      </w:pPr>
      <w:r>
        <w:t xml:space="preserve">     - </w:t>
      </w:r>
      <w:r>
        <w:rPr>
          <w:b/>
        </w:rPr>
        <w:t>Доверителен фонд на ЕС „Беку“</w:t>
      </w:r>
      <w:r>
        <w:t>, чиято цел е подпомагане на всички аспекти на излизането от кризата на Централноафриканската република и нейните усилия за възстановяване. Създаден на 15 юли 2014 г.;</w:t>
      </w:r>
    </w:p>
    <w:p>
      <w:pPr>
        <w:pStyle w:val="Textstand-alone"/>
        <w:spacing w:after="0"/>
      </w:pPr>
      <w:r>
        <w:t xml:space="preserve">     - </w:t>
      </w:r>
      <w:r>
        <w:rPr>
          <w:b/>
        </w:rPr>
        <w:t>Доверителен фонд на ЕС „Мадад“</w:t>
      </w:r>
      <w:r>
        <w:t xml:space="preserve"> — регионален доверителен фонд на Европейския съюз в отговор на кризата в Сирия. Създаден на 15 декември 2014 г.;</w:t>
      </w:r>
    </w:p>
    <w:p>
      <w:pPr>
        <w:pStyle w:val="Textstand-alone"/>
        <w:spacing w:after="0"/>
      </w:pPr>
      <w:r>
        <w:t xml:space="preserve">     - </w:t>
      </w:r>
      <w:r>
        <w:rPr>
          <w:b/>
        </w:rPr>
        <w:t>Доверителен фонд на ЕС за Африка</w:t>
      </w:r>
      <w:r>
        <w:t>; Извънреден доверителен фонд на Европейския съюз за стабилност и преодоляване на първопричините за незаконната миграция и разселването на хора в Африка. Създаден на 12 ноември 2015 г.;</w:t>
      </w:r>
    </w:p>
    <w:p>
      <w:pPr>
        <w:pStyle w:val="Textstand-alone"/>
        <w:spacing w:after="0"/>
      </w:pPr>
      <w:r>
        <w:t xml:space="preserve">     - </w:t>
      </w:r>
      <w:r>
        <w:rPr>
          <w:b/>
        </w:rPr>
        <w:t>Доверителен фонд на ЕС за Колумбия</w:t>
      </w:r>
      <w:r>
        <w:t>; за подпомагане на изпълнението на мирното споразумение по време на началното възстановяване и стабилизиране след конфликти. Създаден на 12 декември 2016 г.</w:t>
      </w:r>
    </w:p>
    <w:p>
      <w:pPr>
        <w:pStyle w:val="Textstand-alone"/>
      </w:pPr>
      <w:r>
        <w:t>Допълнителна информация е на разположение на уебсайтовете на отделните доверителни фондове на ЕС:</w:t>
      </w:r>
    </w:p>
    <w:p>
      <w:pPr>
        <w:pStyle w:val="Textstand-alone"/>
      </w:pPr>
      <w:r>
        <w:t>„Беку“:</w:t>
      </w:r>
      <w:r>
        <w:tab/>
      </w:r>
      <w:hyperlink r:id="rId293">
        <w:r>
          <w:rPr>
            <w:rStyle w:val="Hyperlink"/>
          </w:rPr>
          <w:t>http://ec.europa.eu/europeaid/bekou-trust-fund-introduction_en</w:t>
        </w:r>
      </w:hyperlink>
    </w:p>
    <w:p>
      <w:pPr>
        <w:pStyle w:val="Textstand-alone"/>
        <w:rPr>
          <w:rStyle w:val="Hyperlink"/>
        </w:rPr>
      </w:pPr>
      <w:r>
        <w:t>„Мадад“:</w:t>
      </w:r>
      <w:r>
        <w:tab/>
      </w:r>
      <w:hyperlink r:id="rId294">
        <w:r>
          <w:rPr>
            <w:rStyle w:val="Hyperlink"/>
          </w:rPr>
          <w:t>http://ec.europa.eu/enlargement/neighbourhood/countries/syria/madad/index_en.htm</w:t>
        </w:r>
      </w:hyperlink>
    </w:p>
    <w:p>
      <w:pPr>
        <w:pStyle w:val="Textstand-alone"/>
      </w:pPr>
      <w:r>
        <w:t>Африка:</w:t>
      </w:r>
      <w:r>
        <w:tab/>
      </w:r>
      <w:hyperlink r:id="rId295">
        <w:r>
          <w:rPr>
            <w:rStyle w:val="Hyperlink"/>
          </w:rPr>
          <w:t>http://ec.europa.eu/europeaid/regions/africa/eu-emergency-trust-fund-africa_en</w:t>
        </w:r>
      </w:hyperlink>
    </w:p>
    <w:p>
      <w:pPr>
        <w:pStyle w:val="Textstand-alone"/>
      </w:pPr>
      <w:r>
        <w:t xml:space="preserve">Колумбия: </w:t>
      </w:r>
      <w:hyperlink r:id="rId296">
        <w:r>
          <w:rPr>
            <w:rStyle w:val="Hyperlink"/>
          </w:rPr>
          <w:t>http://ec.europa.eu/europeaid/eu-trust-fund-colombia_en</w:t>
        </w:r>
      </w:hyperlink>
      <w:r>
        <w:t xml:space="preserve"> </w:t>
      </w:r>
    </w:p>
    <w:p>
      <w:pPr>
        <w:pStyle w:val="Textstand-alone"/>
        <w:rPr>
          <w:b/>
          <w:color w:val="016794"/>
        </w:rPr>
      </w:pPr>
      <w:r>
        <w:rPr>
          <w:b/>
          <w:color w:val="016794"/>
        </w:rPr>
        <w:t>Доверителен фонд „Беку“</w:t>
      </w:r>
    </w:p>
    <w:p>
      <w:pPr>
        <w:pStyle w:val="Textstand-alone"/>
      </w:pPr>
      <w:r>
        <w:t>Първият многостранен донорски доверителен фонд на ЕС, наречен „Беку“, което означава „надежда“ на езика санго, беше създаден на 15 юли 2014 г. от Комисията (представлявана от ГД DEVCO, ГД ECHO и ЕСВД) и три от държави членки (Германия, Франция и Нидерландия), с цел да се насърчи стабилизирането и възстановяването на Централноафриканската република. Той е създаден за максимален срок от 60 месеца. Доверителният фонд се управлява от Брюксел.</w:t>
      </w:r>
    </w:p>
    <w:p>
      <w:pPr>
        <w:pStyle w:val="Textstand-alone"/>
      </w:pPr>
      <w:r>
        <w:t xml:space="preserve">Управителният съвет и оперативният комитет на доверителния фонд на ЕС „Беку“ са съставени от представители на донорите и на Комисията и от наблюдатели. </w:t>
      </w:r>
    </w:p>
    <w:p>
      <w:pPr>
        <w:pStyle w:val="Textstand-alone"/>
      </w:pPr>
      <w:r>
        <w:t>Управителният съвет приема и прави преглед на стратегията на доверителния фонд на ЕС. Управителният съвет заседава поне веднъж годишно.</w:t>
      </w:r>
    </w:p>
    <w:p>
      <w:pPr>
        <w:pStyle w:val="Textstand-alone"/>
      </w:pPr>
      <w:r>
        <w:t>Оперативният комитет разглежда, одобрява и надзирава изпълнението на действията, финансирани от фонда. Комитетът също одобрява годишните отчети и годишните доклади относно дейностите, финансирани от доверителния фонд.</w:t>
      </w:r>
    </w:p>
    <w:p>
      <w:pPr>
        <w:pStyle w:val="Textstand-alone"/>
        <w:rPr>
          <w:b/>
          <w:color w:val="016794"/>
        </w:rPr>
      </w:pPr>
      <w:r>
        <w:rPr>
          <w:b/>
          <w:color w:val="016794"/>
        </w:rPr>
        <w:t>Годишни отчети на доверителния фонд „Беку“</w:t>
      </w:r>
    </w:p>
    <w:p>
      <w:pPr>
        <w:pStyle w:val="Textstand-alone"/>
      </w:pPr>
      <w:r>
        <w:t>В съответствие с член 8 от Споразумението за създаване на Доверителен фонд на Европейския съюз за Централноафриканската република — доверителен фонд на ЕС „Беку“, и с член 11.2.1. от Учредителното споразумение, годишните отчети се състоят от две части: 1) годишния финансов отчет, изготвен от управителя на доверителния фонд на ЕС, и 2) годишните финансови отчети, изготвени от счетоводителя на Комисията, който, по силата на същите членове, е счетоводител и на доверителния фонд.</w:t>
      </w:r>
    </w:p>
    <w:p>
      <w:pPr>
        <w:pStyle w:val="Textstand-alone"/>
      </w:pPr>
      <w:r>
        <w:t xml:space="preserve">В съответствие с член 8 от Учредителното споразумение финансовите отчети се изготвят по счетоводните правила, приети от счетоводителя на Комисията (счетоводни правила на ЕС, ЕСП), които се основават на международните счетоводни стандарти за публичния сектор (МССПС). </w:t>
      </w:r>
    </w:p>
    <w:p>
      <w:pPr>
        <w:pStyle w:val="Textstand-alone"/>
      </w:pPr>
      <w:r>
        <w:t>Годишните отчети подлежат на независим външен одит, като окончателните годишни отчети се представят от управителя на доверителния фонд на ЕС и от счетоводителя на оперативния комитет за одобрение (член 8.3.4, буква в).</w:t>
      </w:r>
    </w:p>
    <w:p>
      <w:pPr>
        <w:rPr>
          <w:rFonts w:ascii="Verdana" w:hAnsi="Verdana"/>
          <w:noProof/>
          <w:sz w:val="18"/>
          <w:szCs w:val="18"/>
        </w:rPr>
      </w:pPr>
      <w:r>
        <w:rPr>
          <w:noProof/>
        </w:rPr>
        <w:br w:type="page"/>
      </w:r>
    </w:p>
    <w:p>
      <w:pPr>
        <w:pStyle w:val="Textstand-alone"/>
        <w:rPr>
          <w:b/>
          <w:color w:val="016794"/>
        </w:rPr>
      </w:pPr>
      <w:r>
        <w:rPr>
          <w:b/>
          <w:color w:val="016794"/>
        </w:rPr>
        <w:t>Основни моменти през годината</w:t>
      </w:r>
    </w:p>
    <w:p>
      <w:pPr>
        <w:pStyle w:val="Textstand-alone"/>
      </w:pPr>
      <w:r>
        <w:t>Доверителният фонд на ЕС „Беку“ (ДФЕС „Беку“) има за цел да гарантира достъп до основни услуги, да подкрепи икономическото възстановяване и създаването на работни места и да насърчи социалното сближаване и помирението. От създаването си ДФЕС „Беку“ е приел 16 програми и е достигнал до над 2 милиона бенефициери.</w:t>
      </w:r>
    </w:p>
    <w:p>
      <w:pPr>
        <w:pStyle w:val="Textstand-alone"/>
      </w:pPr>
      <w:r>
        <w:t>Въпреки наличието на демократично избрано правителство и неговите усилия за възстановяване на стабилността, положението със сигурността в ЦАР остава нестабилно. В този сложен и нестабилен контекст ДФЕС „Беку“ се възползва в пълна степен от своите сравнителни предимства на гъвкавост и приспособимост към променящите се обстоятелства. Освен това ДФЕС „Беку“ продължава да бъде единственият инструмент за изграждане на устойчивост както за населението, така и за държавата, при прилагането на истински подход за установяване на връзка между помощ, възстановяване и развитие (LRRD).</w:t>
      </w:r>
    </w:p>
    <w:p>
      <w:pPr>
        <w:pStyle w:val="Textstand-alone"/>
      </w:pPr>
      <w:r>
        <w:t xml:space="preserve">Предвид настоящото положение в ЦАР и с оглед на изтичането на срока на действие на ДФЕС „Беку“ през юли 2019 г., през ноември 2018 г. Съветът на доверителния фонд на ЕС официално поиска удължаване на срока с 18 месеца, като по този начин общата продължителност на ДФЕС „Беку“ беше удължена от 60 месеца на 78 месеца. Официалната процедура, която включва консултация с Европейския парламент и Съвета, започна през декември 2018 г. </w:t>
      </w:r>
    </w:p>
    <w:p>
      <w:pPr>
        <w:pStyle w:val="Textstand-alone"/>
      </w:pPr>
      <w:r>
        <w:t>Оперативните моменти от 2018 г. са следните:</w:t>
      </w:r>
    </w:p>
    <w:p>
      <w:pPr>
        <w:pStyle w:val="Textstand-alone"/>
        <w:numPr>
          <w:ilvl w:val="0"/>
          <w:numId w:val="19"/>
        </w:numPr>
      </w:pPr>
      <w:r>
        <w:t>ДФЕС „Беку“ прие ново действие за обща сума от 35 милиона евро в сектора на здравеопазването и увеличи с по 2 милиона евро бюджетите на двете вече приети действия в секторите на икономическото възстановяване и насърчаването на социалното сближаване, диалога и помирението.</w:t>
      </w:r>
    </w:p>
    <w:p>
      <w:pPr>
        <w:pStyle w:val="Textstand-alone"/>
        <w:numPr>
          <w:ilvl w:val="0"/>
          <w:numId w:val="19"/>
        </w:numPr>
      </w:pPr>
      <w:r>
        <w:t xml:space="preserve">Беше приета рамката за резултатите на ДФЕС „Беку“ в отговор на препоръката на Сметната палата относно определянето на цели SMART на равнище ДФЕС. Този стратегически инструмент ще покаже по-добре общите резултати от действията на ДФЕС „Беку“.  </w:t>
      </w:r>
    </w:p>
    <w:p>
      <w:pPr>
        <w:pStyle w:val="Textstand-alone"/>
        <w:numPr>
          <w:ilvl w:val="0"/>
          <w:numId w:val="19"/>
        </w:numPr>
      </w:pPr>
      <w:r>
        <w:t>Проектите ДФЕС „Беку“ бяха белязани от относителната стабилност в североизточната и югозападната част на страната, които се нуждаеха от допълнителни намеси, от локализираните конфликти в Банги и вътрешността на страната, както и от пренасочването на държавни служители извън Банги.</w:t>
      </w:r>
    </w:p>
    <w:p>
      <w:pPr>
        <w:pStyle w:val="Textstand-alone"/>
      </w:pPr>
      <w:r>
        <w:t>От финансова гледна точка до края на 2018 г. ангажиментите, поети от вносителите на ДФЕС, възлизаха на повече от 242 милиона евро. Това представлява увеличение с 6 милиона евро в сравнение с 2017 г. Само 5 милиона евро от тези 242 милиона евро все още не са сертифицирани.</w:t>
      </w:r>
    </w:p>
    <w:p>
      <w:pPr>
        <w:pStyle w:val="Textstand-alone"/>
      </w:pPr>
      <w:r>
        <w:t xml:space="preserve">Що се отнася до договорите, ДФЕС „Беку“ подписа 30 нови договора 2018 г. на обща стойност от почти 80 милиона евро (което представлява 48 % от общата сума, за която са сключени договори от създаването на фонда). Те допринасят за изпълнението на неговите програми в секторите на здравеопазването, икономическото възстановяване, устойчивостта на селските райони и създаването на работни места, водоснабдяването и канализацията, помирението и отварянето на регионите. </w:t>
      </w:r>
    </w:p>
    <w:p>
      <w:pPr>
        <w:pStyle w:val="Textstand-alone"/>
      </w:pPr>
      <w:r>
        <w:t>Не на последно място, над 57 милиона евро (почти 50 % от общата сума, изплатена от създаването на ДФЕС „Беку“) бяха изплатени през 2018 г. в допълнение към плащанията, извършени през предходните години; общият размер на плащанията почти достигна 119 милиона евро от създаването на ДФЕС „Беку“.</w:t>
      </w:r>
    </w:p>
    <w:p>
      <w:pPr>
        <w:pStyle w:val="Textstand-alone"/>
      </w:pPr>
      <w:r>
        <w:t>Във финансовите отчети въздействието на горепосочените дейности е най-видимо в:</w:t>
      </w:r>
    </w:p>
    <w:p>
      <w:pPr>
        <w:pStyle w:val="Textstand-alone"/>
        <w:numPr>
          <w:ilvl w:val="0"/>
          <w:numId w:val="20"/>
        </w:numPr>
        <w:spacing w:before="0" w:after="0"/>
        <w:ind w:left="714" w:hanging="357"/>
      </w:pPr>
      <w:r>
        <w:t>Предварителното финансиране: увеличение с 24 839 000 EUR вследствие на големия брой подписани нови договори и изплатени аванси;</w:t>
      </w:r>
    </w:p>
    <w:p>
      <w:pPr>
        <w:pStyle w:val="Textstand-alone"/>
        <w:numPr>
          <w:ilvl w:val="0"/>
          <w:numId w:val="20"/>
        </w:numPr>
        <w:spacing w:before="0" w:after="0"/>
        <w:ind w:left="714" w:hanging="357"/>
      </w:pPr>
      <w:r>
        <w:t>Парите и паричните еквиваленти: намаление с 26 017 000 EUR главно поради увеличените плащания по предварителното финансиране, подчертани по-горе;</w:t>
      </w:r>
    </w:p>
    <w:p>
      <w:pPr>
        <w:pStyle w:val="Textstand-alone"/>
        <w:numPr>
          <w:ilvl w:val="0"/>
          <w:numId w:val="20"/>
        </w:numPr>
        <w:spacing w:before="0" w:after="0"/>
        <w:ind w:left="714" w:hanging="357"/>
      </w:pPr>
      <w:r>
        <w:t xml:space="preserve">Непогасени поети задължения, които все още не са отчетени като разход: увеличение от 25 310 000 EUR на 54 645 000 EUR, дължащо се на новите договори. </w:t>
      </w:r>
    </w:p>
    <w:bookmarkEnd w:id="151"/>
    <w:p>
      <w:pPr>
        <w:pStyle w:val="Textstand-alone"/>
        <w:sectPr>
          <w:headerReference w:type="even" r:id="rId297"/>
          <w:headerReference w:type="default" r:id="rId298"/>
          <w:footerReference w:type="even" r:id="rId299"/>
          <w:footerReference w:type="default" r:id="rId300"/>
          <w:headerReference w:type="first" r:id="rId301"/>
          <w:footerReference w:type="first" r:id="rId302"/>
          <w:pgSz w:w="11906" w:h="16838"/>
          <w:pgMar w:top="1134" w:right="1134" w:bottom="1134" w:left="1134" w:header="709" w:footer="709" w:gutter="0"/>
          <w:cols w:space="708"/>
          <w:docGrid w:linePitch="360"/>
        </w:sectPr>
      </w:pPr>
    </w:p>
    <w:p>
      <w:pPr>
        <w:pStyle w:val="HEADERTITLE1"/>
      </w:pPr>
      <w:bookmarkStart w:id="152" w:name="_Toc9948396"/>
      <w:bookmarkStart w:id="153" w:name="_Toc17797627"/>
      <w:bookmarkStart w:id="154" w:name="_DMBM_14181"/>
      <w:r>
        <w:t>СЧЕТОВОДЕН БАЛАНС</w:t>
      </w:r>
      <w:bookmarkEnd w:id="152"/>
      <w:bookmarkEnd w:id="153"/>
    </w:p>
    <w:p>
      <w:pPr>
        <w:pStyle w:val="Textstand-alone"/>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5" w:name="DOC_TBL00050_1_1"/>
            <w:bookmarkEnd w:id="155"/>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 хиляди евро</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 г.</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 г.</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НЕТЕКУЩИ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Предварително финансиране</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3 443</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3 443</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686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ТЕКУЩИ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Предварително финансиране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29 546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7 465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по операции с размяна и средства, подлежащи на събиране, по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1 138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877</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Пари и парични еквиваленти </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13 926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39 943</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44 611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48 285</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ОБЩО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48 054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48 971</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НЕТЕКУЩИ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(42 737)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(44 720)</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(42 737)</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(44 720)</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ТЕКУЩИ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Задължения</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(716)</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Начислени разходи и приходи за бъдещи периоди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(4 399)</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(3 536)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(5 317)</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(4 252)</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ОБЩО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(48 054)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(48 971)</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ФОНДОВЕ И РЕЗЕРВИ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Натрупан излишък</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r>
    </w:tbl>
    <w:p>
      <w:pPr>
        <w:pStyle w:val="Textstand-alone"/>
      </w:pPr>
    </w:p>
    <w:p>
      <w:pPr>
        <w:pStyle w:val="Textstand-alone"/>
        <w:sectPr>
          <w:headerReference w:type="even" r:id="rId303"/>
          <w:headerReference w:type="default" r:id="rId304"/>
          <w:footerReference w:type="even" r:id="rId305"/>
          <w:footerReference w:type="default" r:id="rId306"/>
          <w:headerReference w:type="first" r:id="rId307"/>
          <w:footerReference w:type="first" r:id="rId308"/>
          <w:pgSz w:w="11906" w:h="16838"/>
          <w:pgMar w:top="1134" w:right="1134" w:bottom="1134" w:left="1134" w:header="709" w:footer="709" w:gutter="0"/>
          <w:cols w:space="708"/>
          <w:docGrid w:linePitch="360"/>
        </w:sectPr>
      </w:pPr>
      <w:r>
        <w:rPr>
          <w:i/>
        </w:rPr>
        <w:t xml:space="preserve"> </w:t>
      </w:r>
      <w:bookmarkEnd w:id="154"/>
    </w:p>
    <w:p>
      <w:pPr>
        <w:pStyle w:val="HEADERTITLE1"/>
      </w:pPr>
      <w:bookmarkStart w:id="156" w:name="_Toc9948397"/>
      <w:bookmarkStart w:id="157" w:name="_Toc17797628"/>
      <w:bookmarkStart w:id="158" w:name="_DMBM_14182"/>
      <w:r>
        <w:t>ОТЧЕТ ЗА ФИНАНСОВИЯ РЕЗУЛТАТ</w:t>
      </w:r>
      <w:bookmarkEnd w:id="156"/>
      <w:bookmarkEnd w:id="15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9" w:name="DOC_TBL00051_1_1"/>
            <w:bookmarkEnd w:id="15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хиляди евро</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 г.</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 г.</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ПРИХОДИ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 от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Приходи от дарения</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33 682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29 620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33 682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29 620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 от операции с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приходи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приходи</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33 683</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29 621</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РАЗХОДИ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Оперативни разходи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(32 825)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(28 918)</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 разходи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(703)</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Общо разходи</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(33 683)</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(29 621)</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ИКОНОМИЧЕСКИ РЕЗУЛТАТ ЗА ГОДИНАТА</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bl>
    <w:p>
      <w:pPr>
        <w:pStyle w:val="Textstand-alone"/>
        <w:sectPr>
          <w:headerReference w:type="even" r:id="rId309"/>
          <w:headerReference w:type="default" r:id="rId310"/>
          <w:footerReference w:type="even" r:id="rId311"/>
          <w:footerReference w:type="default" r:id="rId312"/>
          <w:headerReference w:type="first" r:id="rId313"/>
          <w:footerReference w:type="first" r:id="rId314"/>
          <w:pgSz w:w="11906" w:h="16838"/>
          <w:pgMar w:top="1134" w:right="1134" w:bottom="1134" w:left="1134" w:header="709" w:footer="709" w:gutter="0"/>
          <w:cols w:space="708"/>
          <w:docGrid w:linePitch="360"/>
        </w:sectPr>
      </w:pPr>
      <w:r>
        <w:t xml:space="preserve"> </w:t>
      </w:r>
      <w:bookmarkEnd w:id="158"/>
    </w:p>
    <w:p>
      <w:pPr>
        <w:pStyle w:val="HEADERTITLE1"/>
      </w:pPr>
      <w:bookmarkStart w:id="160" w:name="_Toc9948398"/>
      <w:bookmarkStart w:id="161" w:name="_Toc17797629"/>
      <w:bookmarkStart w:id="162" w:name="_DMBM_14179"/>
      <w:r>
        <w:t>ОТЧЕТ ЗА ПАРИЧНИТЕ ПОТОЦИ</w:t>
      </w:r>
      <w:bookmarkEnd w:id="160"/>
      <w:bookmarkEnd w:id="161"/>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3" w:name="DOC_TBL00052_1_1"/>
            <w:bookmarkEnd w:id="16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хиляди евро</w:t>
            </w:r>
          </w:p>
        </w:tc>
      </w:tr>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 г.</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 г.</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Оперативни дейности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предварителното 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(24 839)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7 912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вземанията по операции с размяна и на средствата, подлежащи на събиране, по операции без размяна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578</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финансовите пасиви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(14 620)</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задълженията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716</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начислените разходи и приходите за бъдещи периоди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2 321</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ПАРИЧНИ ПОТОЦИ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(26 017)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(3 092)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Нетно увеличение/(намаление) на парите и паричните еквиваленти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(26 017)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(3 092)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началото на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39 943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43 036</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края на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13 926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39 943</w:t>
            </w:r>
          </w:p>
        </w:tc>
      </w:tr>
    </w:tbl>
    <w:p>
      <w:pPr>
        <w:pStyle w:val="Textstand-alone"/>
        <w:sectPr>
          <w:headerReference w:type="even" r:id="rId315"/>
          <w:headerReference w:type="default" r:id="rId316"/>
          <w:footerReference w:type="even" r:id="rId317"/>
          <w:footerReference w:type="default" r:id="rId318"/>
          <w:headerReference w:type="first" r:id="rId319"/>
          <w:footerReference w:type="first" r:id="rId320"/>
          <w:pgSz w:w="11906" w:h="16838"/>
          <w:pgMar w:top="1134" w:right="1134" w:bottom="1134" w:left="1134" w:header="709" w:footer="709" w:gutter="0"/>
          <w:cols w:space="708"/>
          <w:docGrid w:linePitch="360"/>
        </w:sectPr>
      </w:pPr>
      <w:r>
        <w:t xml:space="preserve"> </w:t>
      </w:r>
      <w:bookmarkEnd w:id="162"/>
    </w:p>
    <w:p>
      <w:pPr>
        <w:pStyle w:val="HEADERTITLE1"/>
      </w:pPr>
      <w:bookmarkStart w:id="164" w:name="_Toc9948399"/>
      <w:bookmarkStart w:id="165" w:name="_Toc17797630"/>
      <w:bookmarkStart w:id="166" w:name="_DMBM_14183"/>
      <w:r>
        <w:t>ОТЧЕТ ЗА ПРОМЕНИТЕ В НЕТНИТЕ АКТИВИ</w:t>
      </w:r>
      <w:bookmarkEnd w:id="164"/>
      <w:bookmarkEnd w:id="16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7" w:name="DOC_TBL00053_1_1"/>
            <w:bookmarkEnd w:id="167"/>
          </w:p>
        </w:tc>
        <w:tc>
          <w:tcPr>
            <w:tcW w:w="2551" w:type="dxa"/>
            <w:tcBorders>
              <w:top w:val="nil"/>
              <w:left w:val="nil"/>
              <w:bottom w:val="nil"/>
              <w:right w:val="nil"/>
            </w:tcBorders>
            <w:shd w:val="clear" w:color="auto" w:fill="auto"/>
            <w:tcMar>
              <w:top w:w="0" w:type="dxa"/>
              <w:left w:w="108" w:type="dxa"/>
              <w:bottom w:w="0" w:type="dxa"/>
              <w:right w:w="108" w:type="dxa"/>
            </w:tcMar>
          </w:tcPr>
          <w:p>
            <w:pPr>
              <w:jc w:val="both"/>
              <w:rPr>
                <w:noProof/>
              </w:rPr>
            </w:pPr>
          </w:p>
        </w:tc>
        <w:tc>
          <w:tcPr>
            <w:tcW w:w="2552" w:type="dxa"/>
            <w:tcBorders>
              <w:top w:val="nil"/>
              <w:left w:val="nil"/>
              <w:bottom w:val="nil"/>
              <w:right w:val="nil"/>
            </w:tcBorders>
            <w:shd w:val="clear" w:color="auto" w:fill="auto"/>
            <w:tcMar>
              <w:top w:w="0" w:type="dxa"/>
              <w:left w:w="108" w:type="dxa"/>
              <w:bottom w:w="0" w:type="dxa"/>
              <w:right w:w="108" w:type="dxa"/>
            </w:tcMar>
          </w:tcPr>
          <w:p>
            <w:pPr>
              <w:jc w:val="both"/>
              <w:rPr>
                <w:noProof/>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хиляди евро</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Натрупан излишък/</w:t>
            </w:r>
          </w:p>
          <w:p>
            <w:pPr>
              <w:pStyle w:val="Heading10pNormalRight025"/>
              <w:jc w:val="center"/>
              <w:rPr>
                <w:rFonts w:eastAsia="Verdana" w:cs="Verdana"/>
              </w:rPr>
            </w:pPr>
            <w:r>
              <w:t>(дефицит)</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Икономически резултат за годината</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Нетни активи</w:t>
            </w:r>
          </w:p>
        </w:tc>
      </w:tr>
      <w:tr>
        <w:trPr>
          <w:cantSplit/>
        </w:trPr>
        <w:tc>
          <w:tcPr>
            <w:tcW w:w="3227" w:type="dxa"/>
            <w:tcBorders>
              <w:top w:val="nil"/>
              <w:left w:val="nil"/>
              <w:bottom w:val="single" w:sz="4" w:space="0" w:color="016794"/>
              <w:right w:val="nil"/>
            </w:tcBorders>
            <w:shd w:val="clear" w:color="auto" w:fill="CCE1EA"/>
            <w:tcMar>
              <w:top w:w="0" w:type="dxa"/>
              <w:left w:w="108" w:type="dxa"/>
              <w:bottom w:w="0" w:type="dxa"/>
              <w:right w:w="108" w:type="dxa"/>
            </w:tcMar>
          </w:tcPr>
          <w:p>
            <w:pPr>
              <w:pStyle w:val="Text9pBoldLeft"/>
              <w:rPr>
                <w:rFonts w:eastAsia="Verdana" w:cs="Verdana"/>
              </w:rPr>
            </w:pPr>
            <w:r>
              <w:t>САЛДО КЪМ 31.12.2017 г.</w:t>
            </w:r>
          </w:p>
        </w:tc>
        <w:tc>
          <w:tcPr>
            <w:tcW w:w="2551"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2552"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417"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САЛДО КЪМ 31.12.2018 г.</w:t>
            </w:r>
          </w:p>
        </w:tc>
        <w:tc>
          <w:tcPr>
            <w:tcW w:w="25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255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bl>
    <w:p>
      <w:pPr>
        <w:pStyle w:val="Textstand-alone"/>
        <w:sectPr>
          <w:headerReference w:type="even" r:id="rId321"/>
          <w:headerReference w:type="default" r:id="rId322"/>
          <w:footerReference w:type="even" r:id="rId323"/>
          <w:footerReference w:type="default" r:id="rId324"/>
          <w:headerReference w:type="first" r:id="rId325"/>
          <w:footerReference w:type="first" r:id="rId326"/>
          <w:pgSz w:w="11906" w:h="16838"/>
          <w:pgMar w:top="1134" w:right="1134" w:bottom="1134" w:left="1134" w:header="709" w:footer="709" w:gutter="0"/>
          <w:cols w:space="708"/>
          <w:docGrid w:linePitch="360"/>
        </w:sectPr>
      </w:pPr>
      <w:r>
        <w:t xml:space="preserve"> </w:t>
      </w:r>
      <w:bookmarkEnd w:id="166"/>
    </w:p>
    <w:p>
      <w:pPr>
        <w:pStyle w:val="FinancialYear"/>
        <w:rPr>
          <w:noProof/>
        </w:rPr>
      </w:pPr>
      <w:bookmarkStart w:id="168" w:name="_DMBM_14103"/>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169" w:name="_Toc9948400"/>
      <w:bookmarkStart w:id="170" w:name="_Toc9959664"/>
      <w:bookmarkStart w:id="171" w:name="_Toc16001696"/>
      <w:bookmarkStart w:id="172" w:name="_Toc17797631"/>
      <w:r>
        <w:t>ОКОНЧАТЕЛНИ ГОДИШНИ ОТЧЕТИ НА ДОВЕРИТЕЛНИЯ ФОНД НА ЕС ЗА АФРИКА ЗА 2018 г.</w:t>
      </w:r>
      <w:bookmarkEnd w:id="169"/>
      <w:bookmarkEnd w:id="170"/>
      <w:bookmarkEnd w:id="171"/>
      <w:bookmarkEnd w:id="172"/>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Следва да се отбележи, че поради закръглянето на цифрите в хиляди евро някои финансови данни в таблиците може да изглеждат грешни.</w:t>
      </w:r>
    </w:p>
    <w:p>
      <w:pPr>
        <w:pStyle w:val="TOPHEADERNOTE"/>
        <w:rPr>
          <w:noProof/>
        </w:rPr>
        <w:sectPr>
          <w:headerReference w:type="even" r:id="rId327"/>
          <w:headerReference w:type="default" r:id="rId328"/>
          <w:footerReference w:type="even" r:id="rId329"/>
          <w:footerReference w:type="default" r:id="rId330"/>
          <w:headerReference w:type="first" r:id="rId331"/>
          <w:footerReference w:type="first" r:id="rId332"/>
          <w:pgSz w:w="11906" w:h="16838"/>
          <w:pgMar w:top="1134" w:right="1134" w:bottom="1134" w:left="1134" w:header="709" w:footer="709" w:gutter="0"/>
          <w:cols w:space="708"/>
          <w:docGrid w:linePitch="360"/>
        </w:sectPr>
      </w:pPr>
      <w:r>
        <w:rPr>
          <w:noProof/>
        </w:rPr>
        <w:t xml:space="preserve"> </w:t>
      </w:r>
      <w:bookmarkEnd w:id="168"/>
    </w:p>
    <w:p>
      <w:pPr>
        <w:pStyle w:val="HEADERTITLE"/>
      </w:pPr>
      <w:bookmarkStart w:id="173" w:name="_Toc477366279"/>
      <w:bookmarkStart w:id="174" w:name="_DMBM_14205"/>
      <w:r>
        <w:t>ОБЩА ИНФОРМАЦИЯ ЗА ДОВЕРИТЕЛНИЯ ФОНД НА ЕС ЗА АФРИКА</w:t>
      </w:r>
      <w:bookmarkEnd w:id="173"/>
    </w:p>
    <w:p>
      <w:pPr>
        <w:pStyle w:val="Textstand-alone"/>
        <w:rPr>
          <w:b/>
          <w:color w:val="016794"/>
        </w:rPr>
      </w:pPr>
      <w:r>
        <w:rPr>
          <w:b/>
          <w:color w:val="016794"/>
        </w:rPr>
        <w:t>Обща информация относно доверителните фондове на Съюза</w:t>
      </w:r>
    </w:p>
    <w:p>
      <w:pPr>
        <w:pStyle w:val="Textstand-alone"/>
      </w:pPr>
      <w:r>
        <w:t>В съответствие с членове 234 и 235 от Финансовия регламент, приложим за общия бюджет на Съюза (ФР на ЕС)</w:t>
      </w:r>
      <w:r>
        <w:rPr>
          <w:rStyle w:val="FootnoteReference"/>
        </w:rPr>
        <w:footnoteReference w:id="6"/>
      </w:r>
      <w:r>
        <w:t xml:space="preserve"> и член 35 от Финансовия регламент, приложим за 11-ия ЕФР (ФР на ЕФР)</w:t>
      </w:r>
      <w:r>
        <w:rPr>
          <w:rStyle w:val="FootnoteReference"/>
        </w:rPr>
        <w:footnoteReference w:id="7"/>
      </w:r>
      <w:r>
        <w:t xml:space="preserve">, Европейската комисия може да създава доверителни фондове на Съюза за външни дейности („доверителни фондове на Съюза“). Доверителните фондове на Съюза се създават по силата на споразумение, сключено с други донори, за действия при спешни ситуации и след спешни ситуации, необходими за реагиране на криза или за тематични действия. </w:t>
      </w:r>
    </w:p>
    <w:p>
      <w:pPr>
        <w:pStyle w:val="Textstand-alone"/>
      </w:pPr>
      <w:r>
        <w:t>Доверителните фондове на Съюза се създават от Европейската комисия с решение след консултация или одобрение от Европейския парламент и Съвета. Това решение включва учредително споразумение с други донори.</w:t>
      </w:r>
    </w:p>
    <w:p>
      <w:pPr>
        <w:pStyle w:val="Textstand-alone"/>
      </w:pPr>
      <w:r>
        <w:t>Доверителните фондове на Съюза се създават и изпълняват само при следните условия:</w:t>
      </w:r>
    </w:p>
    <w:p>
      <w:pPr>
        <w:pStyle w:val="Textstand-alone"/>
        <w:numPr>
          <w:ilvl w:val="0"/>
          <w:numId w:val="21"/>
        </w:numPr>
        <w:spacing w:before="0" w:after="0"/>
        <w:ind w:left="1077"/>
      </w:pPr>
      <w:r>
        <w:t>намесата на Съюза има добавена стойност: целите на доверителните фондове на Съюза, по-специално поради своя мащаб или потенциални последици, могат да бъдат постигнати по-добре на равнището на Съюза, отколкото на национално равнище, а използването на съществуващите финансови инструменти не би било достатъчно за постигане на целите на политиката на Съюза;</w:t>
      </w:r>
    </w:p>
    <w:p>
      <w:pPr>
        <w:pStyle w:val="Textstand-alone"/>
        <w:numPr>
          <w:ilvl w:val="0"/>
          <w:numId w:val="21"/>
        </w:numPr>
        <w:spacing w:before="0" w:after="0"/>
        <w:ind w:left="1077"/>
      </w:pPr>
      <w:r>
        <w:t>доверителните фондове на Съюза осигуряват ясна политическа видимост на Съюза и управленски преимущества, както и по-добър контрол от страна на Съюза върху рисковете и плащането на вноските на Съюза и на другите донори;</w:t>
      </w:r>
    </w:p>
    <w:p>
      <w:pPr>
        <w:pStyle w:val="Textstand-alone"/>
        <w:numPr>
          <w:ilvl w:val="0"/>
          <w:numId w:val="21"/>
        </w:numPr>
        <w:spacing w:before="0" w:after="0"/>
        <w:ind w:left="1077"/>
      </w:pPr>
      <w:r>
        <w:t>доверителните фондове на Съюза не дублират други съществуващи пътища за финансиране или сходни инструменти, без да добавят нищо;</w:t>
      </w:r>
    </w:p>
    <w:p>
      <w:pPr>
        <w:pStyle w:val="Textstand-alone"/>
        <w:numPr>
          <w:ilvl w:val="0"/>
          <w:numId w:val="21"/>
        </w:numPr>
        <w:spacing w:before="0" w:after="0"/>
        <w:ind w:left="1077"/>
      </w:pPr>
      <w:r>
        <w:t>целите на доверителните фондове на Съюза съответстват на целите на инструмента на Съюза или на бюджетната позиция, от които се финансират.</w:t>
      </w:r>
    </w:p>
    <w:p>
      <w:pPr>
        <w:pStyle w:val="Textstand-alone"/>
      </w:pPr>
      <w:r>
        <w:t>За всеки доверителен фонд на Съюза се създава управителен съвет, председателстван от Комисията, с цел да се осигури справедливо представителство на донорите, както и с цел да се вземат решения за използването на средствата. Управителният съвет включва представител на всяка неучастваща държава членка като наблюдател. Правилата за състава на съвета и неговият вътрешен правилник се определят в учредителното споразумение на доверителния фонд на Съюза.</w:t>
      </w:r>
    </w:p>
    <w:p>
      <w:pPr>
        <w:pStyle w:val="Textstand-alone"/>
      </w:pPr>
      <w:r>
        <w:t>Доверителните фондове на Съюза се създават за ограничен срок, определен в тяхното учредително споразумение. Този срок може да бъде удължен при поискване от управителния съвет на доверителния фонд на Съюза и при представяне от страна на Комисията на доклад, който обосновава удължаването. Европейският парламент и/или Съветът могат да изискат от Комисията да спре бюджетните кредити за доверителния фонд или да преразгледа учредителния акт с оглед на неговата ликвидация.</w:t>
      </w:r>
    </w:p>
    <w:p>
      <w:pPr>
        <w:pStyle w:val="Textstand-alone"/>
      </w:pPr>
      <w:r>
        <w:t xml:space="preserve">Счетоводителят на Комисията изпълнява функциите на счетоводител на доверителните фондове на Съюза. Счетоводителят отговаря за определянето на счетоводните процедури и сметкоплана, които са общи за всички доверителни фондове на Съюза. Вътрешният одитор на Комисията, OLAF и Сметната палата упражняват спрямо доверителните фондове на Съюза същите правомощия като упражняваните от тях спрямо останалите извършвани от Комисията действия. Доверителните фондове на Съюза подлежат всяка година на независим външен одит. </w:t>
      </w:r>
    </w:p>
    <w:p>
      <w:pPr>
        <w:pStyle w:val="Textstand-alone"/>
        <w:rPr>
          <w:b/>
          <w:color w:val="016794"/>
        </w:rPr>
      </w:pPr>
      <w:r>
        <w:rPr>
          <w:b/>
          <w:color w:val="016794"/>
        </w:rPr>
        <w:t>Съществуващи доверителни фондове на ЕС</w:t>
      </w:r>
    </w:p>
    <w:p>
      <w:pPr>
        <w:pStyle w:val="Textstand-alone"/>
      </w:pPr>
      <w:r>
        <w:t xml:space="preserve"> Към днешна дата Комисията е създала четири доверителни фонда на ЕС:</w:t>
      </w:r>
    </w:p>
    <w:p>
      <w:pPr>
        <w:pStyle w:val="Textstand-alone"/>
        <w:spacing w:before="120" w:after="120"/>
      </w:pPr>
      <w:r>
        <w:t xml:space="preserve">     - </w:t>
      </w:r>
      <w:r>
        <w:rPr>
          <w:b/>
        </w:rPr>
        <w:t>Доверителен фонд на ЕС „Беку“</w:t>
      </w:r>
      <w:r>
        <w:t>, чиято цел е подпомагане на всички аспекти на излизането от кризата на Централноафриканската република и нейните усилия за възстановяване. Създаден на 15 юли 2014 г.;</w:t>
      </w:r>
    </w:p>
    <w:p>
      <w:pPr>
        <w:pStyle w:val="Textstand-alone"/>
        <w:spacing w:before="120" w:after="120"/>
      </w:pPr>
      <w:r>
        <w:t xml:space="preserve">     - </w:t>
      </w:r>
      <w:r>
        <w:rPr>
          <w:b/>
        </w:rPr>
        <w:t>Доверителен фонд на ЕС „Мадад“</w:t>
      </w:r>
      <w:r>
        <w:t xml:space="preserve"> — регионален доверителен фонд на Европейския съюз в отговор на кризата в Сирия. Създаден на 15 декември 2014 г.;</w:t>
      </w:r>
    </w:p>
    <w:p>
      <w:pPr>
        <w:pStyle w:val="Textstand-alone"/>
        <w:spacing w:before="120" w:after="120"/>
      </w:pPr>
      <w:r>
        <w:t xml:space="preserve">     - </w:t>
      </w:r>
      <w:r>
        <w:rPr>
          <w:b/>
        </w:rPr>
        <w:t>Доверителен фонд на ЕС за Африка</w:t>
      </w:r>
      <w:r>
        <w:t>; Извънреден доверителен фонд на Европейския съюз за стабилност и преодоляване на първопричините за незаконната миграция и разселването на хора в Африка. Създаден на 12 ноември 2015 г.;</w:t>
      </w:r>
    </w:p>
    <w:p>
      <w:pPr>
        <w:pStyle w:val="Textstand-alone"/>
        <w:spacing w:before="120" w:after="120"/>
      </w:pPr>
      <w:r>
        <w:t xml:space="preserve">     - </w:t>
      </w:r>
      <w:r>
        <w:rPr>
          <w:b/>
        </w:rPr>
        <w:t>Доверителен фонд на ЕС за Колумбия</w:t>
      </w:r>
      <w:r>
        <w:t>; за подпомагане на изпълнението на мирното споразумение в ранното възстановяване и стабилизиране след конфликти. Създаден на 12 декември 2016 г.</w:t>
      </w:r>
    </w:p>
    <w:p>
      <w:pPr>
        <w:pStyle w:val="Textstand-alone"/>
        <w:spacing w:before="120" w:after="120"/>
      </w:pPr>
      <w:r>
        <w:t>Допълнителна информация е на разположение на уебсайтовете на отделните доверителни фондове на ЕС:</w:t>
      </w:r>
    </w:p>
    <w:p>
      <w:pPr>
        <w:pStyle w:val="Textstand-alone"/>
        <w:spacing w:before="120" w:after="120"/>
      </w:pPr>
      <w:r>
        <w:t>„Беку“:</w:t>
      </w:r>
      <w:r>
        <w:tab/>
      </w:r>
      <w:hyperlink r:id="rId333">
        <w:r>
          <w:rPr>
            <w:rStyle w:val="Hyperlink"/>
          </w:rPr>
          <w:t>http://ec.europa.eu/europeaid/bekou-trust-fund-introduction_en</w:t>
        </w:r>
      </w:hyperlink>
    </w:p>
    <w:p>
      <w:pPr>
        <w:pStyle w:val="Textstand-alone"/>
        <w:spacing w:before="120" w:after="120"/>
        <w:rPr>
          <w:rStyle w:val="Hyperlink"/>
        </w:rPr>
      </w:pPr>
      <w:r>
        <w:t>„Мадад“:</w:t>
      </w:r>
      <w:r>
        <w:tab/>
      </w:r>
      <w:hyperlink r:id="rId334">
        <w:r>
          <w:rPr>
            <w:rStyle w:val="Hyperlink"/>
          </w:rPr>
          <w:t>http://ec.europa.eu/enlargement/neighbourhood/countries/syria/madad/index_en.htm</w:t>
        </w:r>
      </w:hyperlink>
    </w:p>
    <w:p>
      <w:pPr>
        <w:pStyle w:val="Textstand-alone"/>
        <w:spacing w:before="120" w:after="120"/>
      </w:pPr>
      <w:r>
        <w:t>Африка:</w:t>
      </w:r>
      <w:r>
        <w:tab/>
      </w:r>
      <w:hyperlink r:id="rId335">
        <w:r>
          <w:rPr>
            <w:rStyle w:val="Hyperlink"/>
          </w:rPr>
          <w:t>http://ec.europa.eu/europeaid/regions/africa/eu-emergency-trust-fund-africa_en</w:t>
        </w:r>
      </w:hyperlink>
    </w:p>
    <w:p>
      <w:pPr>
        <w:pStyle w:val="Textstand-alone"/>
        <w:spacing w:before="120" w:after="120"/>
      </w:pPr>
      <w:r>
        <w:t xml:space="preserve">Колумбия: </w:t>
      </w:r>
      <w:hyperlink r:id="rId336">
        <w:r>
          <w:rPr>
            <w:rStyle w:val="Hyperlink"/>
          </w:rPr>
          <w:t>http://ec.europa.eu/europeaid/eu-trust-fund-colombia_en</w:t>
        </w:r>
      </w:hyperlink>
    </w:p>
    <w:p>
      <w:pPr>
        <w:pStyle w:val="Textstand-alone"/>
        <w:spacing w:before="120" w:after="120"/>
        <w:rPr>
          <w:b/>
          <w:color w:val="016794"/>
        </w:rPr>
      </w:pPr>
      <w:r>
        <w:rPr>
          <w:b/>
          <w:color w:val="016794"/>
        </w:rPr>
        <w:t>Доверителен фонд на ЕС за Африка</w:t>
      </w:r>
    </w:p>
    <w:p>
      <w:pPr>
        <w:pStyle w:val="Textstand-alone"/>
        <w:spacing w:before="120" w:after="120"/>
      </w:pPr>
      <w:r>
        <w:t xml:space="preserve">Извънредният доверителен фонд на Европейския съюз за стабилност и преодоляване на първопричините за незаконната миграция и разселването на хора в Африка („ДФЕС Африка“) беше стартиран на 12 ноември 2015 г. по време на срещата на върха във Валета по въпросите на миграцията. Основните цели на този доверителен фонд са да подкрепя всички аспекти на стабилността и да допринася за по-доброто управление на миграцията, както и да преодолява първопричините за дестабилизацията, насилственото разселване и незаконната миграция, по-специално чрез насърчаване на устойчивостта, икономическите възможности, равните възможности, сигурността и развитието и чрез предотвратяване на нарушенията на правата на човека. </w:t>
      </w:r>
    </w:p>
    <w:p>
      <w:pPr>
        <w:pStyle w:val="Textstand-alone"/>
        <w:spacing w:before="120" w:after="120"/>
      </w:pPr>
      <w:r>
        <w:t>Доверителният фонд работи в три основни географски области, а именно регионът на Сахел и зоната около езерото Чад, Африканския рог и Северна Африка, но съседните на допустимите държави също могат да се възползват от проектите на доверителния фонд в зависимост от конкретния случай. Доверителният фонд е създаден за ограничен срок — до 31 декември 2020 г., за да се предостави краткосрочна и средносрочна реакция на предизвикателствата, пред които са изправени регионите. Доверителният фонд се управлява от Брюксел.</w:t>
      </w:r>
    </w:p>
    <w:p>
      <w:pPr>
        <w:pStyle w:val="Textstand-alone"/>
        <w:spacing w:before="120" w:after="120"/>
      </w:pPr>
      <w:r>
        <w:t xml:space="preserve">Съветът на доверителния фонд и оперативният комитет на ДФЕС Африка са съставени от представители на донорите и на Комисията, както и от представители на неучастващите държави членки, на органите на допустимите държави и на регионални организации като наблюдатели. </w:t>
      </w:r>
    </w:p>
    <w:p>
      <w:pPr>
        <w:pStyle w:val="Textstand-alone"/>
        <w:spacing w:before="120" w:after="120"/>
      </w:pPr>
      <w:r>
        <w:t>Управителният съвет определя и прави преглед на стратегията на доверителния фонд на ЕС. Управителният съвет заседава поне веднъж годишно.</w:t>
      </w:r>
    </w:p>
    <w:p>
      <w:pPr>
        <w:pStyle w:val="Textstand-alone"/>
        <w:spacing w:before="120" w:after="120"/>
      </w:pPr>
      <w:r>
        <w:t>Оперативният комитет разглежда, одобрява и надзирава изпълнението на действията, финансирани от фонда. Комитетът също одобрява годишните отчети и годишните доклади относно дейностите, финансирани от доверителния фонд.</w:t>
      </w:r>
    </w:p>
    <w:p>
      <w:pPr>
        <w:pStyle w:val="Textstand-alone"/>
        <w:spacing w:before="120" w:after="120"/>
        <w:rPr>
          <w:b/>
          <w:color w:val="016794"/>
        </w:rPr>
      </w:pPr>
      <w:r>
        <w:rPr>
          <w:b/>
          <w:color w:val="016794"/>
        </w:rPr>
        <w:t>Годишни отчети на Доверителния фонд на ЕС за Африка</w:t>
      </w:r>
    </w:p>
    <w:p>
      <w:pPr>
        <w:pStyle w:val="Textstand-alone"/>
        <w:spacing w:before="120" w:after="120"/>
      </w:pPr>
      <w:r>
        <w:t>В съответствие с член 7 от Споразумението за създаване на Извънреден доверителен фонд на Европейския съюз за стабилност и преодоляване на първопричините за незаконната миграция и разселването на хора в Африка и вътрешните му правила („Учредително споразумение“) годишните отчети се състоят от две части: 1) годишния финансов отчет, за който отговаря управителят на доверителния фонд на ЕС, и 2) годишните финансови отчети, изготвени от счетоводителя на Комисията, който, по силата на същите членове, е счетоводител и на доверителния фонд.</w:t>
      </w:r>
    </w:p>
    <w:p>
      <w:pPr>
        <w:pStyle w:val="Textstand-alone"/>
        <w:spacing w:before="120" w:after="120"/>
      </w:pPr>
      <w:r>
        <w:t xml:space="preserve">В съответствие с член 8 от Учредителното споразумение финансовите отчети се изготвят по счетоводните правила, приети от счетоводителя на Комисията (счетоводни правила на ЕС, ЕСП), които се основават на международните счетоводни стандарти за публичния сектор (МССПС). </w:t>
      </w:r>
    </w:p>
    <w:p>
      <w:pPr>
        <w:pStyle w:val="Textstand-alone"/>
        <w:spacing w:before="120" w:after="120"/>
      </w:pPr>
      <w:r>
        <w:t>Годишните отчети подлежат на независим външен одит, като окончателните годишни отчети се представят от управителя на доверителния фонд на ЕС и от счетоводителя на оперативния комитет за одобрение (член 8.3.4, буква в).</w:t>
      </w:r>
    </w:p>
    <w:p>
      <w:pPr>
        <w:rPr>
          <w:rFonts w:ascii="Verdana" w:hAnsi="Verdana"/>
          <w:noProof/>
          <w:sz w:val="18"/>
          <w:szCs w:val="18"/>
        </w:rPr>
      </w:pPr>
      <w:r>
        <w:rPr>
          <w:noProof/>
        </w:rPr>
        <w:br w:type="page"/>
      </w:r>
    </w:p>
    <w:p>
      <w:pPr>
        <w:pStyle w:val="Textstand-alone"/>
        <w:spacing w:before="120" w:after="120"/>
        <w:rPr>
          <w:b/>
          <w:color w:val="016794"/>
        </w:rPr>
      </w:pPr>
      <w:r>
        <w:rPr>
          <w:b/>
          <w:color w:val="016794"/>
        </w:rPr>
        <w:t>Основни моменти през годината</w:t>
      </w:r>
    </w:p>
    <w:p>
      <w:pPr>
        <w:pStyle w:val="Textstand-alone"/>
        <w:spacing w:before="200" w:after="120"/>
      </w:pPr>
      <w:r>
        <w:t>Към 31 декември 2018 г. средствата, обещани за ДФЕС Африка, възлизат на около 4,2 милиарда евро. Това включва около 3,7 милиарда евро от Европейския фонд за развитие (ЕФР) и финансовите инструменти на ЕС, включително инструмента за сътрудничество за развитие (ИСР), Европейския инструмент за съседство (ЕИС), фонд „Убежище, миграция и интеграция“ (ФУМИ) и финансирането от генерална дирекция „Европейска гражданска защита и европейски операции за хуманитарна помощ“ (ECHO), както и 489,5 милиона евро от държавите — членки на ЕС, и други донори (Швейцария и Норвегия).</w:t>
      </w:r>
    </w:p>
    <w:p>
      <w:pPr>
        <w:pStyle w:val="Textstand-alone"/>
        <w:spacing w:before="200" w:after="120"/>
      </w:pPr>
      <w:r>
        <w:t xml:space="preserve">През 2018 г. общите ресурси на ДФЕС Африка се увеличиха с 902 милиона евро, като тази сума включва нови ангажименти в размер на 674 милиона евро от ЕФР и 117 милиона евро от бюджета на ЕС. За ДФЕС Африка бяха поети 24 нови ангажимента от държави — членки на ЕС, и други донори в размер на 110 милиона евро (49 милиона евро за Сахел и езерото Чад, 47 милиона евро за Северна Африка и 14 милиона евро за Африканския рог). Всички ангажименти от държавите — членки на ЕС, и други донори, поети през 2018 г., плюс един неизпълнен ангажимент от 2017 г., бяха сертифицирани до края на 2018 г. В заключенията на Европейския съвет от 28 юни 2018 г. ЕС и неговите държави членки бяха призовани да предоставят допълнително финансиране на ДФЕС Африка. Като последващо действие на 6 юли Комисията прие решение за прехвърляне на 500 милиона евро от резерва за 11-ия ЕФР. </w:t>
      </w:r>
    </w:p>
    <w:p>
      <w:pPr>
        <w:pStyle w:val="Textstand-alone"/>
        <w:spacing w:before="200" w:after="120"/>
      </w:pPr>
      <w:r>
        <w:t>Що се отнася до степента на изпълнение на ДФЕС Африка през 2018 г., бяха приети 45 нови програми, както и 13 допълнения в трите региона, включително програми, обхващащи няколко региона (16 в Сахел/езерото Чад, 26 в Африканския рог, 9 в Северна Африка и 7 в няколко региона). В резултат на това към края на 2018 г. общият брой на програмите, одобрени от оперативните комитети, достигна 187 за обща сума от 3 590 милиона евро. Към края на 2018 г. договорите, подписани с партньорите по изпълнението, са достигнали 366 за обща сума от 2 461 милиона евро, от които 949,3 милиона евро само за нови оперативни договори за 2018 г. В резултат на измененията на старите договори общата оперативна договорена сума през 2018 г. достигна 959,9 милиона евро. Процентът на договаряне към края на 2018 г. се е подобрил в сравнение с процента на договаряне към края на 2017 г. (69 % подписани договори за одобреното финансиране спрямо 62,9 %).</w:t>
      </w:r>
    </w:p>
    <w:p>
      <w:pPr>
        <w:pStyle w:val="Textstand-alone"/>
        <w:spacing w:before="200" w:after="120"/>
      </w:pPr>
      <w:r>
        <w:t xml:space="preserve">През 2018 г. ДФЕС Африка допълнително увеличи усилията си, заедно със своите африкански и европейски партньори, за насърчаване на стабилността и допринасяне за подобряване на управлението на миграцията в регионите на Сахел и езерото Чад, Африканския рог и Северна Африка. Той продължи да преодолява първопричините за дестабилизацията, принудителното разселване и незаконната миграция, като насърчава развитието и сигурността. През третата си година ДФЕС Африка доказа в по-голяма степен своята добавена стойност като бързо и ефективно средство за изпълнение, което улеснява политическия диалог с държавите партньори, прилага новаторски подходи и води до конкретни резултати чрез обединяване на финансиране и експертен опит от различни заинтересовани страни. </w:t>
      </w:r>
    </w:p>
    <w:p>
      <w:pPr>
        <w:pStyle w:val="Textstand-alone"/>
        <w:spacing w:before="200" w:after="120"/>
      </w:pPr>
      <w:r>
        <w:t>Чрез ДФЕС Африка над 5,3 милиона уязвими лица са се възползвали от основни услуги и програми за продоволствена сигурност и изхранване. Над 150 000 души са били обхванати от информационни кампании относно практиките за изграждане на устойчивост и основните права, а 96 000 мигранти или потенциални мигранти са били обхванати от информационна кампания за миграцията и рисковете, свързани с незаконната миграция. По линия на инициативата на ЕС и МОМ ДФЕС Африка е подпомогнал доброволното връщане на 42 628 уязвими мигранти главно от Либия (18 329) и Нигер (17 226), а над 58 000 уязвими мигранти са били подпомогнати след завръщането си в своята държава на произход. По линия на програмата за по-добро управление на миграцията само в региона на Африканския рог ДФЕС Африка вече е помогнал почти 11 000 мигранти и принудително разселени лица и е обучил близо 1 600 души в областта на управлението на миграцията.</w:t>
      </w:r>
    </w:p>
    <w:p>
      <w:pPr>
        <w:pStyle w:val="Textstand-alone"/>
        <w:spacing w:before="200" w:after="160"/>
      </w:pPr>
      <w:r>
        <w:t>Във финансовите отчети въздействието на тази увеличена дейност и на новите договори е най-видимо в:</w:t>
      </w:r>
    </w:p>
    <w:p>
      <w:pPr>
        <w:pStyle w:val="Textstand-alone"/>
        <w:numPr>
          <w:ilvl w:val="0"/>
          <w:numId w:val="22"/>
        </w:numPr>
        <w:spacing w:before="0" w:after="0"/>
      </w:pPr>
      <w:r>
        <w:t>Предварителното финансиране: увеличение с 57 110 000 EUR, тъй като са изплатени аванси по новите договори;</w:t>
      </w:r>
    </w:p>
    <w:p>
      <w:pPr>
        <w:pStyle w:val="Textstand-alone"/>
        <w:numPr>
          <w:ilvl w:val="0"/>
          <w:numId w:val="22"/>
        </w:numPr>
        <w:spacing w:before="0" w:after="0"/>
      </w:pPr>
      <w:r>
        <w:t>Задълженията и начислените разходи: увеличение с 81 753 000 EUR, тъй като са обработени повече декларации за разходи, но също така трябва да бъдат натрупани суми за повече разходи;</w:t>
      </w:r>
    </w:p>
    <w:p>
      <w:pPr>
        <w:pStyle w:val="Textstand-alone"/>
        <w:numPr>
          <w:ilvl w:val="0"/>
          <w:numId w:val="22"/>
        </w:numPr>
        <w:spacing w:before="0" w:after="0"/>
      </w:pPr>
      <w:r>
        <w:t>Разходите: увеличение от 279 299 000 EUR през 2017 г. на 576 808 000 EUR през 2018 г., тъй като доверителният фонд е в третата година от своето съществуване и много повече договори са в процес на изпълнение;</w:t>
      </w:r>
    </w:p>
    <w:p>
      <w:pPr>
        <w:pStyle w:val="Textstand-alone"/>
        <w:numPr>
          <w:ilvl w:val="0"/>
          <w:numId w:val="22"/>
        </w:numPr>
        <w:spacing w:before="0" w:after="0"/>
      </w:pPr>
      <w:r>
        <w:t xml:space="preserve">Непогасените поети задължения, които все още не са отчетени като разход, нараснаха от 926 139 000 EUR на 1 310 069 000 EUR в резултат на новите договори. </w:t>
      </w:r>
    </w:p>
    <w:bookmarkEnd w:id="174"/>
    <w:p>
      <w:pPr>
        <w:pStyle w:val="Textstand-alone"/>
        <w:spacing w:before="0" w:after="0"/>
        <w:ind w:left="720"/>
        <w:sectPr>
          <w:headerReference w:type="even" r:id="rId337"/>
          <w:headerReference w:type="default" r:id="rId338"/>
          <w:footerReference w:type="even" r:id="rId339"/>
          <w:footerReference w:type="default" r:id="rId340"/>
          <w:headerReference w:type="first" r:id="rId341"/>
          <w:footerReference w:type="first" r:id="rId342"/>
          <w:pgSz w:w="11906" w:h="16838"/>
          <w:pgMar w:top="1134" w:right="1134" w:bottom="1134" w:left="1134" w:header="709" w:footer="709" w:gutter="0"/>
          <w:cols w:space="708"/>
          <w:docGrid w:linePitch="360"/>
        </w:sectPr>
      </w:pPr>
    </w:p>
    <w:p>
      <w:pPr>
        <w:pStyle w:val="HEADERTITLE1"/>
      </w:pPr>
      <w:bookmarkStart w:id="175" w:name="_Toc9948401"/>
      <w:bookmarkStart w:id="176" w:name="_Toc17797632"/>
      <w:bookmarkStart w:id="177" w:name="_DMBM_14206"/>
      <w:r>
        <w:t>СЧЕТОВОДЕН БАЛАНС</w:t>
      </w:r>
      <w:bookmarkEnd w:id="175"/>
      <w:bookmarkEnd w:id="17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8" w:name="DOC_TBL00054_1_1"/>
            <w:bookmarkEnd w:id="178"/>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 хиляди евро</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 г.</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 г.</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НЕТЕКУЩИ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Предварително финансиране</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34 144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52 990</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34 144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52 990</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ТЕКУЩИ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Предварително финансиране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273 214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197 258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по операции с размяна и средства, подлежащи на събиране, по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16 656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3 020</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 xml:space="preserve">Пари и парични еквиваленти </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146 864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162 571</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436 734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362 849</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ОБЩО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470 878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415 838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НЕТЕКУЩИ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(369 999)</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(396 713)</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(369 999)</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(396 713)</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ТЕКУЩИ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Задължения</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(12 733)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(526)</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Начислени разходи и приходи за бъдещи периоди</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(88 146)</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(18 600)</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(100 879)</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(19 126)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ОБЩО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(470 878)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(415 838)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ФОНДОВЕ И РЕЗЕРВИ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Натрупан излишък</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r>
    </w:tbl>
    <w:p>
      <w:pPr>
        <w:pStyle w:val="Textstand-alone"/>
      </w:pPr>
    </w:p>
    <w:p>
      <w:pPr>
        <w:pStyle w:val="Textstand-alone"/>
        <w:sectPr>
          <w:headerReference w:type="even" r:id="rId343"/>
          <w:headerReference w:type="default" r:id="rId344"/>
          <w:footerReference w:type="even" r:id="rId345"/>
          <w:footerReference w:type="default" r:id="rId346"/>
          <w:headerReference w:type="first" r:id="rId347"/>
          <w:footerReference w:type="first" r:id="rId348"/>
          <w:pgSz w:w="11906" w:h="16838"/>
          <w:pgMar w:top="1134" w:right="1134" w:bottom="1134" w:left="1134" w:header="709" w:footer="709" w:gutter="0"/>
          <w:cols w:space="708"/>
          <w:docGrid w:linePitch="360"/>
        </w:sectPr>
      </w:pPr>
      <w:r>
        <w:rPr>
          <w:i/>
        </w:rPr>
        <w:t xml:space="preserve"> </w:t>
      </w:r>
      <w:bookmarkEnd w:id="177"/>
    </w:p>
    <w:p>
      <w:pPr>
        <w:pStyle w:val="HEADERTITLE1"/>
      </w:pPr>
      <w:bookmarkStart w:id="179" w:name="_Toc9948402"/>
      <w:bookmarkStart w:id="180" w:name="_Toc17797633"/>
      <w:bookmarkStart w:id="181" w:name="_DMBM_14207"/>
      <w:r>
        <w:t>ОТЧЕТ ЗА ФИНАНСОВИЯ РЕЗУЛТАТ</w:t>
      </w:r>
      <w:bookmarkEnd w:id="179"/>
      <w:bookmarkEnd w:id="18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2" w:name="DOC_TBL00055_1_1"/>
            <w:bookmarkEnd w:id="18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хиляди евро</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 г.</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 г.</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ПРИХОДИ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 от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Приходи от дарения</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576 802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279 027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576 802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279 027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 от операции с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приходи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Други приходи от размяна</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271</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приходи</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576 808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279 299</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РАЗХОДИ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Оперативни разходи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(561 761)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(271 669)</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Други разходи</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(15 047)</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(7 630)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разходи</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(576 808)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(279 299)</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ИКОНОМИЧЕСКИ РЕЗУЛТАТ ЗА ГОДИНАТА</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r>
    </w:tbl>
    <w:p>
      <w:pPr>
        <w:rPr>
          <w:noProof/>
        </w:rPr>
      </w:pPr>
    </w:p>
    <w:p>
      <w:pPr>
        <w:pStyle w:val="Textstand-alone"/>
        <w:sectPr>
          <w:headerReference w:type="even" r:id="rId349"/>
          <w:headerReference w:type="default" r:id="rId350"/>
          <w:footerReference w:type="even" r:id="rId351"/>
          <w:footerReference w:type="default" r:id="rId352"/>
          <w:headerReference w:type="first" r:id="rId353"/>
          <w:footerReference w:type="first" r:id="rId354"/>
          <w:pgSz w:w="11906" w:h="16838"/>
          <w:pgMar w:top="1134" w:right="1134" w:bottom="1134" w:left="1134" w:header="709" w:footer="709" w:gutter="0"/>
          <w:cols w:space="708"/>
          <w:docGrid w:linePitch="360"/>
        </w:sectPr>
      </w:pPr>
      <w:r>
        <w:t xml:space="preserve"> </w:t>
      </w:r>
      <w:bookmarkEnd w:id="181"/>
    </w:p>
    <w:p>
      <w:pPr>
        <w:pStyle w:val="HEADERTITLE1"/>
      </w:pPr>
      <w:bookmarkStart w:id="183" w:name="_Toc9948403"/>
      <w:bookmarkStart w:id="184" w:name="_Toc17797634"/>
      <w:bookmarkStart w:id="185" w:name="_DMBM_14204"/>
      <w:r>
        <w:t>ОТЧЕТ ЗА ПАРИЧНИТЕ ПОТОЦИ</w:t>
      </w:r>
      <w:bookmarkEnd w:id="183"/>
      <w:bookmarkEnd w:id="184"/>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6" w:name="DOC_TBL00056_1_1"/>
            <w:bookmarkEnd w:id="18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хиляди евро</w:t>
            </w:r>
          </w:p>
        </w:tc>
      </w:tr>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 г.</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 г.</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Оперативни дейности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предварителното 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(57 110)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(134 662)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вземанията по операции с размяна и на средствата, подлежащи на събиране, по операции без размяна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(13 636)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6 456</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финансовите пасиви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(26 713)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258 211</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задълженията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12 207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(177)</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начислените разходи и приходите за бъдещи периоди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69 546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17 864</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ПАРИЧНИ ПОТОЦИ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(15 706)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147 691</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Нетно увеличение/(намаление) на парите и паричните еквиваленти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(15 706)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147 691</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началото на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162 571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14 879</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края на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146 864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162 571</w:t>
            </w:r>
          </w:p>
        </w:tc>
      </w:tr>
    </w:tbl>
    <w:p>
      <w:pPr>
        <w:pStyle w:val="Textstand-alone"/>
        <w:sectPr>
          <w:headerReference w:type="even" r:id="rId355"/>
          <w:headerReference w:type="default" r:id="rId356"/>
          <w:footerReference w:type="even" r:id="rId357"/>
          <w:footerReference w:type="default" r:id="rId358"/>
          <w:headerReference w:type="first" r:id="rId359"/>
          <w:footerReference w:type="first" r:id="rId360"/>
          <w:pgSz w:w="11906" w:h="16838"/>
          <w:pgMar w:top="1134" w:right="1134" w:bottom="1134" w:left="1134" w:header="709" w:footer="709" w:gutter="0"/>
          <w:cols w:space="708"/>
          <w:docGrid w:linePitch="360"/>
        </w:sectPr>
      </w:pPr>
      <w:r>
        <w:t xml:space="preserve"> </w:t>
      </w:r>
      <w:bookmarkEnd w:id="185"/>
    </w:p>
    <w:p>
      <w:pPr>
        <w:pStyle w:val="HEADERTITLE1"/>
      </w:pPr>
      <w:bookmarkStart w:id="187" w:name="_Toc9948404"/>
      <w:bookmarkStart w:id="188" w:name="_Toc17797635"/>
      <w:bookmarkStart w:id="189" w:name="_DMBM_14208"/>
      <w:r>
        <w:t>ОТЧЕТ ЗА ПРОМЕНИТЕ В НЕТНИТЕ АКТИВИ</w:t>
      </w:r>
      <w:bookmarkEnd w:id="187"/>
      <w:bookmarkEnd w:id="18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0" w:name="DOC_TBL00057_1_1"/>
            <w:bookmarkEnd w:id="190"/>
          </w:p>
        </w:tc>
        <w:tc>
          <w:tcPr>
            <w:tcW w:w="2551" w:type="dxa"/>
            <w:tcBorders>
              <w:top w:val="nil"/>
              <w:left w:val="nil"/>
              <w:bottom w:val="nil"/>
              <w:right w:val="nil"/>
            </w:tcBorders>
            <w:shd w:val="clear" w:color="auto" w:fill="auto"/>
            <w:tcMar>
              <w:top w:w="0" w:type="dxa"/>
              <w:left w:w="108" w:type="dxa"/>
              <w:bottom w:w="0" w:type="dxa"/>
              <w:right w:w="108" w:type="dxa"/>
            </w:tcMar>
          </w:tcPr>
          <w:p>
            <w:pPr>
              <w:jc w:val="both"/>
              <w:rPr>
                <w:noProof/>
              </w:rPr>
            </w:pPr>
          </w:p>
        </w:tc>
        <w:tc>
          <w:tcPr>
            <w:tcW w:w="2552" w:type="dxa"/>
            <w:tcBorders>
              <w:top w:val="nil"/>
              <w:left w:val="nil"/>
              <w:bottom w:val="nil"/>
              <w:right w:val="nil"/>
            </w:tcBorders>
            <w:shd w:val="clear" w:color="auto" w:fill="auto"/>
            <w:tcMar>
              <w:top w:w="0" w:type="dxa"/>
              <w:left w:w="108" w:type="dxa"/>
              <w:bottom w:w="0" w:type="dxa"/>
              <w:right w:w="108" w:type="dxa"/>
            </w:tcMar>
          </w:tcPr>
          <w:p>
            <w:pPr>
              <w:jc w:val="both"/>
              <w:rPr>
                <w:noProof/>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хиляди евро</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Натрупан излишък/</w:t>
            </w:r>
          </w:p>
          <w:p>
            <w:pPr>
              <w:pStyle w:val="Heading10pNormalRight025"/>
              <w:jc w:val="center"/>
              <w:rPr>
                <w:rFonts w:eastAsia="Verdana" w:cs="Verdana"/>
              </w:rPr>
            </w:pPr>
            <w:r>
              <w:t>(дефицит)</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Икономически резултат за годината</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Нетни активи</w:t>
            </w:r>
          </w:p>
        </w:tc>
      </w:tr>
      <w:tr>
        <w:trPr>
          <w:cantSplit/>
        </w:trPr>
        <w:tc>
          <w:tcPr>
            <w:tcW w:w="3227" w:type="dxa"/>
            <w:tcBorders>
              <w:top w:val="nil"/>
              <w:left w:val="nil"/>
              <w:bottom w:val="single" w:sz="4" w:space="0" w:color="016794"/>
              <w:right w:val="nil"/>
            </w:tcBorders>
            <w:shd w:val="clear" w:color="auto" w:fill="CCE1EA"/>
            <w:tcMar>
              <w:top w:w="0" w:type="dxa"/>
              <w:left w:w="108" w:type="dxa"/>
              <w:bottom w:w="0" w:type="dxa"/>
              <w:right w:w="108" w:type="dxa"/>
            </w:tcMar>
          </w:tcPr>
          <w:p>
            <w:pPr>
              <w:pStyle w:val="Text9pBoldLeft"/>
              <w:rPr>
                <w:rFonts w:eastAsia="Verdana" w:cs="Verdana"/>
              </w:rPr>
            </w:pPr>
            <w:r>
              <w:t>САЛДО КЪМ 31.12.2017 г.</w:t>
            </w:r>
          </w:p>
        </w:tc>
        <w:tc>
          <w:tcPr>
            <w:tcW w:w="2551"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2552"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417"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САЛДО КЪМ 31.12.2018 г.</w:t>
            </w:r>
          </w:p>
        </w:tc>
        <w:tc>
          <w:tcPr>
            <w:tcW w:w="25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255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bl>
    <w:p>
      <w:pPr>
        <w:pStyle w:val="Textstand-alone"/>
        <w:sectPr>
          <w:headerReference w:type="even" r:id="rId361"/>
          <w:headerReference w:type="default" r:id="rId362"/>
          <w:footerReference w:type="even" r:id="rId363"/>
          <w:footerReference w:type="default" r:id="rId364"/>
          <w:headerReference w:type="first" r:id="rId365"/>
          <w:footerReference w:type="first" r:id="rId366"/>
          <w:pgSz w:w="11906" w:h="16838"/>
          <w:pgMar w:top="1134" w:right="1134" w:bottom="1134" w:left="1134" w:header="709" w:footer="709" w:gutter="0"/>
          <w:cols w:space="708"/>
          <w:docGrid w:linePitch="360"/>
        </w:sectPr>
      </w:pPr>
      <w:r>
        <w:t xml:space="preserve"> </w:t>
      </w:r>
      <w:bookmarkEnd w:id="189"/>
    </w:p>
    <w:p>
      <w:pPr>
        <w:pStyle w:val="FinancialYear"/>
        <w:rPr>
          <w:noProof/>
        </w:rPr>
      </w:pPr>
      <w:bookmarkStart w:id="191" w:name="_DMBM_14123"/>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192" w:name="_Toc9948405"/>
      <w:bookmarkStart w:id="193" w:name="_Toc9959665"/>
      <w:bookmarkStart w:id="194" w:name="_Toc16001697"/>
      <w:bookmarkStart w:id="195" w:name="_Toc17797636"/>
      <w:r>
        <w:t>КОНСОЛИДИРАНИ ФИНАНСОВИ ОТЧЕТИ НА ЕФР И ДОВЕРИТЕЛНИТЕ ФОНДОВЕ НА ЕС</w:t>
      </w:r>
      <w:bookmarkEnd w:id="192"/>
      <w:bookmarkEnd w:id="193"/>
      <w:bookmarkEnd w:id="194"/>
      <w:bookmarkEnd w:id="195"/>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Следва да се отбележи, че поради закръглянето на цифрите в милиони евро някои финансови данни в таблиците може да изглеждат грешни.</w:t>
      </w:r>
    </w:p>
    <w:p>
      <w:pPr>
        <w:pStyle w:val="TOPHEADERNOTE"/>
        <w:rPr>
          <w:noProof/>
        </w:rPr>
        <w:sectPr>
          <w:headerReference w:type="even" r:id="rId367"/>
          <w:headerReference w:type="default" r:id="rId368"/>
          <w:footerReference w:type="even" r:id="rId369"/>
          <w:footerReference w:type="default" r:id="rId370"/>
          <w:headerReference w:type="first" r:id="rId371"/>
          <w:footerReference w:type="first" r:id="rId372"/>
          <w:pgSz w:w="11906" w:h="16838"/>
          <w:pgMar w:top="1134" w:right="1134" w:bottom="1134" w:left="1134" w:header="709" w:footer="709" w:gutter="0"/>
          <w:cols w:space="708"/>
          <w:docGrid w:linePitch="360"/>
        </w:sectPr>
      </w:pPr>
      <w:r>
        <w:rPr>
          <w:noProof/>
        </w:rPr>
        <w:t xml:space="preserve"> </w:t>
      </w:r>
      <w:bookmarkEnd w:id="191"/>
    </w:p>
    <w:p>
      <w:pPr>
        <w:pStyle w:val="HEADERTITLE1"/>
      </w:pPr>
      <w:bookmarkStart w:id="196" w:name="_Toc9948406"/>
      <w:bookmarkStart w:id="197" w:name="_Toc17797637"/>
      <w:bookmarkStart w:id="198" w:name="_DMBM_14116"/>
      <w:r>
        <w:t>КОНСОЛИДИРАН СЧЕТОВОДЕН БАЛАНС</w:t>
      </w:r>
      <w:bookmarkEnd w:id="196"/>
      <w:bookmarkEnd w:id="197"/>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9" w:name="DOC_TBL00058_1_1"/>
            <w:bookmarkEnd w:id="199"/>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 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 г.</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 г.</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НЕТЕКУЩИ АКТИВИ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Предварително финансиране</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924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636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ТЕКУЩИ АКТИВИ</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Предварително 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1 751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по операции с размяна и средства, подлежащи на събиране, по операции без размяна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Пари и парични еквиваленти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2 455</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2 369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 АКТИВИ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3 379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3 005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НЕТЕКУЩИ ПАСИВИ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Провизии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(229)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(296)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ТЕКУЩИ ПАСИВИ</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Задължения</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Начислени разходи и приходи за бъдещи периоди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(1 374)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(755)</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(1 629)</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(1 319)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 ПАСИВИ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(1 858)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(1 615)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АКТИВИ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1 521</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1 389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ФОНДОВЕ И РЕЗЕРВИ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Поискан капитал на фонда — активни ЕФР</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50 423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46 173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Поискан капитал на фонда от пренесени закрити ЕФР</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пренесен от предходни години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(47 037)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(43 219)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(3 818)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АКТИВИ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1 521</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1 389</w:t>
            </w:r>
          </w:p>
        </w:tc>
      </w:tr>
    </w:tbl>
    <w:p>
      <w:pPr>
        <w:pStyle w:val="Textstand-alone"/>
        <w:sectPr>
          <w:headerReference w:type="even" r:id="rId373"/>
          <w:headerReference w:type="default" r:id="rId374"/>
          <w:footerReference w:type="even" r:id="rId375"/>
          <w:footerReference w:type="default" r:id="rId376"/>
          <w:headerReference w:type="first" r:id="rId377"/>
          <w:footerReference w:type="first" r:id="rId378"/>
          <w:pgSz w:w="11906" w:h="16838"/>
          <w:pgMar w:top="1134" w:right="1134" w:bottom="1134" w:left="1134" w:header="709" w:footer="709" w:gutter="0"/>
          <w:cols w:space="708"/>
          <w:docGrid w:linePitch="360"/>
        </w:sectPr>
      </w:pPr>
      <w:r>
        <w:t xml:space="preserve"> </w:t>
      </w:r>
      <w:bookmarkEnd w:id="198"/>
    </w:p>
    <w:p>
      <w:pPr>
        <w:pStyle w:val="HEADERTITLE1"/>
      </w:pPr>
      <w:bookmarkStart w:id="200" w:name="_Toc9948407"/>
      <w:bookmarkStart w:id="201" w:name="_Toc17797638"/>
      <w:bookmarkStart w:id="202" w:name="_DMBM_14152"/>
      <w:r>
        <w:t>КОНСОЛИДИРАН ОТЧЕТ ЗА ФИНАНСОВИЯ РЕЗУЛТАТ</w:t>
      </w:r>
      <w:bookmarkEnd w:id="200"/>
      <w:bookmarkEnd w:id="201"/>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3" w:name="DOC_TBL00059_1_1"/>
            <w:bookmarkEnd w:id="20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 г.</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 г.</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 от операции без размяна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Дейности по събиране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Приходи от дарения за доверителните фондове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303</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194</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307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255</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 от операции с размяна</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приходи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Indented"/>
              <w:ind w:left="0"/>
              <w:rPr>
                <w:rFonts w:eastAsia="Verdana" w:cs="Verdana"/>
              </w:rPr>
            </w:pPr>
            <w:r>
              <w:t>Други приходи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26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приходи</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364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281</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РАЗХОДИ</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Инструменти за помощ</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(3 747)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(3 585)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направени от доверителните фондове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за съфинансиране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разходи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 разходи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разходи</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(4 482)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(4 099)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ИКОНОМИЧЕСКИ РЕЗУЛТАТ ЗА ГОДИНАТА</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(4 118)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(3 818)</w:t>
            </w:r>
          </w:p>
        </w:tc>
      </w:tr>
    </w:tbl>
    <w:p>
      <w:pPr>
        <w:pStyle w:val="Textstand-alone"/>
        <w:sectPr>
          <w:headerReference w:type="even" r:id="rId379"/>
          <w:headerReference w:type="default" r:id="rId380"/>
          <w:footerReference w:type="even" r:id="rId381"/>
          <w:footerReference w:type="default" r:id="rId382"/>
          <w:headerReference w:type="first" r:id="rId383"/>
          <w:footerReference w:type="first" r:id="rId384"/>
          <w:pgSz w:w="11906" w:h="16838"/>
          <w:pgMar w:top="1134" w:right="1134" w:bottom="1134" w:left="1134" w:header="709" w:footer="709" w:gutter="0"/>
          <w:cols w:space="708"/>
          <w:docGrid w:linePitch="360"/>
        </w:sectPr>
      </w:pPr>
      <w:r>
        <w:t xml:space="preserve"> </w:t>
      </w:r>
      <w:bookmarkEnd w:id="202"/>
    </w:p>
    <w:p>
      <w:pPr>
        <w:pStyle w:val="HEADERTITLE1"/>
      </w:pPr>
      <w:bookmarkStart w:id="204" w:name="_Toc9948408"/>
      <w:bookmarkStart w:id="205" w:name="_Toc17797639"/>
      <w:bookmarkStart w:id="206" w:name="_DMBM_14073"/>
      <w:r>
        <w:t>КОНСОЛИДИРАН ОТЧЕТ ЗА ПАРИЧНИТЕ ПОТОЦИ</w:t>
      </w:r>
      <w:bookmarkEnd w:id="204"/>
      <w:bookmarkEnd w:id="205"/>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7" w:name="DOC_TBL00060_1_1"/>
            <w:bookmarkEnd w:id="20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 г.</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 г.</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(4 118)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(3 818)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Оперативни дейности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 на капитала — вноски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3 850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вноските в доверителните фондове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предварителното 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вземанията по операции с размяна и на средствата, подлежащи на събиране, по операции без размяна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финансовите пасиви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задълженията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начислените разходи и приходите за бъдещи периоди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ПАРИЧНИ ПОТОЦИ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(188)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Нетно увеличение/(намаление) на парите и паричните еквиваленти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началото на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края на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550</w:t>
            </w:r>
          </w:p>
        </w:tc>
      </w:tr>
    </w:tbl>
    <w:p>
      <w:pPr>
        <w:pStyle w:val="Textstand-alone"/>
        <w:sectPr>
          <w:headerReference w:type="even" r:id="rId385"/>
          <w:headerReference w:type="default" r:id="rId386"/>
          <w:footerReference w:type="even" r:id="rId387"/>
          <w:footerReference w:type="default" r:id="rId388"/>
          <w:headerReference w:type="first" r:id="rId389"/>
          <w:footerReference w:type="first" r:id="rId390"/>
          <w:pgSz w:w="11906" w:h="16838"/>
          <w:pgMar w:top="1134" w:right="1134" w:bottom="1134" w:left="1134" w:header="709" w:footer="709" w:gutter="0"/>
          <w:cols w:space="708"/>
          <w:docGrid w:linePitch="360"/>
        </w:sectPr>
      </w:pPr>
      <w:r>
        <w:t xml:space="preserve"> </w:t>
      </w:r>
      <w:bookmarkEnd w:id="206"/>
    </w:p>
    <w:p>
      <w:pPr>
        <w:pStyle w:val="HEADERTITLE1"/>
      </w:pPr>
      <w:bookmarkStart w:id="208" w:name="_Toc9948409"/>
      <w:bookmarkStart w:id="209" w:name="_Toc17797640"/>
      <w:bookmarkStart w:id="210" w:name="_DMBM_14122"/>
      <w:r>
        <w:t>КОНСОЛИДИРАН ОТЧЕТ ЗА ПРОМЕНИТЕ В НЕТНИТЕ АКТИВИ</w:t>
      </w:r>
      <w:bookmarkEnd w:id="208"/>
      <w:bookmarkEnd w:id="209"/>
    </w:p>
    <w:p>
      <w:pPr>
        <w:pStyle w:val="HEADERTABLE"/>
        <w:rPr>
          <w:noProof/>
        </w:rPr>
      </w:pPr>
      <w:r>
        <w:rPr>
          <w:noProof/>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701"/>
        <w:gridCol w:w="1701"/>
        <w:gridCol w:w="1701"/>
        <w:gridCol w:w="2055"/>
        <w:gridCol w:w="2056"/>
      </w:tblGrid>
      <w:tr>
        <w:tc>
          <w:tcPr>
            <w:tcW w:w="365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11" w:name="DOC_TBL00061_1_1"/>
            <w:bookmarkEnd w:id="211"/>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437"/>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 активни ЕФР (A)</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Непоискани средства — активни ЕФР (B)</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 активни ЕФР (C) = (A)-(B)</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Натрупани резерви (D)</w:t>
            </w:r>
          </w:p>
        </w:tc>
        <w:tc>
          <w:tcPr>
            <w:tcW w:w="205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от пренесени закрити ЕФР (E)</w:t>
            </w:r>
          </w:p>
        </w:tc>
        <w:tc>
          <w:tcPr>
            <w:tcW w:w="205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Общо нетни активи (C)+(D)+(E)</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САЛДО КЪМ 31.12.2016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73 464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31 140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42 323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(43 219)</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1 357</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 на капитала — вноски</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4 050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Възстановяване на държавите членки</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(3 818)</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(3 818)</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САЛДО КЪМ 31.12.2017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73 264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27 090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46 173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(47 037)</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1 389</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 на капитала — вноски</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4 250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(4 118)</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(4 118)</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САЛДО КЪМ 31.12.2018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73 264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22 840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50 423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(51 155)</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1 521</w:t>
            </w:r>
          </w:p>
        </w:tc>
      </w:tr>
    </w:tbl>
    <w:p>
      <w:pPr>
        <w:pStyle w:val="Textstand-alone"/>
        <w:sectPr>
          <w:headerReference w:type="even" r:id="rId391"/>
          <w:headerReference w:type="default" r:id="rId392"/>
          <w:footerReference w:type="even" r:id="rId393"/>
          <w:footerReference w:type="default" r:id="rId394"/>
          <w:headerReference w:type="first" r:id="rId395"/>
          <w:footerReference w:type="first" r:id="rId396"/>
          <w:pgSz w:w="16838" w:h="11906" w:orient="landscape"/>
          <w:pgMar w:top="1134" w:right="1134" w:bottom="1134" w:left="1134" w:header="708" w:footer="708" w:gutter="0"/>
          <w:cols w:space="708"/>
          <w:docGrid w:linePitch="360"/>
        </w:sectPr>
      </w:pPr>
      <w:r>
        <w:t xml:space="preserve"> </w:t>
      </w:r>
      <w:bookmarkEnd w:id="210"/>
    </w:p>
    <w:p>
      <w:pPr>
        <w:pStyle w:val="FinancialYear"/>
        <w:rPr>
          <w:noProof/>
        </w:rPr>
      </w:pPr>
      <w:bookmarkStart w:id="212" w:name="_DMBM_14151"/>
    </w:p>
    <w:p>
      <w:pPr>
        <w:pStyle w:val="FinancialYear"/>
        <w:rPr>
          <w:noProof/>
        </w:rPr>
      </w:pPr>
    </w:p>
    <w:p>
      <w:pPr>
        <w:pStyle w:val="FIRSTCHAPTERPAGE1"/>
      </w:pPr>
    </w:p>
    <w:p>
      <w:pPr>
        <w:pStyle w:val="FIRSTCHAPTERPAGE1"/>
      </w:pPr>
    </w:p>
    <w:p>
      <w:pPr>
        <w:pStyle w:val="FIRSTCHAPTERPAGE1"/>
      </w:pPr>
    </w:p>
    <w:p>
      <w:pPr>
        <w:pStyle w:val="FIRSTCHAPTERPAGE1"/>
      </w:pPr>
    </w:p>
    <w:p>
      <w:pPr>
        <w:pStyle w:val="FIRSTCHAPTERPAGE1"/>
      </w:pPr>
      <w:bookmarkStart w:id="213" w:name="_Toc9948410"/>
      <w:bookmarkStart w:id="214" w:name="_Toc9959666"/>
      <w:bookmarkStart w:id="215" w:name="_Toc16001698"/>
      <w:bookmarkStart w:id="216" w:name="_Toc17797641"/>
      <w:r>
        <w:t>ОТЧЕТ ЗА ФИНАНСОВОТО ИЗПЪЛНЕНИЕ НА ЕФР</w:t>
      </w:r>
      <w:bookmarkEnd w:id="213"/>
      <w:bookmarkEnd w:id="214"/>
      <w:bookmarkEnd w:id="215"/>
      <w:bookmarkEnd w:id="216"/>
    </w:p>
    <w:p>
      <w:pPr>
        <w:pStyle w:val="FIRSTCHAPTERPAGE1"/>
      </w:pPr>
    </w:p>
    <w:p>
      <w:pPr>
        <w:pStyle w:val="FIRSTCHAPTERPAGE1"/>
      </w:pPr>
    </w:p>
    <w:p>
      <w:pPr>
        <w:pStyle w:val="FIRSTCHAPTERPAGE1"/>
      </w:pPr>
    </w:p>
    <w:p>
      <w:pPr>
        <w:pStyle w:val="Textstand-alone"/>
        <w:sectPr>
          <w:headerReference w:type="even" r:id="rId397"/>
          <w:headerReference w:type="default" r:id="rId398"/>
          <w:footerReference w:type="even" r:id="rId399"/>
          <w:footerReference w:type="default" r:id="rId400"/>
          <w:headerReference w:type="first" r:id="rId401"/>
          <w:footerReference w:type="first" r:id="rId402"/>
          <w:pgSz w:w="11906" w:h="16838"/>
          <w:pgMar w:top="1134" w:right="1134" w:bottom="1134" w:left="1134" w:header="709" w:footer="709" w:gutter="0"/>
          <w:cols w:space="708"/>
          <w:docGrid w:linePitch="360"/>
        </w:sectPr>
      </w:pPr>
      <w:r>
        <w:t xml:space="preserve"> </w:t>
      </w:r>
      <w:bookmarkEnd w:id="212"/>
    </w:p>
    <w:p>
      <w:pPr>
        <w:pStyle w:val="HEADERTITLE1"/>
      </w:pPr>
      <w:bookmarkStart w:id="217" w:name="_Toc17797642"/>
      <w:bookmarkStart w:id="218" w:name="_DMBM_14106"/>
      <w:r>
        <w:t>УВОДНА БЕЛЕЖКА</w:t>
      </w:r>
      <w:bookmarkEnd w:id="217"/>
    </w:p>
    <w:p>
      <w:pPr>
        <w:pStyle w:val="HEADER1Part1"/>
        <w:rPr>
          <w:noProof/>
        </w:rPr>
      </w:pPr>
      <w:r>
        <w:rPr>
          <w:noProof/>
        </w:rPr>
        <w:t>Предишни ЕФР</w:t>
      </w:r>
    </w:p>
    <w:p>
      <w:pPr>
        <w:pStyle w:val="Textstand-alone"/>
      </w:pPr>
      <w:r>
        <w:t>Тъй като шестият ЕФР бе закрит през 2006 г., а седмият ЕФР бе закрит през 2008 г., годишните отчети вече не съдържат таблици за усвояването за тези ЕФР. Усвояването на прехвърлените салда обаче се съдържа в деветия ЕФР.</w:t>
      </w:r>
    </w:p>
    <w:p>
      <w:pPr>
        <w:pStyle w:val="Textstand-alone"/>
      </w:pPr>
      <w:r>
        <w:t>Както и през предишните години и за да се гарантира прозрачност при представянето на отчетите, в таблиците са показани поотделно за осмия ЕФР частта, която се използва въз основа на програмирането, предвидено в конвенциите от Ломе, и частта, която се използва въз основа на програмирането, предвидено в Споразумението от Котону.</w:t>
      </w:r>
    </w:p>
    <w:p>
      <w:pPr>
        <w:pStyle w:val="Textstand-alone"/>
      </w:pPr>
      <w:r>
        <w:t>В съответствие с член 1, параграф 2, буква б) от Вътрешното споразумение, приложимо за деветия ЕФР, салдата и отменените задължения от предишни ЕФР са прехвърлени към деветия ЕФР и през периода на деветия ЕФР са поети като задължение като средства на деветия ЕФР.</w:t>
      </w:r>
    </w:p>
    <w:p>
      <w:pPr>
        <w:pStyle w:val="Textstand-alone"/>
      </w:pPr>
      <w:r>
        <w:t>През 2018 г. Комисията започна специален процес на приключване на оставащите договори по осмия и деветия ЕФР. До края на 2019 г. следва да бъде предоставен окончателен доклад за финансовото изпълнение на осмия ЕФР (а до края на 2020 г. за деветия ЕФР).</w:t>
      </w:r>
    </w:p>
    <w:p>
      <w:pPr>
        <w:ind w:left="283"/>
        <w:rPr>
          <w:rFonts w:ascii="Verdana" w:hAnsi="Verdana"/>
          <w:noProof/>
          <w:sz w:val="18"/>
          <w:szCs w:val="18"/>
        </w:rPr>
      </w:pPr>
    </w:p>
    <w:p>
      <w:pPr>
        <w:pStyle w:val="HEADER1Part1"/>
        <w:rPr>
          <w:noProof/>
        </w:rPr>
      </w:pPr>
      <w:r>
        <w:rPr>
          <w:noProof/>
        </w:rPr>
        <w:t>11-и ЕФР</w:t>
      </w:r>
    </w:p>
    <w:p>
      <w:pPr>
        <w:pStyle w:val="Textstand-alone"/>
      </w:pPr>
      <w:r>
        <w:t>Споразумението за партньорство ЕО-АКТБ, подписано на 23 юни 2000 г. в Котону от държавите — членки на Европейската общност, и държавите от Африка, Карибите и Тихоокеанския басейн (АКТБ), влезе в сила на 1 април 2003 г. Споразумението от Котону бе изменено два пъти, първо със споразумението, подписано в Люксембург на 25 юни 2005 г., второ — със споразумението, подписано в Уагадугу на 22 юни 2010 г.</w:t>
      </w:r>
    </w:p>
    <w:p>
      <w:pPr>
        <w:pStyle w:val="Textstand-alone"/>
      </w:pPr>
      <w:r>
        <w:t>Решението на Съвета на ЕС от 27 ноември 2001 г. (2001/822/ЕО) за асоцииране на отвъдморските страни и територии (ОСТ) към Европейския съюз влезе в сила на 2 декември 2001 г. Това решение бе изменено на 19 март 2007 г. (Решение 2007/249/ЕО).</w:t>
      </w:r>
    </w:p>
    <w:p>
      <w:pPr>
        <w:pStyle w:val="Textstand-alone"/>
      </w:pPr>
      <w:r>
        <w:t>Вътрешното споразумение за финансирането и управлението на помощите, предоставени от Общността съгласно многогодишната финансова рамка за периода 2014—2020 г. в съответствие ревизираното Споразумение от Котону, прието от представителите на правителствата на държавите — членки на Европейската общност, през август 2013 г., влезе в сила през март 2015 г.</w:t>
      </w:r>
    </w:p>
    <w:p>
      <w:pPr>
        <w:pStyle w:val="Textstand-alone"/>
      </w:pPr>
      <w:r>
        <w:t>Съгласно Споразумението от Котону третият период (2014—2020 г.) от помощта на Общността за страните от АКТБ и ОСТ се финансира от 11-ия ЕФР със сумата от 30 506 милиона евро, от които:</w:t>
      </w:r>
    </w:p>
    <w:p>
      <w:pPr>
        <w:pStyle w:val="HEADER2Part1"/>
        <w:numPr>
          <w:ilvl w:val="0"/>
          <w:numId w:val="61"/>
        </w:numPr>
        <w:jc w:val="both"/>
        <w:rPr>
          <w:b w:val="0"/>
          <w:noProof/>
          <w:color w:val="auto"/>
          <w:sz w:val="18"/>
          <w:szCs w:val="18"/>
        </w:rPr>
      </w:pPr>
      <w:r>
        <w:rPr>
          <w:b w:val="0"/>
          <w:noProof/>
          <w:color w:val="auto"/>
          <w:sz w:val="18"/>
        </w:rPr>
        <w:t>29 089 милиона евро са предоставени за страните от АКТБ в съответствие с член 1.2, буква а) и член 2, буква г) от Вътрешното споразумение, от които 27 955 милиона евро се управляват от Европейската комисия,</w:t>
      </w:r>
    </w:p>
    <w:p>
      <w:pPr>
        <w:pStyle w:val="HEADER2Part1"/>
        <w:numPr>
          <w:ilvl w:val="0"/>
          <w:numId w:val="61"/>
        </w:numPr>
        <w:jc w:val="both"/>
        <w:rPr>
          <w:b w:val="0"/>
          <w:noProof/>
          <w:color w:val="auto"/>
          <w:sz w:val="18"/>
          <w:szCs w:val="18"/>
        </w:rPr>
      </w:pPr>
      <w:r>
        <w:rPr>
          <w:b w:val="0"/>
          <w:noProof/>
          <w:color w:val="auto"/>
          <w:sz w:val="18"/>
        </w:rPr>
        <w:t>364,5 милиона евро са предоставени за ОСТ в съответствие с член 1.2, буква а) и член 3.1 от Вътрешното споразумение, от които 359,5 милиона евро се управляват от Европейската комисия,</w:t>
      </w:r>
    </w:p>
    <w:p>
      <w:pPr>
        <w:pStyle w:val="HEADER2Part1"/>
        <w:numPr>
          <w:ilvl w:val="0"/>
          <w:numId w:val="61"/>
        </w:numPr>
        <w:jc w:val="both"/>
        <w:rPr>
          <w:b w:val="0"/>
          <w:noProof/>
          <w:color w:val="auto"/>
          <w:sz w:val="18"/>
          <w:szCs w:val="18"/>
        </w:rPr>
      </w:pPr>
      <w:r>
        <w:rPr>
          <w:b w:val="0"/>
          <w:noProof/>
          <w:color w:val="auto"/>
          <w:sz w:val="18"/>
        </w:rPr>
        <w:t>1 052,5 милиона евро са за Комисията за финансиране на разходите, възникнали от програмирането и изпълнението на ресурсите на 11-ия ЕФР, в съответствие с член 1.2, буква а) от Вътрешното споразумение.</w:t>
      </w:r>
    </w:p>
    <w:p>
      <w:pPr>
        <w:pStyle w:val="Text9pBoldLeft"/>
      </w:pPr>
      <w:r>
        <w:t>Остатъчни средства по резервите за изпълнение, които не могат да бъдат мобилизирани, към 31 декември 2018 г.</w:t>
      </w:r>
    </w:p>
    <w:p>
      <w:pPr>
        <w:pStyle w:val="Textstand-alone"/>
      </w:pPr>
      <w:r>
        <w:t>Отменените суми от проекти по деветия и предишни ЕФР са прехвърлени към резерва за изпълнение на 10-ия ЕФР, с изключение на средствата по Stabex.</w:t>
      </w:r>
    </w:p>
    <w:p>
      <w:pPr>
        <w:pStyle w:val="Textstand-alone"/>
      </w:pPr>
      <w:r>
        <w:t>Отменените средства от проекти по 10-ия ЕФР са прехвърлени към резерва за изпълнение на 11-ия ЕФР.</w:t>
      </w:r>
    </w:p>
    <w:p>
      <w:pPr>
        <w:pStyle w:val="Textstand-alone"/>
      </w:pPr>
      <w:r>
        <w:t xml:space="preserve">През 2018 г. всички отменени средства от предишни ЕФР бяха прехвърлени към съответните резерви. </w:t>
      </w:r>
    </w:p>
    <w:p>
      <w:pPr>
        <w:pStyle w:val="Textstand-alone"/>
      </w:pPr>
      <w:r>
        <w:t>В съответствие с член 1.4 от Вътрешното споразумение за 11-ия ЕФР и с решението на Съвета от 2 август 2016 г. (2016/1337) сума отменени средства от 10-ия ЕФР бе предоставена с цел допълване на механизма за подкрепа на мира в Африка за периода 2016—2018 г. в размер не повече от 491 милиона евро и до 16 милиона евро за подкрепа на разходите.</w:t>
      </w:r>
    </w:p>
    <w:p>
      <w:pPr>
        <w:ind w:right="-1"/>
        <w:jc w:val="right"/>
        <w:rPr>
          <w:rFonts w:ascii="Verdana" w:hAnsi="Verdana"/>
          <w:i/>
          <w:noProof/>
          <w:sz w:val="18"/>
          <w:szCs w:val="18"/>
        </w:rPr>
      </w:pPr>
      <w:r>
        <w:rPr>
          <w:rFonts w:ascii="Verdana" w:hAnsi="Verdana"/>
          <w:i/>
          <w:noProof/>
          <w:sz w:val="18"/>
        </w:rPr>
        <w:t>милиони евро</w:t>
      </w:r>
    </w:p>
    <w:tbl>
      <w:tblPr>
        <w:tblW w:w="9654" w:type="dxa"/>
        <w:tblInd w:w="93" w:type="dxa"/>
        <w:tblLook w:val="04A0" w:firstRow="1" w:lastRow="0" w:firstColumn="1" w:lastColumn="0" w:noHBand="0" w:noVBand="1"/>
      </w:tblPr>
      <w:tblGrid>
        <w:gridCol w:w="7335"/>
        <w:gridCol w:w="2319"/>
      </w:tblGrid>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b/>
                <w:noProof/>
                <w:sz w:val="18"/>
                <w:szCs w:val="18"/>
              </w:rPr>
            </w:pPr>
            <w:r>
              <w:rPr>
                <w:rFonts w:ascii="Verdana" w:hAnsi="Verdana"/>
                <w:b/>
                <w:noProof/>
                <w:sz w:val="18"/>
              </w:rPr>
              <w:t xml:space="preserve">Обща налична сума по резервите за изпълнение, които не могат да бъдат мобилизирани </w:t>
            </w:r>
          </w:p>
        </w:tc>
        <w:tc>
          <w:tcPr>
            <w:tcW w:w="2319"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b/>
                <w:noProof/>
                <w:sz w:val="18"/>
                <w:szCs w:val="18"/>
              </w:rPr>
            </w:pPr>
            <w:r>
              <w:rPr>
                <w:rFonts w:ascii="Verdana" w:hAnsi="Verdana"/>
                <w:b/>
                <w:noProof/>
                <w:sz w:val="18"/>
              </w:rPr>
              <w:t>31.12.2018 г.</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noProof/>
                <w:sz w:val="18"/>
              </w:rPr>
              <w:t>Резерв на отменени средства по осмия и деветия ЕФР, който не може да бъде мобилизиран</w:t>
            </w:r>
          </w:p>
        </w:tc>
        <w:tc>
          <w:tcPr>
            <w:tcW w:w="2319"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r>
              <w:rPr>
                <w:rFonts w:ascii="Verdana" w:hAnsi="Verdana"/>
                <w:noProof/>
                <w:sz w:val="18"/>
              </w:rPr>
              <w:t>157</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noProof/>
                <w:sz w:val="18"/>
              </w:rPr>
              <w:t xml:space="preserve">Резерв на отменени средства по 10-ия ЕФР, който не може да бъде мобилизиран </w:t>
            </w:r>
          </w:p>
        </w:tc>
        <w:tc>
          <w:tcPr>
            <w:tcW w:w="2319"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r>
              <w:rPr>
                <w:rFonts w:ascii="Verdana" w:hAnsi="Verdana"/>
                <w:noProof/>
                <w:sz w:val="18"/>
              </w:rPr>
              <w:t>318</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rPr>
                <w:rFonts w:ascii="Verdana" w:hAnsi="Verdana" w:cs="Arial"/>
                <w:b/>
                <w:noProof/>
                <w:sz w:val="18"/>
                <w:szCs w:val="18"/>
              </w:rPr>
            </w:pPr>
            <w:r>
              <w:rPr>
                <w:rFonts w:ascii="Verdana" w:hAnsi="Verdana"/>
                <w:b/>
                <w:noProof/>
                <w:sz w:val="18"/>
              </w:rPr>
              <w:t>Общо</w:t>
            </w:r>
          </w:p>
        </w:tc>
        <w:tc>
          <w:tcPr>
            <w:tcW w:w="2319" w:type="dxa"/>
            <w:tcBorders>
              <w:top w:val="single" w:sz="4" w:space="0" w:color="auto"/>
              <w:left w:val="nil"/>
              <w:bottom w:val="single" w:sz="4" w:space="0" w:color="auto"/>
              <w:right w:val="single" w:sz="4" w:space="0" w:color="auto"/>
            </w:tcBorders>
            <w:noWrap/>
            <w:vAlign w:val="bottom"/>
          </w:tcPr>
          <w:p>
            <w:pPr>
              <w:jc w:val="right"/>
              <w:rPr>
                <w:rFonts w:ascii="Verdana" w:hAnsi="Verdana" w:cs="Arial"/>
                <w:b/>
                <w:noProof/>
                <w:sz w:val="18"/>
                <w:szCs w:val="18"/>
              </w:rPr>
            </w:pPr>
            <w:r>
              <w:rPr>
                <w:rFonts w:ascii="Verdana" w:hAnsi="Verdana"/>
                <w:b/>
                <w:noProof/>
                <w:sz w:val="18"/>
              </w:rPr>
              <w:t>475</w:t>
            </w:r>
          </w:p>
        </w:tc>
      </w:tr>
    </w:tbl>
    <w:p>
      <w:pPr>
        <w:spacing w:before="120" w:after="120"/>
        <w:rPr>
          <w:rFonts w:ascii="Verdana" w:hAnsi="Verdana"/>
          <w:noProof/>
          <w:sz w:val="18"/>
          <w:szCs w:val="18"/>
        </w:rPr>
      </w:pPr>
    </w:p>
    <w:p>
      <w:pPr>
        <w:pStyle w:val="HEADER2Part1"/>
        <w:numPr>
          <w:ilvl w:val="0"/>
          <w:numId w:val="0"/>
        </w:numPr>
        <w:rPr>
          <w:noProof/>
          <w:color w:val="auto"/>
          <w:sz w:val="18"/>
          <w:szCs w:val="18"/>
        </w:rPr>
      </w:pPr>
      <w:r>
        <w:rPr>
          <w:noProof/>
          <w:color w:val="auto"/>
          <w:sz w:val="18"/>
        </w:rPr>
        <w:t>Съфинансиране за ЕФР</w:t>
      </w:r>
    </w:p>
    <w:p>
      <w:pPr>
        <w:jc w:val="both"/>
        <w:rPr>
          <w:noProof/>
        </w:rPr>
      </w:pPr>
      <w:r>
        <w:rPr>
          <w:rFonts w:ascii="Verdana" w:hAnsi="Verdana"/>
          <w:noProof/>
          <w:sz w:val="18"/>
        </w:rPr>
        <w:t>При 10-ия и 11-ия ЕФР бяха подписани споразумения за трансфер за проекти за съфинансиране и бяха открити бюджетни кредити за поети задължения на обща стойност 241,9 милиона евро, докато бюджетни кредити за плащания бяха открити за получените суми в обща размер от 230,2 милиона евро.</w:t>
      </w:r>
      <w:r>
        <w:rPr>
          <w:noProof/>
        </w:rPr>
        <w:t xml:space="preserve"> </w:t>
      </w:r>
    </w:p>
    <w:p>
      <w:pPr>
        <w:jc w:val="both"/>
        <w:rPr>
          <w:rFonts w:ascii="Verdana" w:hAnsi="Verdana"/>
          <w:noProof/>
          <w:sz w:val="18"/>
          <w:szCs w:val="18"/>
        </w:rPr>
      </w:pPr>
    </w:p>
    <w:p>
      <w:pPr>
        <w:jc w:val="both"/>
        <w:rPr>
          <w:rFonts w:ascii="Verdana" w:hAnsi="Verdana"/>
          <w:noProof/>
          <w:sz w:val="18"/>
          <w:szCs w:val="18"/>
        </w:rPr>
      </w:pPr>
      <w:r>
        <w:rPr>
          <w:rFonts w:ascii="Verdana" w:hAnsi="Verdana"/>
          <w:noProof/>
          <w:sz w:val="18"/>
        </w:rPr>
        <w:t>Ситуацията с бюджетните кредити за съфинансиране към 31 декември 2018 г. е изложена в таблицата по-долу:</w:t>
      </w:r>
    </w:p>
    <w:p>
      <w:pPr>
        <w:jc w:val="both"/>
        <w:rPr>
          <w:rFonts w:ascii="Verdana" w:hAnsi="Verdana"/>
          <w:noProof/>
          <w:sz w:val="18"/>
          <w:szCs w:val="18"/>
        </w:rPr>
      </w:pPr>
    </w:p>
    <w:p>
      <w:pPr>
        <w:ind w:right="-1"/>
        <w:jc w:val="right"/>
        <w:rPr>
          <w:rFonts w:ascii="Verdana" w:hAnsi="Verdana"/>
          <w:i/>
          <w:noProof/>
          <w:sz w:val="18"/>
          <w:szCs w:val="18"/>
        </w:rPr>
      </w:pPr>
      <w:r>
        <w:rPr>
          <w:rFonts w:ascii="Verdana" w:hAnsi="Verdana"/>
          <w:i/>
          <w:noProof/>
          <w:sz w:val="18"/>
        </w:rPr>
        <w:t>милиони евро</w:t>
      </w:r>
    </w:p>
    <w:tbl>
      <w:tblPr>
        <w:tblW w:w="9654" w:type="dxa"/>
        <w:tblInd w:w="93" w:type="dxa"/>
        <w:tblLook w:val="04A0" w:firstRow="1" w:lastRow="0" w:firstColumn="1" w:lastColumn="0" w:noHBand="0" w:noVBand="1"/>
      </w:tblPr>
      <w:tblGrid>
        <w:gridCol w:w="3984"/>
        <w:gridCol w:w="2977"/>
        <w:gridCol w:w="2693"/>
      </w:tblGrid>
      <w:tr>
        <w:trPr>
          <w:trHeight w:val="510"/>
        </w:trPr>
        <w:tc>
          <w:tcPr>
            <w:tcW w:w="3984" w:type="dxa"/>
            <w:tcBorders>
              <w:top w:val="single" w:sz="8" w:space="0" w:color="auto"/>
              <w:left w:val="single" w:sz="4" w:space="0" w:color="000000"/>
              <w:bottom w:val="single" w:sz="4" w:space="0" w:color="000000"/>
              <w:right w:val="single" w:sz="4" w:space="0" w:color="000000"/>
            </w:tcBorders>
            <w:vAlign w:val="center"/>
          </w:tcPr>
          <w:p>
            <w:pPr>
              <w:rPr>
                <w:rFonts w:ascii="Verdana" w:hAnsi="Verdana" w:cs="Arial"/>
                <w:noProof/>
                <w:sz w:val="18"/>
                <w:szCs w:val="18"/>
              </w:rPr>
            </w:pPr>
          </w:p>
        </w:tc>
        <w:tc>
          <w:tcPr>
            <w:tcW w:w="2977" w:type="dxa"/>
            <w:tcBorders>
              <w:top w:val="single" w:sz="8" w:space="0" w:color="auto"/>
              <w:left w:val="nil"/>
              <w:bottom w:val="single" w:sz="4" w:space="0" w:color="000000"/>
              <w:right w:val="single" w:sz="4" w:space="0" w:color="000000"/>
            </w:tcBorders>
            <w:vAlign w:val="center"/>
            <w:hideMark/>
          </w:tcPr>
          <w:p>
            <w:pPr>
              <w:rPr>
                <w:rFonts w:ascii="Verdana" w:hAnsi="Verdana" w:cs="Arial"/>
                <w:b/>
                <w:noProof/>
                <w:sz w:val="18"/>
                <w:szCs w:val="18"/>
              </w:rPr>
            </w:pPr>
            <w:r>
              <w:rPr>
                <w:rFonts w:ascii="Verdana" w:hAnsi="Verdana"/>
                <w:b/>
                <w:noProof/>
                <w:sz w:val="18"/>
              </w:rPr>
              <w:t>Бюджетни кредити за поети задължения</w:t>
            </w:r>
          </w:p>
        </w:tc>
        <w:tc>
          <w:tcPr>
            <w:tcW w:w="2693" w:type="dxa"/>
            <w:tcBorders>
              <w:top w:val="single" w:sz="8" w:space="0" w:color="auto"/>
              <w:left w:val="nil"/>
              <w:bottom w:val="single" w:sz="4" w:space="0" w:color="000000"/>
              <w:right w:val="single" w:sz="8" w:space="0" w:color="auto"/>
            </w:tcBorders>
            <w:vAlign w:val="center"/>
            <w:hideMark/>
          </w:tcPr>
          <w:p>
            <w:pPr>
              <w:rPr>
                <w:rFonts w:ascii="Verdana" w:hAnsi="Verdana" w:cs="Arial"/>
                <w:b/>
                <w:noProof/>
                <w:sz w:val="18"/>
                <w:szCs w:val="18"/>
              </w:rPr>
            </w:pPr>
            <w:r>
              <w:rPr>
                <w:rFonts w:ascii="Verdana" w:hAnsi="Verdana"/>
                <w:b/>
                <w:noProof/>
                <w:sz w:val="18"/>
              </w:rPr>
              <w:t>Бюджетни кредити за плащания</w:t>
            </w:r>
          </w:p>
        </w:tc>
      </w:tr>
      <w:tr>
        <w:trPr>
          <w:trHeight w:val="255"/>
        </w:trPr>
        <w:tc>
          <w:tcPr>
            <w:tcW w:w="3984"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rPr>
            </w:pPr>
            <w:r>
              <w:rPr>
                <w:rFonts w:ascii="Verdana" w:hAnsi="Verdana"/>
                <w:noProof/>
                <w:sz w:val="18"/>
              </w:rPr>
              <w:t>Съфинансиране — пакет А</w:t>
            </w:r>
          </w:p>
        </w:tc>
        <w:tc>
          <w:tcPr>
            <w:tcW w:w="2977"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rPr>
            </w:pPr>
            <w:r>
              <w:rPr>
                <w:rFonts w:ascii="Verdana" w:hAnsi="Verdana"/>
                <w:noProof/>
                <w:sz w:val="18"/>
              </w:rPr>
              <w:t>211,5</w:t>
            </w:r>
          </w:p>
        </w:tc>
        <w:tc>
          <w:tcPr>
            <w:tcW w:w="2693"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rPr>
            </w:pPr>
            <w:r>
              <w:rPr>
                <w:rFonts w:ascii="Verdana" w:hAnsi="Verdana"/>
                <w:noProof/>
                <w:sz w:val="18"/>
              </w:rPr>
              <w:t>200,0</w:t>
            </w:r>
          </w:p>
        </w:tc>
      </w:tr>
      <w:tr>
        <w:trPr>
          <w:trHeight w:val="255"/>
        </w:trPr>
        <w:tc>
          <w:tcPr>
            <w:tcW w:w="3984"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rPr>
            </w:pPr>
            <w:r>
              <w:rPr>
                <w:rFonts w:ascii="Verdana" w:hAnsi="Verdana"/>
                <w:noProof/>
                <w:sz w:val="18"/>
              </w:rPr>
              <w:t>Съфинансиране — между държавите от АКТБ</w:t>
            </w:r>
          </w:p>
        </w:tc>
        <w:tc>
          <w:tcPr>
            <w:tcW w:w="2977"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rPr>
            </w:pPr>
            <w:r>
              <w:rPr>
                <w:rFonts w:ascii="Verdana" w:hAnsi="Verdana"/>
                <w:noProof/>
                <w:sz w:val="18"/>
              </w:rPr>
              <w:t>23,3</w:t>
            </w:r>
          </w:p>
        </w:tc>
        <w:tc>
          <w:tcPr>
            <w:tcW w:w="2693"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rPr>
            </w:pPr>
            <w:r>
              <w:rPr>
                <w:rFonts w:ascii="Verdana" w:hAnsi="Verdana"/>
                <w:noProof/>
                <w:sz w:val="18"/>
              </w:rPr>
              <w:t>23,2</w:t>
            </w:r>
          </w:p>
        </w:tc>
      </w:tr>
      <w:tr>
        <w:trPr>
          <w:trHeight w:val="270"/>
        </w:trPr>
        <w:tc>
          <w:tcPr>
            <w:tcW w:w="3984" w:type="dxa"/>
            <w:tcBorders>
              <w:top w:val="nil"/>
              <w:left w:val="single" w:sz="4" w:space="0" w:color="000000"/>
              <w:bottom w:val="single" w:sz="8" w:space="0" w:color="auto"/>
              <w:right w:val="single" w:sz="4" w:space="0" w:color="000000"/>
            </w:tcBorders>
            <w:noWrap/>
            <w:vAlign w:val="center"/>
            <w:hideMark/>
          </w:tcPr>
          <w:p>
            <w:pPr>
              <w:rPr>
                <w:rFonts w:ascii="Verdana" w:hAnsi="Verdana" w:cs="Arial"/>
                <w:noProof/>
                <w:sz w:val="18"/>
                <w:szCs w:val="18"/>
              </w:rPr>
            </w:pPr>
            <w:r>
              <w:rPr>
                <w:rFonts w:ascii="Verdana" w:hAnsi="Verdana"/>
                <w:noProof/>
                <w:sz w:val="18"/>
              </w:rPr>
              <w:t>Съфинансиране — административни разходи</w:t>
            </w:r>
          </w:p>
        </w:tc>
        <w:tc>
          <w:tcPr>
            <w:tcW w:w="2977" w:type="dxa"/>
            <w:tcBorders>
              <w:top w:val="nil"/>
              <w:left w:val="nil"/>
              <w:bottom w:val="single" w:sz="8" w:space="0" w:color="auto"/>
              <w:right w:val="single" w:sz="4" w:space="0" w:color="000000"/>
            </w:tcBorders>
            <w:noWrap/>
            <w:vAlign w:val="center"/>
            <w:hideMark/>
          </w:tcPr>
          <w:p>
            <w:pPr>
              <w:jc w:val="right"/>
              <w:rPr>
                <w:rFonts w:ascii="Verdana" w:hAnsi="Verdana" w:cs="Arial"/>
                <w:noProof/>
                <w:sz w:val="18"/>
                <w:szCs w:val="18"/>
              </w:rPr>
            </w:pPr>
            <w:r>
              <w:rPr>
                <w:rFonts w:ascii="Verdana" w:hAnsi="Verdana"/>
                <w:noProof/>
                <w:sz w:val="18"/>
              </w:rPr>
              <w:t>7,1</w:t>
            </w:r>
          </w:p>
          <w:p>
            <w:pPr>
              <w:jc w:val="right"/>
              <w:rPr>
                <w:rFonts w:ascii="Verdana" w:hAnsi="Verdana" w:cs="Arial"/>
                <w:noProof/>
                <w:sz w:val="18"/>
                <w:szCs w:val="18"/>
              </w:rPr>
            </w:pPr>
          </w:p>
        </w:tc>
        <w:tc>
          <w:tcPr>
            <w:tcW w:w="2693" w:type="dxa"/>
            <w:tcBorders>
              <w:top w:val="nil"/>
              <w:left w:val="nil"/>
              <w:bottom w:val="single" w:sz="8" w:space="0" w:color="auto"/>
              <w:right w:val="single" w:sz="8" w:space="0" w:color="auto"/>
            </w:tcBorders>
            <w:noWrap/>
            <w:vAlign w:val="center"/>
            <w:hideMark/>
          </w:tcPr>
          <w:p>
            <w:pPr>
              <w:jc w:val="right"/>
              <w:rPr>
                <w:rFonts w:ascii="Verdana" w:hAnsi="Verdana" w:cs="Arial"/>
                <w:noProof/>
                <w:sz w:val="18"/>
                <w:szCs w:val="18"/>
              </w:rPr>
            </w:pPr>
            <w:r>
              <w:rPr>
                <w:rFonts w:ascii="Verdana" w:hAnsi="Verdana"/>
                <w:noProof/>
                <w:sz w:val="18"/>
              </w:rPr>
              <w:t>7,0</w:t>
            </w:r>
          </w:p>
        </w:tc>
      </w:tr>
      <w:tr>
        <w:trPr>
          <w:trHeight w:val="270"/>
        </w:trPr>
        <w:tc>
          <w:tcPr>
            <w:tcW w:w="3984" w:type="dxa"/>
            <w:noWrap/>
            <w:vAlign w:val="bottom"/>
          </w:tcPr>
          <w:p>
            <w:pPr>
              <w:rPr>
                <w:rFonts w:ascii="Verdana" w:hAnsi="Verdana" w:cs="Arial"/>
                <w:noProof/>
                <w:sz w:val="18"/>
                <w:szCs w:val="18"/>
              </w:rPr>
            </w:pPr>
          </w:p>
        </w:tc>
        <w:tc>
          <w:tcPr>
            <w:tcW w:w="2977" w:type="dxa"/>
            <w:tcBorders>
              <w:top w:val="nil"/>
              <w:left w:val="single" w:sz="8" w:space="0" w:color="auto"/>
              <w:bottom w:val="single" w:sz="8" w:space="0" w:color="auto"/>
              <w:right w:val="single" w:sz="4" w:space="0" w:color="auto"/>
            </w:tcBorders>
            <w:noWrap/>
            <w:vAlign w:val="bottom"/>
            <w:hideMark/>
          </w:tcPr>
          <w:p>
            <w:pPr>
              <w:jc w:val="right"/>
              <w:rPr>
                <w:rFonts w:ascii="Verdana" w:hAnsi="Verdana" w:cs="Arial"/>
                <w:b/>
                <w:bCs/>
                <w:noProof/>
                <w:sz w:val="18"/>
                <w:szCs w:val="18"/>
              </w:rPr>
            </w:pPr>
            <w:r>
              <w:rPr>
                <w:rFonts w:ascii="Verdana" w:hAnsi="Verdana"/>
                <w:b/>
                <w:noProof/>
                <w:sz w:val="18"/>
              </w:rPr>
              <w:t>241,9</w:t>
            </w:r>
          </w:p>
        </w:tc>
        <w:tc>
          <w:tcPr>
            <w:tcW w:w="2693" w:type="dxa"/>
            <w:tcBorders>
              <w:top w:val="nil"/>
              <w:left w:val="nil"/>
              <w:bottom w:val="single" w:sz="8" w:space="0" w:color="auto"/>
              <w:right w:val="single" w:sz="8" w:space="0" w:color="auto"/>
            </w:tcBorders>
            <w:noWrap/>
            <w:vAlign w:val="bottom"/>
            <w:hideMark/>
          </w:tcPr>
          <w:p>
            <w:pPr>
              <w:jc w:val="right"/>
              <w:rPr>
                <w:rFonts w:ascii="Verdana" w:hAnsi="Verdana" w:cs="Arial"/>
                <w:b/>
                <w:bCs/>
                <w:noProof/>
                <w:sz w:val="18"/>
                <w:szCs w:val="18"/>
              </w:rPr>
            </w:pPr>
            <w:r>
              <w:rPr>
                <w:rFonts w:ascii="Verdana" w:hAnsi="Verdana"/>
                <w:b/>
                <w:noProof/>
                <w:sz w:val="18"/>
              </w:rPr>
              <w:t>230,2</w:t>
            </w:r>
          </w:p>
        </w:tc>
      </w:tr>
    </w:tbl>
    <w:p>
      <w:pPr>
        <w:jc w:val="both"/>
        <w:rPr>
          <w:rFonts w:ascii="Verdana" w:hAnsi="Verdana"/>
          <w:noProof/>
          <w:sz w:val="18"/>
          <w:szCs w:val="18"/>
        </w:rPr>
      </w:pPr>
    </w:p>
    <w:p>
      <w:pPr>
        <w:jc w:val="both"/>
        <w:rPr>
          <w:rFonts w:ascii="Verdana" w:hAnsi="Verdana"/>
          <w:noProof/>
          <w:sz w:val="18"/>
          <w:szCs w:val="18"/>
        </w:rPr>
      </w:pPr>
    </w:p>
    <w:p>
      <w:pPr>
        <w:jc w:val="both"/>
        <w:rPr>
          <w:rFonts w:ascii="Verdana" w:hAnsi="Verdana"/>
          <w:noProof/>
          <w:sz w:val="18"/>
          <w:szCs w:val="18"/>
        </w:rPr>
      </w:pPr>
      <w:r>
        <w:rPr>
          <w:rFonts w:ascii="Verdana" w:hAnsi="Verdana"/>
          <w:noProof/>
          <w:sz w:val="18"/>
        </w:rPr>
        <w:t xml:space="preserve">Следните таблици относно сумите, които са решени, договорени и платени, съдържат нетни данни.             Таблиците, представящи ситуацията по инструменти, са в приложенията. </w:t>
      </w:r>
    </w:p>
    <w:p>
      <w:pPr>
        <w:spacing w:before="120" w:after="120"/>
        <w:rPr>
          <w:noProof/>
        </w:rPr>
      </w:pPr>
    </w:p>
    <w:p>
      <w:pPr>
        <w:jc w:val="both"/>
        <w:rPr>
          <w:rFonts w:ascii="Verdana" w:hAnsi="Verdana"/>
          <w:noProof/>
          <w:sz w:val="18"/>
          <w:szCs w:val="18"/>
        </w:rPr>
      </w:pPr>
    </w:p>
    <w:p>
      <w:pPr>
        <w:pStyle w:val="Text9pBoldLeft"/>
      </w:pPr>
    </w:p>
    <w:bookmarkEnd w:id="218"/>
    <w:p>
      <w:pPr>
        <w:pStyle w:val="Textstand-alone"/>
        <w:sectPr>
          <w:headerReference w:type="even" r:id="rId403"/>
          <w:headerReference w:type="default" r:id="rId404"/>
          <w:footerReference w:type="even" r:id="rId405"/>
          <w:footerReference w:type="default" r:id="rId406"/>
          <w:headerReference w:type="first" r:id="rId407"/>
          <w:footerReference w:type="first" r:id="rId408"/>
          <w:pgSz w:w="11906" w:h="16838"/>
          <w:pgMar w:top="1134" w:right="1134" w:bottom="1134" w:left="1134" w:header="709" w:footer="709" w:gutter="0"/>
          <w:cols w:space="708"/>
          <w:docGrid w:linePitch="360"/>
        </w:sectPr>
      </w:pPr>
    </w:p>
    <w:p>
      <w:pPr>
        <w:rPr>
          <w:rFonts w:ascii="Arial" w:hAnsi="Arial" w:cs="Arial"/>
          <w:noProof/>
          <w:color w:val="000000"/>
          <w:sz w:val="14"/>
        </w:rPr>
      </w:pPr>
      <w:bookmarkStart w:id="219" w:name="_DMBM_15554"/>
      <w:r>
        <w:rPr>
          <w:rFonts w:ascii="Arial" w:hAnsi="Arial"/>
          <w:noProof/>
          <w:color w:val="000000"/>
          <w:sz w:val="14"/>
        </w:rPr>
        <w:t>Таблица 1.1</w:t>
      </w:r>
    </w:p>
    <w:p>
      <w:pPr>
        <w:pStyle w:val="Textstand-alone"/>
        <w:spacing w:before="0" w:after="0"/>
        <w:jc w:val="center"/>
        <w:rPr>
          <w:rFonts w:ascii="Arial" w:hAnsi="Arial" w:cs="Arial"/>
          <w:b/>
          <w:color w:val="000000"/>
          <w:sz w:val="14"/>
          <w:szCs w:val="20"/>
        </w:rPr>
      </w:pPr>
      <w:r>
        <w:rPr>
          <w:rFonts w:ascii="Arial" w:hAnsi="Arial"/>
          <w:b/>
          <w:color w:val="000000"/>
          <w:sz w:val="14"/>
        </w:rPr>
        <w:t>8-и ЕФР</w:t>
      </w:r>
    </w:p>
    <w:p>
      <w:pPr>
        <w:pStyle w:val="Textstand-alone"/>
        <w:spacing w:before="0" w:after="0"/>
        <w:jc w:val="center"/>
        <w:rPr>
          <w:rFonts w:ascii="Arial" w:hAnsi="Arial" w:cs="Arial"/>
          <w:b/>
          <w:color w:val="000000"/>
          <w:sz w:val="14"/>
          <w:szCs w:val="20"/>
        </w:rPr>
      </w:pPr>
      <w:r>
        <w:rPr>
          <w:rFonts w:ascii="Arial" w:hAnsi="Arial"/>
          <w:b/>
          <w:color w:val="000000"/>
          <w:sz w:val="14"/>
        </w:rPr>
        <w:t>ИЗМЕНЕНИЕ НА БЮДЖЕТНИТЕ КРЕДИТИ: 31 декември 2018 г.</w:t>
      </w:r>
    </w:p>
    <w:p>
      <w:pPr>
        <w:pStyle w:val="Textstand-alone"/>
        <w:spacing w:before="0" w:after="0"/>
        <w:jc w:val="center"/>
        <w:rPr>
          <w:rFonts w:ascii="Arial" w:hAnsi="Arial" w:cs="Arial"/>
          <w:b/>
          <w:color w:val="000000"/>
          <w:sz w:val="14"/>
          <w:szCs w:val="20"/>
        </w:rPr>
      </w:pPr>
      <w:r>
        <w:rPr>
          <w:rFonts w:ascii="Arial" w:hAnsi="Arial"/>
          <w:b/>
          <w:color w:val="000000"/>
          <w:sz w:val="14"/>
        </w:rPr>
        <w:t>АНАЛИЗ НА КРЕДИТИТЕ ПО ИНСТРУМЕНТИ</w:t>
      </w:r>
    </w:p>
    <w:tbl>
      <w:tblPr>
        <w:tblW w:w="5000"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795"/>
        <w:gridCol w:w="2097"/>
        <w:gridCol w:w="2097"/>
        <w:gridCol w:w="2097"/>
        <w:gridCol w:w="740"/>
        <w:gridCol w:w="2181"/>
        <w:gridCol w:w="181"/>
      </w:tblGrid>
      <w:tr>
        <w:trPr>
          <w:trHeight w:hRule="exact" w:val="546"/>
        </w:trPr>
        <w:tc>
          <w:tcPr>
            <w:tcW w:w="502"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bookmarkStart w:id="220" w:name="DOC_TBL00062_1_1"/>
            <w:bookmarkEnd w:id="220"/>
            <w:r>
              <w:rPr>
                <w:rFonts w:ascii="Arial" w:hAnsi="Arial"/>
                <w:b/>
                <w:noProof/>
                <w:color w:val="000000"/>
                <w:sz w:val="14"/>
              </w:rPr>
              <w:t>ИНСТРУМЕНТ</w:t>
            </w:r>
          </w:p>
        </w:tc>
        <w:tc>
          <w:tcPr>
            <w:tcW w:w="209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hAnsi="Arial"/>
                <w:b/>
                <w:noProof/>
                <w:color w:val="000000"/>
                <w:sz w:val="14"/>
              </w:rPr>
              <w:t>ПЪРВОНАЧАЛЕН БЮДЖЕТЕН КРЕДИТ</w:t>
            </w:r>
          </w:p>
        </w:tc>
        <w:tc>
          <w:tcPr>
            <w:tcW w:w="209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hAnsi="Arial"/>
                <w:b/>
                <w:noProof/>
                <w:color w:val="000000"/>
                <w:sz w:val="14"/>
              </w:rPr>
              <w:t>УВЕЛИЧЕНИЯ/НАМАЛЕНИЯ НА КУМУЛАТИВНИТЕ РЕСУРСИ КЪМ 31 ДЕКЕМВРИ 2017 г.</w:t>
            </w:r>
          </w:p>
        </w:tc>
        <w:tc>
          <w:tcPr>
            <w:tcW w:w="209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hAnsi="Arial"/>
                <w:b/>
                <w:noProof/>
                <w:color w:val="000000"/>
                <w:sz w:val="14"/>
              </w:rPr>
              <w:t>УВЕЛИЧЕНИЕ ИЛИ НАМАЛЕНИЕ НА РЕСУРСИТЕ ПРЕЗ 2018 г.</w:t>
            </w:r>
          </w:p>
        </w:tc>
        <w:tc>
          <w:tcPr>
            <w:tcW w:w="74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hAnsi="Arial"/>
                <w:b/>
                <w:noProof/>
                <w:color w:val="000000"/>
                <w:sz w:val="14"/>
              </w:rPr>
              <w:t>Забележки</w:t>
            </w:r>
          </w:p>
        </w:tc>
        <w:tc>
          <w:tcPr>
            <w:tcW w:w="2181"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b/>
                <w:noProof/>
                <w:color w:val="000000"/>
                <w:sz w:val="14"/>
              </w:rPr>
            </w:pPr>
            <w:r>
              <w:rPr>
                <w:rFonts w:ascii="Arial" w:hAnsi="Arial"/>
                <w:b/>
                <w:noProof/>
                <w:color w:val="000000"/>
                <w:sz w:val="14"/>
              </w:rPr>
              <w:t>ТЕКУЩО НИВО НА БЮДЖЕТНИТЕ КРЕДИТИ</w:t>
            </w:r>
          </w:p>
        </w:tc>
        <w:tc>
          <w:tcPr>
            <w:tcW w:w="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2"/>
              </w:rPr>
            </w:pPr>
          </w:p>
        </w:tc>
      </w:tr>
      <w:tr>
        <w:trPr>
          <w:trHeight w:hRule="exact" w:val="264"/>
        </w:trPr>
        <w:tc>
          <w:tcPr>
            <w:tcW w:w="50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c>
          <w:tcPr>
            <w:tcW w:w="479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r>
              <w:rPr>
                <w:rFonts w:ascii="Arial" w:hAnsi="Arial"/>
                <w:b/>
                <w:noProof/>
                <w:color w:val="000000"/>
                <w:sz w:val="14"/>
              </w:rPr>
              <w:t>Ломе</w:t>
            </w: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74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18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r>
      <w:tr>
        <w:trPr>
          <w:trHeight w:hRule="exact" w:val="232"/>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c>
          <w:tcPr>
            <w:tcW w:w="47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i/>
                <w:noProof/>
                <w:color w:val="000000"/>
                <w:sz w:val="14"/>
              </w:rPr>
            </w:pPr>
            <w:r>
              <w:rPr>
                <w:rFonts w:ascii="Arial" w:hAnsi="Arial"/>
                <w:b/>
                <w:i/>
                <w:noProof/>
                <w:color w:val="000000"/>
                <w:sz w:val="14"/>
              </w:rPr>
              <w:t>Редовни вноски на държавите членки</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color w:val="000000"/>
                <w:sz w:val="14"/>
              </w:rPr>
              <w:t>12 967</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FF0000"/>
                <w:sz w:val="14"/>
              </w:rPr>
            </w:pPr>
            <w:r>
              <w:rPr>
                <w:rFonts w:ascii="Arial" w:hAnsi="Arial"/>
                <w:b/>
                <w:i/>
                <w:noProof/>
                <w:color w:val="FF0000"/>
                <w:sz w:val="14"/>
              </w:rPr>
              <w:t>(3 278)</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FF0000"/>
                <w:sz w:val="14"/>
              </w:rPr>
            </w:pPr>
            <w:r>
              <w:rPr>
                <w:rFonts w:ascii="Arial" w:hAnsi="Arial"/>
                <w:b/>
                <w:i/>
                <w:noProof/>
                <w:color w:val="FF0000"/>
                <w:sz w:val="14"/>
              </w:rPr>
              <w:t>(7)</w:t>
            </w:r>
          </w:p>
        </w:tc>
        <w:tc>
          <w:tcPr>
            <w:tcW w:w="74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i/>
                <w:noProof/>
                <w:color w:val="000000"/>
                <w:sz w:val="14"/>
              </w:rPr>
            </w:pPr>
          </w:p>
        </w:tc>
        <w:tc>
          <w:tcPr>
            <w:tcW w:w="2181"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color w:val="000000"/>
                <w:sz w:val="14"/>
              </w:rPr>
              <w:t>9 683</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r>
      <w:tr>
        <w:trPr>
          <w:trHeight w:hRule="exact" w:val="232"/>
        </w:trPr>
        <w:tc>
          <w:tcPr>
            <w:tcW w:w="502"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r>
              <w:rPr>
                <w:rFonts w:ascii="Arial" w:hAnsi="Arial"/>
                <w:noProof/>
                <w:color w:val="000000"/>
                <w:sz w:val="14"/>
              </w:rPr>
              <w:t xml:space="preserve">АКТБ </w:t>
            </w: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Помощ за бежанци</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120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(20)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w:t>
            </w: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r>
              <w:rPr>
                <w:rFonts w:ascii="Arial" w:hAnsi="Arial"/>
                <w:noProof/>
                <w:color w:val="000000"/>
                <w:sz w:val="14"/>
              </w:rPr>
              <w:t>(1)</w:t>
            </w: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100</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r>
              <w:rPr>
                <w:rFonts w:ascii="Arial" w:hAnsi="Arial"/>
                <w:noProof/>
                <w:color w:val="FFFFFF"/>
                <w:sz w:val="14"/>
              </w:rPr>
              <w:t>Редовни вноски на държавите членки</w:t>
            </w: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Спешна помощ (Ломе)</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140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(4)</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136</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Тежко задлъжнели бедни страни (Ломе)</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1 060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1 060</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Лихвени субсидии</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370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(301)</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69</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Рисков капитал</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1 000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15</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(3)</w:t>
            </w: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r>
              <w:rPr>
                <w:rFonts w:ascii="Arial" w:hAnsi="Arial"/>
                <w:noProof/>
                <w:color w:val="000000"/>
                <w:sz w:val="14"/>
              </w:rPr>
              <w:t>(1)</w:t>
            </w: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1 012</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Stabex</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1 800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(1 077)</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723</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Структурна корекция</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1 400</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97</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1 497</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Sysmin</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575</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(474)</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101</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Общо индикативни програми</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7 562</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(2 608)</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FF0000"/>
                <w:sz w:val="14"/>
              </w:rPr>
            </w:pPr>
            <w:r>
              <w:rPr>
                <w:rFonts w:ascii="Arial" w:hAnsi="Arial"/>
                <w:noProof/>
                <w:color w:val="FF0000"/>
                <w:sz w:val="14"/>
              </w:rPr>
              <w:t>(3)</w:t>
            </w: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r>
              <w:rPr>
                <w:rFonts w:ascii="Arial" w:hAnsi="Arial"/>
                <w:noProof/>
                <w:color w:val="000000"/>
                <w:sz w:val="14"/>
              </w:rPr>
              <w:t>(1)</w:t>
            </w: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4 951</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Използване на приходите от лихви</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35</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35</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r>
              <w:rPr>
                <w:rFonts w:ascii="Arial" w:hAnsi="Arial"/>
                <w:b/>
                <w:noProof/>
                <w:color w:val="000000"/>
                <w:sz w:val="14"/>
              </w:rPr>
              <w:t>Котону</w:t>
            </w: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74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jc w:val="center"/>
              <w:rPr>
                <w:rFonts w:ascii="Arial" w:eastAsia="Arial" w:hAnsi="Arial" w:cs="Arial"/>
                <w:b/>
                <w:noProof/>
                <w:color w:val="000000"/>
                <w:sz w:val="14"/>
              </w:rPr>
            </w:pPr>
          </w:p>
        </w:tc>
        <w:tc>
          <w:tcPr>
            <w:tcW w:w="218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i/>
                <w:noProof/>
                <w:color w:val="000000"/>
                <w:sz w:val="14"/>
              </w:rPr>
            </w:pPr>
            <w:r>
              <w:rPr>
                <w:rFonts w:ascii="Arial" w:hAnsi="Arial"/>
                <w:b/>
                <w:i/>
                <w:noProof/>
                <w:color w:val="000000"/>
                <w:sz w:val="14"/>
              </w:rPr>
              <w:t>Редовни вноски на държавите членки</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color w:val="000000"/>
                <w:sz w:val="14"/>
              </w:rPr>
              <w:t>–</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color w:val="000000"/>
                <w:sz w:val="14"/>
              </w:rPr>
              <w:t>650</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p>
        </w:tc>
        <w:tc>
          <w:tcPr>
            <w:tcW w:w="74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b/>
                <w:i/>
                <w:noProof/>
                <w:color w:val="000000"/>
                <w:sz w:val="14"/>
              </w:rPr>
            </w:pPr>
          </w:p>
        </w:tc>
        <w:tc>
          <w:tcPr>
            <w:tcW w:w="2181"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color w:val="000000"/>
                <w:sz w:val="14"/>
              </w:rPr>
              <w:t>650</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Пакет A — Национални средства</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417</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417</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r>
              <w:rPr>
                <w:rFonts w:ascii="Arial" w:hAnsi="Arial"/>
                <w:noProof/>
                <w:color w:val="FFFFFF"/>
                <w:sz w:val="14"/>
              </w:rPr>
              <w:t>Редовни вноски на държавите членки</w:t>
            </w: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Пакет Б — Национални средства</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233</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233</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Лихви и други приходи</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102"/>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FFFFFF"/>
                <w:sz w:val="14"/>
              </w:rPr>
            </w:pPr>
            <w:r>
              <w:rPr>
                <w:rFonts w:ascii="Arial" w:hAnsi="Arial"/>
                <w:noProof/>
                <w:color w:val="FFFFFF"/>
                <w:sz w:val="14"/>
              </w:rPr>
              <w:t xml:space="preserve">АКТБ </w:t>
            </w:r>
          </w:p>
        </w:tc>
        <w:tc>
          <w:tcPr>
            <w:tcW w:w="479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jc w:val="right"/>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74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218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r>
      <w:tr>
        <w:trPr>
          <w:trHeight w:hRule="exact" w:val="290"/>
        </w:trPr>
        <w:tc>
          <w:tcPr>
            <w:tcW w:w="50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479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rPr>
                <w:rFonts w:ascii="Arial" w:eastAsia="Arial" w:hAnsi="Arial" w:cs="Arial"/>
                <w:b/>
                <w:noProof/>
                <w:color w:val="FFFFFF"/>
                <w:sz w:val="16"/>
              </w:rPr>
            </w:pPr>
            <w:r>
              <w:rPr>
                <w:rFonts w:ascii="Arial" w:hAnsi="Arial"/>
                <w:b/>
                <w:noProof/>
                <w:color w:val="FFFFFF"/>
                <w:sz w:val="16"/>
              </w:rPr>
              <w:t xml:space="preserve">МЕЖДИННА СУМА АКТБ </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hAnsi="Arial"/>
                <w:b/>
                <w:noProof/>
                <w:color w:val="FFFFFF"/>
                <w:sz w:val="16"/>
              </w:rPr>
              <w:t>12 967</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0000"/>
                <w:sz w:val="16"/>
              </w:rPr>
            </w:pPr>
            <w:r>
              <w:rPr>
                <w:rFonts w:ascii="Arial" w:hAnsi="Arial"/>
                <w:b/>
                <w:noProof/>
                <w:color w:val="FF0000"/>
                <w:sz w:val="16"/>
              </w:rPr>
              <w:t>(2 628)</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0000"/>
                <w:sz w:val="16"/>
              </w:rPr>
            </w:pPr>
            <w:r>
              <w:rPr>
                <w:rFonts w:ascii="Arial" w:hAnsi="Arial"/>
                <w:b/>
                <w:noProof/>
                <w:color w:val="FF0000"/>
                <w:sz w:val="16"/>
              </w:rPr>
              <w:t>(7)</w:t>
            </w:r>
          </w:p>
        </w:tc>
        <w:tc>
          <w:tcPr>
            <w:tcW w:w="74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1"/>
              <w:jc w:val="center"/>
              <w:rPr>
                <w:rFonts w:ascii="Arial" w:eastAsia="Arial" w:hAnsi="Arial" w:cs="Arial"/>
                <w:b/>
                <w:noProof/>
                <w:color w:val="FFFFFF"/>
                <w:sz w:val="16"/>
              </w:rPr>
            </w:pPr>
          </w:p>
        </w:tc>
        <w:tc>
          <w:tcPr>
            <w:tcW w:w="2181"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hAnsi="Arial"/>
                <w:b/>
                <w:noProof/>
                <w:color w:val="FFFFFF"/>
                <w:sz w:val="16"/>
              </w:rPr>
              <w:t>10 333</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r>
      <w:tr>
        <w:trPr>
          <w:trHeight w:hRule="exact" w:val="232"/>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47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74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24"/>
              </w:rPr>
            </w:pPr>
          </w:p>
        </w:tc>
        <w:tc>
          <w:tcPr>
            <w:tcW w:w="2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r>
      <w:tr>
        <w:trPr>
          <w:trHeight w:hRule="exact" w:val="221"/>
        </w:trPr>
        <w:tc>
          <w:tcPr>
            <w:tcW w:w="50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c>
          <w:tcPr>
            <w:tcW w:w="479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r>
              <w:rPr>
                <w:rFonts w:ascii="Arial" w:hAnsi="Arial"/>
                <w:b/>
                <w:noProof/>
                <w:color w:val="000000"/>
                <w:sz w:val="14"/>
              </w:rPr>
              <w:t>Ломе</w:t>
            </w: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209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74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jc w:val="center"/>
              <w:rPr>
                <w:rFonts w:ascii="Arial" w:eastAsia="Arial" w:hAnsi="Arial" w:cs="Arial"/>
                <w:b/>
                <w:noProof/>
                <w:color w:val="000000"/>
                <w:sz w:val="14"/>
              </w:rPr>
            </w:pPr>
          </w:p>
        </w:tc>
        <w:tc>
          <w:tcPr>
            <w:tcW w:w="218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1"/>
              <w:rPr>
                <w:rFonts w:ascii="Arial" w:eastAsia="Arial" w:hAnsi="Arial" w:cs="Arial"/>
                <w:b/>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r>
      <w:tr>
        <w:trPr>
          <w:trHeight w:hRule="exact" w:val="232"/>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c>
          <w:tcPr>
            <w:tcW w:w="47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b/>
                <w:i/>
                <w:noProof/>
                <w:color w:val="000000"/>
                <w:sz w:val="14"/>
              </w:rPr>
            </w:pPr>
            <w:r>
              <w:rPr>
                <w:rFonts w:ascii="Arial" w:hAnsi="Arial"/>
                <w:b/>
                <w:i/>
                <w:noProof/>
                <w:color w:val="000000"/>
                <w:sz w:val="14"/>
              </w:rPr>
              <w:t>Редовни вноски на държавите членки</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color w:val="000000"/>
                <w:sz w:val="14"/>
              </w:rPr>
              <w:t>–</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color w:val="000000"/>
                <w:sz w:val="14"/>
              </w:rPr>
              <w:t>46</w:t>
            </w:r>
          </w:p>
        </w:tc>
        <w:tc>
          <w:tcPr>
            <w:tcW w:w="209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p>
        </w:tc>
        <w:tc>
          <w:tcPr>
            <w:tcW w:w="74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b/>
                <w:i/>
                <w:noProof/>
                <w:color w:val="000000"/>
                <w:sz w:val="14"/>
              </w:rPr>
            </w:pPr>
          </w:p>
        </w:tc>
        <w:tc>
          <w:tcPr>
            <w:tcW w:w="2181"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b/>
                <w:i/>
                <w:noProof/>
                <w:color w:val="000000"/>
                <w:sz w:val="14"/>
              </w:rPr>
            </w:pPr>
            <w:r>
              <w:rPr>
                <w:rFonts w:ascii="Arial" w:hAnsi="Arial"/>
                <w:b/>
                <w:i/>
                <w:noProof/>
                <w:color w:val="000000"/>
                <w:sz w:val="14"/>
              </w:rPr>
              <w:t>46</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b/>
                <w:noProof/>
                <w:color w:val="FFFFFF"/>
                <w:sz w:val="14"/>
              </w:rPr>
            </w:pPr>
          </w:p>
        </w:tc>
      </w:tr>
      <w:tr>
        <w:trPr>
          <w:trHeight w:hRule="exact" w:val="232"/>
        </w:trPr>
        <w:tc>
          <w:tcPr>
            <w:tcW w:w="502"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r>
              <w:rPr>
                <w:rFonts w:ascii="Arial" w:hAnsi="Arial"/>
                <w:noProof/>
                <w:color w:val="000000"/>
                <w:sz w:val="14"/>
              </w:rPr>
              <w:t>ОСТ</w:t>
            </w: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Лихвени субсидии</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r>
              <w:rPr>
                <w:rFonts w:ascii="Arial" w:hAnsi="Arial"/>
                <w:noProof/>
                <w:color w:val="FFFFFF"/>
                <w:sz w:val="14"/>
              </w:rPr>
              <w:t>Редовни вноски на държавите членки</w:t>
            </w: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Рисков капитал</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6</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6</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Stabex</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1</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Sysmin</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2</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2</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p>
        </w:tc>
        <w:tc>
          <w:tcPr>
            <w:tcW w:w="47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000000"/>
                <w:sz w:val="14"/>
              </w:rPr>
            </w:pPr>
            <w:r>
              <w:rPr>
                <w:rFonts w:ascii="Arial" w:hAnsi="Arial"/>
                <w:noProof/>
                <w:color w:val="000000"/>
                <w:sz w:val="14"/>
              </w:rPr>
              <w:t xml:space="preserve">       Общо индикативни програми</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35</w:t>
            </w:r>
          </w:p>
        </w:tc>
        <w:tc>
          <w:tcPr>
            <w:tcW w:w="209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p>
        </w:tc>
        <w:tc>
          <w:tcPr>
            <w:tcW w:w="74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1"/>
              <w:jc w:val="center"/>
              <w:rPr>
                <w:rFonts w:ascii="Arial" w:eastAsia="Arial" w:hAnsi="Arial" w:cs="Arial"/>
                <w:noProof/>
                <w:color w:val="000000"/>
                <w:sz w:val="14"/>
              </w:rPr>
            </w:pPr>
          </w:p>
        </w:tc>
        <w:tc>
          <w:tcPr>
            <w:tcW w:w="2181" w:type="dxa"/>
            <w:tcBorders>
              <w:top w:val="nil"/>
              <w:left w:val="nil"/>
              <w:bottom w:val="nil"/>
              <w:right w:val="nil"/>
              <w:tl2br w:val="nil"/>
              <w:tr2bl w:val="nil"/>
            </w:tcBorders>
            <w:shd w:val="solid" w:color="FFFFFF" w:fill="FFFFFF"/>
            <w:tcMar>
              <w:left w:w="60" w:type="dxa"/>
              <w:right w:w="60" w:type="dxa"/>
            </w:tcMar>
            <w:vAlign w:val="bottom"/>
          </w:tcPr>
          <w:p>
            <w:pPr>
              <w:pStyle w:val="DMETW15549BIPTable11"/>
              <w:jc w:val="right"/>
              <w:rPr>
                <w:rFonts w:ascii="Arial" w:eastAsia="Arial" w:hAnsi="Arial" w:cs="Arial"/>
                <w:noProof/>
                <w:color w:val="000000"/>
                <w:sz w:val="14"/>
              </w:rPr>
            </w:pPr>
            <w:r>
              <w:rPr>
                <w:rFonts w:ascii="Arial" w:hAnsi="Arial"/>
                <w:noProof/>
                <w:color w:val="000000"/>
                <w:sz w:val="14"/>
              </w:rPr>
              <w:t>35</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1"/>
              <w:rPr>
                <w:rFonts w:ascii="Arial" w:eastAsia="Arial" w:hAnsi="Arial" w:cs="Arial"/>
                <w:noProof/>
                <w:color w:val="FFFFFF"/>
                <w:sz w:val="14"/>
              </w:rPr>
            </w:pPr>
          </w:p>
        </w:tc>
      </w:tr>
      <w:tr>
        <w:trPr>
          <w:trHeight w:hRule="exact" w:val="232"/>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FFFFFF"/>
                <w:sz w:val="14"/>
              </w:rPr>
            </w:pPr>
            <w:r>
              <w:rPr>
                <w:rFonts w:ascii="Arial" w:hAnsi="Arial"/>
                <w:noProof/>
                <w:color w:val="FFFFFF"/>
                <w:sz w:val="14"/>
              </w:rPr>
              <w:t>ОСТ</w:t>
            </w:r>
          </w:p>
        </w:tc>
        <w:tc>
          <w:tcPr>
            <w:tcW w:w="479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jc w:val="right"/>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09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74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218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r>
      <w:tr>
        <w:trPr>
          <w:trHeight w:hRule="exact" w:val="233"/>
        </w:trPr>
        <w:tc>
          <w:tcPr>
            <w:tcW w:w="50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479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rPr>
                <w:rFonts w:ascii="Arial" w:eastAsia="Arial" w:hAnsi="Arial" w:cs="Arial"/>
                <w:b/>
                <w:noProof/>
                <w:color w:val="FFFFFF"/>
                <w:sz w:val="16"/>
              </w:rPr>
            </w:pPr>
            <w:r>
              <w:rPr>
                <w:rFonts w:ascii="Arial" w:hAnsi="Arial"/>
                <w:b/>
                <w:noProof/>
                <w:color w:val="FFFFFF"/>
                <w:sz w:val="16"/>
              </w:rPr>
              <w:t>МЕЖДИННА СУМА ОСТ</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hAnsi="Arial"/>
                <w:b/>
                <w:noProof/>
                <w:color w:val="FFFFFF"/>
                <w:sz w:val="16"/>
              </w:rPr>
              <w:t>–</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hAnsi="Arial"/>
                <w:b/>
                <w:noProof/>
                <w:color w:val="FFFFFF"/>
                <w:sz w:val="16"/>
              </w:rPr>
              <w:t>46</w:t>
            </w:r>
          </w:p>
        </w:tc>
        <w:tc>
          <w:tcPr>
            <w:tcW w:w="209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p>
        </w:tc>
        <w:tc>
          <w:tcPr>
            <w:tcW w:w="74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1"/>
              <w:rPr>
                <w:rFonts w:ascii="Arial" w:eastAsia="Arial" w:hAnsi="Arial" w:cs="Arial"/>
                <w:b/>
                <w:noProof/>
                <w:color w:val="FFFFFF"/>
                <w:sz w:val="16"/>
              </w:rPr>
            </w:pPr>
          </w:p>
        </w:tc>
        <w:tc>
          <w:tcPr>
            <w:tcW w:w="2181"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hAnsi="Arial"/>
                <w:b/>
                <w:noProof/>
                <w:color w:val="FFFFFF"/>
                <w:sz w:val="16"/>
              </w:rPr>
              <w:t>46</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p>
        </w:tc>
      </w:tr>
      <w:tr>
        <w:trPr>
          <w:trHeight w:hRule="exact" w:val="232"/>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47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74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2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c>
          <w:tcPr>
            <w:tcW w:w="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24"/>
              </w:rPr>
            </w:pPr>
          </w:p>
        </w:tc>
      </w:tr>
      <w:tr>
        <w:trPr>
          <w:trHeight w:hRule="exact" w:val="255"/>
        </w:trPr>
        <w:tc>
          <w:tcPr>
            <w:tcW w:w="502"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11"/>
              <w:rPr>
                <w:rFonts w:ascii="Arial" w:eastAsia="Arial" w:hAnsi="Arial" w:cs="Arial"/>
                <w:noProof/>
                <w:color w:val="000000"/>
                <w:sz w:val="14"/>
              </w:rPr>
            </w:pPr>
          </w:p>
        </w:tc>
        <w:tc>
          <w:tcPr>
            <w:tcW w:w="479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1"/>
              <w:rPr>
                <w:rFonts w:ascii="Arial" w:eastAsia="Arial" w:hAnsi="Arial" w:cs="Arial"/>
                <w:b/>
                <w:noProof/>
                <w:color w:val="FFFFFF"/>
                <w:sz w:val="16"/>
              </w:rPr>
            </w:pPr>
            <w:r>
              <w:rPr>
                <w:rFonts w:ascii="Arial" w:hAnsi="Arial"/>
                <w:b/>
                <w:noProof/>
                <w:color w:val="FFFFFF"/>
                <w:sz w:val="16"/>
              </w:rPr>
              <w:t>ОБЩО 8-и ЕФР</w:t>
            </w:r>
          </w:p>
        </w:tc>
        <w:tc>
          <w:tcPr>
            <w:tcW w:w="209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hAnsi="Arial"/>
                <w:b/>
                <w:noProof/>
                <w:color w:val="FFFFFF"/>
                <w:sz w:val="16"/>
              </w:rPr>
              <w:t>12 967</w:t>
            </w:r>
          </w:p>
        </w:tc>
        <w:tc>
          <w:tcPr>
            <w:tcW w:w="209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1"/>
              <w:jc w:val="right"/>
              <w:rPr>
                <w:rFonts w:ascii="Arial" w:eastAsia="Arial" w:hAnsi="Arial" w:cs="Arial"/>
                <w:b/>
                <w:noProof/>
                <w:color w:val="FF0000"/>
                <w:sz w:val="16"/>
              </w:rPr>
            </w:pPr>
            <w:r>
              <w:rPr>
                <w:rFonts w:ascii="Arial" w:hAnsi="Arial"/>
                <w:b/>
                <w:noProof/>
                <w:color w:val="FF0000"/>
                <w:sz w:val="16"/>
              </w:rPr>
              <w:t>(2,582)</w:t>
            </w:r>
          </w:p>
        </w:tc>
        <w:tc>
          <w:tcPr>
            <w:tcW w:w="209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1"/>
              <w:jc w:val="right"/>
              <w:rPr>
                <w:rFonts w:ascii="Arial" w:eastAsia="Arial" w:hAnsi="Arial" w:cs="Arial"/>
                <w:b/>
                <w:noProof/>
                <w:color w:val="FF0000"/>
                <w:sz w:val="16"/>
              </w:rPr>
            </w:pPr>
            <w:r>
              <w:rPr>
                <w:rFonts w:ascii="Arial" w:hAnsi="Arial"/>
                <w:b/>
                <w:noProof/>
                <w:color w:val="FF0000"/>
                <w:sz w:val="16"/>
              </w:rPr>
              <w:t>(7)</w:t>
            </w:r>
          </w:p>
        </w:tc>
        <w:tc>
          <w:tcPr>
            <w:tcW w:w="74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11"/>
              <w:rPr>
                <w:rFonts w:ascii="Arial" w:eastAsia="Arial" w:hAnsi="Arial" w:cs="Arial"/>
                <w:noProof/>
                <w:color w:val="FFFFFF"/>
                <w:sz w:val="14"/>
              </w:rPr>
            </w:pPr>
          </w:p>
        </w:tc>
        <w:tc>
          <w:tcPr>
            <w:tcW w:w="2181"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5549BIPTable11"/>
              <w:jc w:val="right"/>
              <w:rPr>
                <w:rFonts w:ascii="Arial" w:eastAsia="Arial" w:hAnsi="Arial" w:cs="Arial"/>
                <w:b/>
                <w:noProof/>
                <w:color w:val="FFFFFF"/>
                <w:sz w:val="16"/>
              </w:rPr>
            </w:pPr>
            <w:r>
              <w:rPr>
                <w:rFonts w:ascii="Arial" w:hAnsi="Arial"/>
                <w:b/>
                <w:noProof/>
                <w:color w:val="FFFFFF"/>
                <w:sz w:val="16"/>
              </w:rPr>
              <w:t>10 379</w:t>
            </w:r>
          </w:p>
        </w:tc>
        <w:tc>
          <w:tcPr>
            <w:tcW w:w="181"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r>
      <w:tr>
        <w:trPr>
          <w:trHeight w:hRule="exact" w:val="232"/>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47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jc w:val="right"/>
              <w:rPr>
                <w:rFonts w:ascii="Arial" w:eastAsia="Arial" w:hAnsi="Arial" w:cs="Arial"/>
                <w:noProof/>
                <w:color w:val="000000"/>
                <w:sz w:val="18"/>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209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74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2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c>
          <w:tcPr>
            <w:tcW w:w="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r>
      <w:tr>
        <w:trPr>
          <w:trHeight w:hRule="exact" w:val="298"/>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jc w:val="center"/>
              <w:rPr>
                <w:rFonts w:ascii="Arial" w:eastAsia="Arial" w:hAnsi="Arial" w:cs="Arial"/>
                <w:noProof/>
                <w:color w:val="000000"/>
                <w:sz w:val="14"/>
              </w:rPr>
            </w:pPr>
            <w:r>
              <w:rPr>
                <w:rFonts w:ascii="Arial" w:hAnsi="Arial"/>
                <w:noProof/>
                <w:color w:val="000000"/>
                <w:sz w:val="14"/>
              </w:rPr>
              <w:t>(1)</w:t>
            </w:r>
          </w:p>
        </w:tc>
        <w:tc>
          <w:tcPr>
            <w:tcW w:w="479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4"/>
              </w:rPr>
            </w:pPr>
            <w:r>
              <w:rPr>
                <w:rFonts w:ascii="Arial" w:hAnsi="Arial"/>
                <w:noProof/>
                <w:color w:val="000000"/>
                <w:sz w:val="14"/>
              </w:rPr>
              <w:t>Всички намаления са отменени задължения, прехвърлени към резерва за изпълнение на 10-и ЕФР, който не може да бъде мобилизиран</w:t>
            </w:r>
          </w:p>
        </w:tc>
        <w:tc>
          <w:tcPr>
            <w:tcW w:w="181" w:type="dxa"/>
            <w:tcBorders>
              <w:top w:val="nil"/>
              <w:left w:val="nil"/>
              <w:bottom w:val="nil"/>
              <w:right w:val="nil"/>
              <w:tl2br w:val="nil"/>
              <w:tr2bl w:val="nil"/>
            </w:tcBorders>
            <w:shd w:val="solid" w:color="FFFFFF" w:fill="FFFFFF"/>
            <w:tcMar>
              <w:left w:w="60" w:type="dxa"/>
              <w:right w:w="60" w:type="dxa"/>
            </w:tcMar>
            <w:vAlign w:val="center"/>
          </w:tcPr>
          <w:p>
            <w:pPr>
              <w:pStyle w:val="DMETW15549BIPTable11"/>
              <w:rPr>
                <w:rFonts w:ascii="Arial" w:eastAsia="Arial" w:hAnsi="Arial" w:cs="Arial"/>
                <w:noProof/>
                <w:color w:val="000000"/>
                <w:sz w:val="18"/>
              </w:rPr>
            </w:pPr>
          </w:p>
        </w:tc>
      </w:tr>
    </w:tbl>
    <w:p>
      <w:pPr>
        <w:rPr>
          <w:noProof/>
        </w:rPr>
      </w:pPr>
    </w:p>
    <w:p>
      <w:pPr>
        <w:pStyle w:val="Textstand-alonenumberingJustified"/>
        <w:numPr>
          <w:ilvl w:val="0"/>
          <w:numId w:val="0"/>
        </w:numPr>
        <w:ind w:left="720" w:hanging="360"/>
        <w:rPr>
          <w:noProof/>
        </w:rPr>
        <w:sectPr>
          <w:headerReference w:type="even" r:id="rId409"/>
          <w:headerReference w:type="default" r:id="rId410"/>
          <w:footerReference w:type="even" r:id="rId411"/>
          <w:footerReference w:type="default" r:id="rId412"/>
          <w:headerReference w:type="first" r:id="rId413"/>
          <w:footerReference w:type="first" r:id="rId414"/>
          <w:pgSz w:w="16838" w:h="11906" w:orient="landscape" w:code="9"/>
          <w:pgMar w:top="1134" w:right="1134" w:bottom="1134" w:left="1134" w:header="708" w:footer="708" w:gutter="0"/>
          <w:cols w:space="708"/>
          <w:docGrid w:linePitch="360"/>
        </w:sectPr>
      </w:pPr>
    </w:p>
    <w:p>
      <w:pPr>
        <w:rPr>
          <w:rFonts w:ascii="Arial" w:hAnsi="Arial" w:cs="Arial"/>
          <w:noProof/>
          <w:color w:val="000000"/>
          <w:sz w:val="14"/>
        </w:rPr>
      </w:pPr>
      <w:r>
        <w:rPr>
          <w:rFonts w:ascii="Arial" w:hAnsi="Arial"/>
          <w:noProof/>
          <w:color w:val="000000"/>
          <w:sz w:val="14"/>
        </w:rPr>
        <w:t>Таблица 1.2</w:t>
      </w:r>
      <w:r>
        <w:rPr>
          <w:noProof/>
        </w:rPr>
        <w:tab/>
      </w:r>
    </w:p>
    <w:p>
      <w:pPr>
        <w:jc w:val="center"/>
        <w:rPr>
          <w:rFonts w:ascii="Arial" w:hAnsi="Arial" w:cs="Arial"/>
          <w:b/>
          <w:noProof/>
          <w:color w:val="000000"/>
          <w:sz w:val="14"/>
        </w:rPr>
      </w:pPr>
      <w:r>
        <w:rPr>
          <w:rFonts w:ascii="Arial" w:hAnsi="Arial"/>
          <w:b/>
          <w:noProof/>
          <w:color w:val="000000"/>
          <w:sz w:val="14"/>
        </w:rPr>
        <w:t>9-и ЕФР</w:t>
      </w:r>
    </w:p>
    <w:p>
      <w:pPr>
        <w:jc w:val="center"/>
        <w:rPr>
          <w:rFonts w:ascii="Arial" w:hAnsi="Arial" w:cs="Arial"/>
          <w:b/>
          <w:noProof/>
          <w:color w:val="000000"/>
          <w:sz w:val="14"/>
        </w:rPr>
      </w:pPr>
      <w:r>
        <w:rPr>
          <w:rFonts w:ascii="Arial" w:hAnsi="Arial"/>
          <w:b/>
          <w:noProof/>
          <w:color w:val="000000"/>
          <w:sz w:val="14"/>
        </w:rPr>
        <w:t>ИЗМЕНЕНИЕ НА БЮДЖЕТНИТЕ КРЕДИТИ: 31 декември 2018 г.</w:t>
      </w:r>
    </w:p>
    <w:p>
      <w:pPr>
        <w:pStyle w:val="Textstand-alone"/>
        <w:spacing w:before="0" w:after="0"/>
        <w:jc w:val="center"/>
        <w:rPr>
          <w:rFonts w:ascii="Arial" w:hAnsi="Arial" w:cs="Arial"/>
          <w:b/>
          <w:color w:val="000000"/>
          <w:sz w:val="14"/>
          <w:szCs w:val="20"/>
        </w:rPr>
      </w:pPr>
      <w:r>
        <w:rPr>
          <w:rFonts w:ascii="Arial" w:hAnsi="Arial"/>
          <w:b/>
          <w:color w:val="000000"/>
          <w:sz w:val="14"/>
        </w:rPr>
        <w:t>АНАЛИЗ НА КРЕДИТИТЕ ПО ИНСТРУМЕНТИ</w:t>
      </w:r>
      <w:r>
        <w:tab/>
      </w:r>
    </w:p>
    <w:tbl>
      <w:tblPr>
        <w:tblW w:w="5000"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400"/>
        <w:gridCol w:w="2385"/>
        <w:gridCol w:w="2704"/>
        <w:gridCol w:w="2559"/>
        <w:gridCol w:w="857"/>
        <w:gridCol w:w="2126"/>
        <w:gridCol w:w="157"/>
      </w:tblGrid>
      <w:tr>
        <w:trPr>
          <w:trHeight w:hRule="exact" w:val="137"/>
        </w:trPr>
        <w:tc>
          <w:tcPr>
            <w:tcW w:w="502"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bookmarkStart w:id="221" w:name="DOC_TBL00063_1_1"/>
            <w:bookmarkEnd w:id="221"/>
          </w:p>
        </w:tc>
        <w:tc>
          <w:tcPr>
            <w:tcW w:w="238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270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255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8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right"/>
              <w:rPr>
                <w:rFonts w:ascii="Arial" w:eastAsia="Arial" w:hAnsi="Arial" w:cs="Arial"/>
                <w:noProof/>
                <w:color w:val="000000"/>
                <w:sz w:val="14"/>
              </w:rPr>
            </w:pPr>
            <w:r>
              <w:rPr>
                <w:rFonts w:ascii="Arial" w:hAnsi="Arial"/>
                <w:noProof/>
                <w:color w:val="000000"/>
                <w:sz w:val="14"/>
              </w:rPr>
              <w:t>(милиони евро)</w:t>
            </w:r>
          </w:p>
        </w:tc>
        <w:tc>
          <w:tcPr>
            <w:tcW w:w="15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2"/>
              </w:rPr>
            </w:pPr>
          </w:p>
        </w:tc>
      </w:tr>
      <w:tr>
        <w:trPr>
          <w:trHeight w:hRule="exact" w:val="567"/>
        </w:trPr>
        <w:tc>
          <w:tcPr>
            <w:tcW w:w="502"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hAnsi="Arial"/>
                <w:b/>
                <w:noProof/>
                <w:color w:val="000000"/>
                <w:sz w:val="14"/>
              </w:rPr>
              <w:t>ИНСТРУМЕНТ</w:t>
            </w:r>
          </w:p>
        </w:tc>
        <w:tc>
          <w:tcPr>
            <w:tcW w:w="238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hAnsi="Arial"/>
                <w:b/>
                <w:noProof/>
                <w:color w:val="000000"/>
                <w:sz w:val="14"/>
              </w:rPr>
              <w:t>ПЪРВОНАЧАЛЕН БЮДЖЕТЕН КРЕДИТ</w:t>
            </w:r>
          </w:p>
        </w:tc>
        <w:tc>
          <w:tcPr>
            <w:tcW w:w="2704"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hAnsi="Arial"/>
                <w:b/>
                <w:noProof/>
                <w:color w:val="000000"/>
                <w:sz w:val="14"/>
              </w:rPr>
              <w:t>УВЕЛИЧЕНИЯ/НАМАЛЕНИЯ НА КУМУЛАТИВНИТЕ РЕСУРСИ КЪМ 31 ДЕКЕМВРИ 2017 г.</w:t>
            </w:r>
          </w:p>
        </w:tc>
        <w:tc>
          <w:tcPr>
            <w:tcW w:w="255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hAnsi="Arial"/>
                <w:b/>
                <w:noProof/>
                <w:color w:val="000000"/>
                <w:sz w:val="14"/>
              </w:rPr>
              <w:t>УВЕЛИЧЕНИЕ ИЛИ НАМАЛЕНИЕ НА РЕСУРСИТЕ ПРЕЗ 2018 г.</w:t>
            </w:r>
          </w:p>
        </w:tc>
        <w:tc>
          <w:tcPr>
            <w:tcW w:w="85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hAnsi="Arial"/>
                <w:b/>
                <w:noProof/>
                <w:color w:val="000000"/>
                <w:sz w:val="14"/>
              </w:rPr>
              <w:t>Забележки</w:t>
            </w:r>
          </w:p>
        </w:tc>
        <w:tc>
          <w:tcPr>
            <w:tcW w:w="212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b/>
                <w:noProof/>
                <w:color w:val="000000"/>
                <w:sz w:val="14"/>
              </w:rPr>
            </w:pPr>
            <w:r>
              <w:rPr>
                <w:rFonts w:ascii="Arial" w:hAnsi="Arial"/>
                <w:b/>
                <w:noProof/>
                <w:color w:val="000000"/>
                <w:sz w:val="14"/>
              </w:rPr>
              <w:t>ТЕКУЩО НИВО НА БЮДЖЕТНИТЕ КРЕДИТИ</w:t>
            </w:r>
          </w:p>
        </w:tc>
        <w:tc>
          <w:tcPr>
            <w:tcW w:w="15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2"/>
              </w:rPr>
            </w:pPr>
          </w:p>
        </w:tc>
      </w:tr>
      <w:tr>
        <w:trPr>
          <w:trHeight w:hRule="exact" w:val="170"/>
        </w:trPr>
        <w:tc>
          <w:tcPr>
            <w:tcW w:w="50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c>
          <w:tcPr>
            <w:tcW w:w="340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r>
              <w:rPr>
                <w:rFonts w:ascii="Arial" w:hAnsi="Arial"/>
                <w:b/>
                <w:noProof/>
                <w:color w:val="000000"/>
                <w:sz w:val="14"/>
              </w:rPr>
              <w:t>Ломе</w:t>
            </w:r>
          </w:p>
        </w:tc>
        <w:tc>
          <w:tcPr>
            <w:tcW w:w="238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70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55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85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c>
          <w:tcPr>
            <w:tcW w:w="340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i/>
                <w:noProof/>
                <w:color w:val="000000"/>
                <w:sz w:val="14"/>
              </w:rPr>
            </w:pPr>
            <w:r>
              <w:rPr>
                <w:rFonts w:ascii="Arial" w:hAnsi="Arial"/>
                <w:b/>
                <w:i/>
                <w:noProof/>
                <w:color w:val="000000"/>
                <w:sz w:val="14"/>
              </w:rPr>
              <w:t>Редовни вноски на държавите членки</w:t>
            </w:r>
          </w:p>
        </w:tc>
        <w:tc>
          <w:tcPr>
            <w:tcW w:w="238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color w:val="000000"/>
                <w:sz w:val="14"/>
              </w:rPr>
              <w:t>–</w:t>
            </w:r>
          </w:p>
        </w:tc>
        <w:tc>
          <w:tcPr>
            <w:tcW w:w="270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color w:val="000000"/>
                <w:sz w:val="14"/>
              </w:rPr>
              <w:t>669</w:t>
            </w:r>
          </w:p>
        </w:tc>
        <w:tc>
          <w:tcPr>
            <w:tcW w:w="2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FF0000"/>
                <w:sz w:val="14"/>
              </w:rPr>
            </w:pPr>
            <w:r>
              <w:rPr>
                <w:rFonts w:ascii="Arial" w:hAnsi="Arial"/>
                <w:b/>
                <w:i/>
                <w:noProof/>
                <w:color w:val="FF0000"/>
                <w:sz w:val="14"/>
              </w:rPr>
              <w:t>(2)</w:t>
            </w:r>
          </w:p>
        </w:tc>
        <w:tc>
          <w:tcPr>
            <w:tcW w:w="8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b/>
                <w:i/>
                <w:noProof/>
                <w:color w:val="000000"/>
                <w:sz w:val="14"/>
              </w:rPr>
            </w:pPr>
          </w:p>
        </w:tc>
        <w:tc>
          <w:tcPr>
            <w:tcW w:w="2126"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color w:val="000000"/>
                <w:sz w:val="14"/>
              </w:rPr>
              <w:t>668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502"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hAnsi="Arial"/>
                <w:noProof/>
                <w:color w:val="000000"/>
                <w:sz w:val="14"/>
              </w:rPr>
              <w:t xml:space="preserve">АКТБ </w:t>
            </w: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Трансфери от 6-и ЕФР - Ломе</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20</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20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r>
              <w:rPr>
                <w:rFonts w:ascii="Arial" w:hAnsi="Arial"/>
                <w:noProof/>
                <w:color w:val="FFFFFF"/>
                <w:sz w:val="14"/>
              </w:rPr>
              <w:t>Редовни вноски на държавите членки</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Трансфери от 7-и ЕФР — Ломе</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649</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(2)</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647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r>
              <w:rPr>
                <w:rFonts w:ascii="Arial" w:hAnsi="Arial"/>
                <w:b/>
                <w:noProof/>
                <w:color w:val="000000"/>
                <w:sz w:val="14"/>
              </w:rPr>
              <w:t>Котону</w:t>
            </w:r>
          </w:p>
        </w:tc>
        <w:tc>
          <w:tcPr>
            <w:tcW w:w="238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70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55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85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jc w:val="center"/>
              <w:rPr>
                <w:rFonts w:ascii="Arial" w:eastAsia="Arial" w:hAnsi="Arial" w:cs="Arial"/>
                <w:b/>
                <w:noProof/>
                <w:color w:val="000000"/>
                <w:sz w:val="14"/>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i/>
                <w:noProof/>
                <w:color w:val="000000"/>
                <w:sz w:val="14"/>
              </w:rPr>
            </w:pPr>
            <w:r>
              <w:rPr>
                <w:rFonts w:ascii="Arial" w:hAnsi="Arial"/>
                <w:b/>
                <w:i/>
                <w:noProof/>
                <w:color w:val="000000"/>
                <w:sz w:val="14"/>
              </w:rPr>
              <w:t>Редовни вноски на държавите членки</w:t>
            </w:r>
          </w:p>
        </w:tc>
        <w:tc>
          <w:tcPr>
            <w:tcW w:w="238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color w:val="000000"/>
                <w:sz w:val="14"/>
              </w:rPr>
              <w:t>8 919</w:t>
            </w:r>
          </w:p>
        </w:tc>
        <w:tc>
          <w:tcPr>
            <w:tcW w:w="270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color w:val="000000"/>
                <w:sz w:val="14"/>
              </w:rPr>
              <w:t>5 549</w:t>
            </w:r>
          </w:p>
        </w:tc>
        <w:tc>
          <w:tcPr>
            <w:tcW w:w="2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FF0000"/>
                <w:sz w:val="14"/>
              </w:rPr>
            </w:pPr>
            <w:r>
              <w:rPr>
                <w:rFonts w:ascii="Arial" w:hAnsi="Arial"/>
                <w:b/>
                <w:i/>
                <w:noProof/>
                <w:color w:val="FF0000"/>
                <w:sz w:val="14"/>
              </w:rPr>
              <w:t>(36)</w:t>
            </w:r>
          </w:p>
        </w:tc>
        <w:tc>
          <w:tcPr>
            <w:tcW w:w="8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b/>
                <w:i/>
                <w:noProof/>
                <w:color w:val="000000"/>
                <w:sz w:val="14"/>
              </w:rPr>
            </w:pPr>
          </w:p>
        </w:tc>
        <w:tc>
          <w:tcPr>
            <w:tcW w:w="2126"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color w:val="000000"/>
                <w:sz w:val="14"/>
              </w:rPr>
              <w:t>14 433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Пакет A — Национални средства</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5 318</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3 306</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(16)</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8 608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r>
              <w:rPr>
                <w:rFonts w:ascii="Arial" w:hAnsi="Arial"/>
                <w:noProof/>
                <w:color w:val="FFFFFF"/>
                <w:sz w:val="14"/>
              </w:rPr>
              <w:t>Редовни вноски на държавите членки</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Пакет Б — Национални средства</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2 108</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(898)</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(2)</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1 208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CDE, CTA и Парламентарна асамблея</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164</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(10)</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154</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Разходи за прилагане</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125</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52</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177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Лихви и други приходи</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63</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63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Други средства в рамките на АКТБ</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300</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2 302</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(13)</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2 589</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Инструмент за мир</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354</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353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Регионални средства</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904</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(139)</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(5)</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759</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Специална вноска за ДР Конго</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105</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105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Спец. вноска за Южен Судан</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267</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color w:val="000000"/>
                <w:sz w:val="14"/>
              </w:rPr>
              <w:t>(3)</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267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Спец. вноска за Судан</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110</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color w:val="000000"/>
                <w:sz w:val="14"/>
              </w:rPr>
              <w:t>(2)</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110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Доброволна вноска Инструмент за мир</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39</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39</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FFFFFF"/>
                <w:sz w:val="14"/>
              </w:rPr>
            </w:pPr>
            <w:r>
              <w:rPr>
                <w:rFonts w:ascii="Arial" w:hAnsi="Arial"/>
                <w:noProof/>
                <w:color w:val="FFFFFF"/>
                <w:sz w:val="14"/>
              </w:rPr>
              <w:t xml:space="preserve">АКТБ </w:t>
            </w:r>
          </w:p>
        </w:tc>
        <w:tc>
          <w:tcPr>
            <w:tcW w:w="34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jc w:val="right"/>
              <w:rPr>
                <w:rFonts w:ascii="Arial" w:eastAsia="Arial" w:hAnsi="Arial" w:cs="Arial"/>
                <w:noProof/>
                <w:color w:val="000000"/>
                <w:sz w:val="14"/>
              </w:rPr>
            </w:pPr>
          </w:p>
        </w:tc>
        <w:tc>
          <w:tcPr>
            <w:tcW w:w="23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70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55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85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212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r>
      <w:tr>
        <w:trPr>
          <w:trHeight w:hRule="exact" w:val="170"/>
        </w:trPr>
        <w:tc>
          <w:tcPr>
            <w:tcW w:w="50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34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rPr>
                <w:rFonts w:ascii="Arial" w:eastAsia="Arial" w:hAnsi="Arial" w:cs="Arial"/>
                <w:b/>
                <w:noProof/>
                <w:color w:val="FFFFFF"/>
                <w:sz w:val="16"/>
              </w:rPr>
            </w:pPr>
            <w:r>
              <w:rPr>
                <w:rFonts w:ascii="Arial" w:hAnsi="Arial"/>
                <w:b/>
                <w:noProof/>
                <w:color w:val="FFFFFF"/>
                <w:sz w:val="16"/>
              </w:rPr>
              <w:t xml:space="preserve">МЕЖДИННА СУМА АКТБ </w:t>
            </w:r>
          </w:p>
        </w:tc>
        <w:tc>
          <w:tcPr>
            <w:tcW w:w="23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8 919</w:t>
            </w:r>
          </w:p>
        </w:tc>
        <w:tc>
          <w:tcPr>
            <w:tcW w:w="270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6 219</w:t>
            </w:r>
          </w:p>
        </w:tc>
        <w:tc>
          <w:tcPr>
            <w:tcW w:w="255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0000"/>
                <w:sz w:val="16"/>
              </w:rPr>
            </w:pPr>
            <w:r>
              <w:rPr>
                <w:rFonts w:ascii="Arial" w:hAnsi="Arial"/>
                <w:b/>
                <w:noProof/>
                <w:color w:val="FF0000"/>
                <w:sz w:val="16"/>
              </w:rPr>
              <w:t>(38)</w:t>
            </w:r>
          </w:p>
        </w:tc>
        <w:tc>
          <w:tcPr>
            <w:tcW w:w="85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2"/>
              <w:jc w:val="center"/>
              <w:rPr>
                <w:rFonts w:ascii="Arial" w:eastAsia="Arial" w:hAnsi="Arial" w:cs="Arial"/>
                <w:b/>
                <w:noProof/>
                <w:color w:val="FFFFFF"/>
                <w:sz w:val="16"/>
              </w:rPr>
            </w:pPr>
          </w:p>
        </w:tc>
        <w:tc>
          <w:tcPr>
            <w:tcW w:w="212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15 100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r>
      <w:tr>
        <w:trPr>
          <w:trHeight w:hRule="exact" w:val="57"/>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34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38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70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55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8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24"/>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r>
      <w:tr>
        <w:trPr>
          <w:trHeight w:hRule="exact" w:val="170"/>
        </w:trPr>
        <w:tc>
          <w:tcPr>
            <w:tcW w:w="502"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c>
          <w:tcPr>
            <w:tcW w:w="340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r>
              <w:rPr>
                <w:rFonts w:ascii="Arial" w:hAnsi="Arial"/>
                <w:b/>
                <w:noProof/>
                <w:color w:val="000000"/>
                <w:sz w:val="14"/>
              </w:rPr>
              <w:t>Ломе</w:t>
            </w:r>
          </w:p>
        </w:tc>
        <w:tc>
          <w:tcPr>
            <w:tcW w:w="238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70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55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85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jc w:val="center"/>
              <w:rPr>
                <w:rFonts w:ascii="Arial" w:eastAsia="Arial" w:hAnsi="Arial" w:cs="Arial"/>
                <w:b/>
                <w:noProof/>
                <w:color w:val="000000"/>
                <w:sz w:val="14"/>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c>
          <w:tcPr>
            <w:tcW w:w="340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i/>
                <w:noProof/>
                <w:color w:val="000000"/>
                <w:sz w:val="14"/>
              </w:rPr>
            </w:pPr>
            <w:r>
              <w:rPr>
                <w:rFonts w:ascii="Arial" w:hAnsi="Arial"/>
                <w:b/>
                <w:i/>
                <w:noProof/>
                <w:color w:val="000000"/>
                <w:sz w:val="14"/>
              </w:rPr>
              <w:t>Редовни вноски на държавите членки</w:t>
            </w:r>
          </w:p>
        </w:tc>
        <w:tc>
          <w:tcPr>
            <w:tcW w:w="238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color w:val="000000"/>
                <w:sz w:val="14"/>
              </w:rPr>
              <w:t>–</w:t>
            </w:r>
          </w:p>
        </w:tc>
        <w:tc>
          <w:tcPr>
            <w:tcW w:w="270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color w:val="000000"/>
                <w:sz w:val="14"/>
              </w:rPr>
              <w:t>3</w:t>
            </w:r>
          </w:p>
        </w:tc>
        <w:tc>
          <w:tcPr>
            <w:tcW w:w="2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p>
        </w:tc>
        <w:tc>
          <w:tcPr>
            <w:tcW w:w="8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b/>
                <w:i/>
                <w:noProof/>
                <w:color w:val="000000"/>
                <w:sz w:val="14"/>
              </w:rPr>
            </w:pPr>
          </w:p>
        </w:tc>
        <w:tc>
          <w:tcPr>
            <w:tcW w:w="2126"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color w:val="000000"/>
                <w:sz w:val="14"/>
              </w:rPr>
              <w:t>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502"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hAnsi="Arial"/>
                <w:noProof/>
                <w:color w:val="000000"/>
                <w:sz w:val="14"/>
              </w:rPr>
              <w:t>ОСТ</w:t>
            </w: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Трансфери от 6-и ЕФР - Ломе</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r>
              <w:rPr>
                <w:rFonts w:ascii="Arial" w:hAnsi="Arial"/>
                <w:noProof/>
                <w:color w:val="FFFFFF"/>
                <w:sz w:val="14"/>
              </w:rPr>
              <w:t>Редовни вноски на държавите членки</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Трансфери от 7-и ЕФР — Ломе</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3</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r>
              <w:rPr>
                <w:rFonts w:ascii="Arial" w:hAnsi="Arial"/>
                <w:b/>
                <w:noProof/>
                <w:color w:val="000000"/>
                <w:sz w:val="14"/>
              </w:rPr>
              <w:t>Котону</w:t>
            </w:r>
          </w:p>
        </w:tc>
        <w:tc>
          <w:tcPr>
            <w:tcW w:w="238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70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255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85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jc w:val="center"/>
              <w:rPr>
                <w:rFonts w:ascii="Arial" w:eastAsia="Arial" w:hAnsi="Arial" w:cs="Arial"/>
                <w:b/>
                <w:noProof/>
                <w:color w:val="000000"/>
                <w:sz w:val="14"/>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5549BIPTable12"/>
              <w:rPr>
                <w:rFonts w:ascii="Arial" w:eastAsia="Arial" w:hAnsi="Arial" w:cs="Arial"/>
                <w:b/>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b/>
                <w:i/>
                <w:noProof/>
                <w:color w:val="000000"/>
                <w:sz w:val="14"/>
              </w:rPr>
            </w:pPr>
            <w:r>
              <w:rPr>
                <w:rFonts w:ascii="Arial" w:hAnsi="Arial"/>
                <w:b/>
                <w:i/>
                <w:noProof/>
                <w:color w:val="000000"/>
                <w:sz w:val="14"/>
              </w:rPr>
              <w:t>Редовни вноски на държавите членки</w:t>
            </w:r>
          </w:p>
        </w:tc>
        <w:tc>
          <w:tcPr>
            <w:tcW w:w="238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color w:val="000000"/>
                <w:sz w:val="14"/>
              </w:rPr>
              <w:t>–</w:t>
            </w:r>
          </w:p>
        </w:tc>
        <w:tc>
          <w:tcPr>
            <w:tcW w:w="270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color w:val="000000"/>
                <w:sz w:val="14"/>
              </w:rPr>
              <w:t>289</w:t>
            </w:r>
          </w:p>
        </w:tc>
        <w:tc>
          <w:tcPr>
            <w:tcW w:w="2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FF0000"/>
                <w:sz w:val="14"/>
              </w:rPr>
            </w:pPr>
            <w:r>
              <w:rPr>
                <w:rFonts w:ascii="Arial" w:hAnsi="Arial"/>
                <w:b/>
                <w:i/>
                <w:noProof/>
                <w:color w:val="FF0000"/>
                <w:sz w:val="14"/>
              </w:rPr>
              <w:t>(2)</w:t>
            </w:r>
          </w:p>
        </w:tc>
        <w:tc>
          <w:tcPr>
            <w:tcW w:w="8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b/>
                <w:i/>
                <w:noProof/>
                <w:color w:val="000000"/>
                <w:sz w:val="14"/>
              </w:rPr>
            </w:pPr>
          </w:p>
        </w:tc>
        <w:tc>
          <w:tcPr>
            <w:tcW w:w="2126"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b/>
                <w:i/>
                <w:noProof/>
                <w:color w:val="000000"/>
                <w:sz w:val="14"/>
              </w:rPr>
            </w:pPr>
            <w:r>
              <w:rPr>
                <w:rFonts w:ascii="Arial" w:hAnsi="Arial"/>
                <w:b/>
                <w:i/>
                <w:noProof/>
                <w:color w:val="000000"/>
                <w:sz w:val="14"/>
              </w:rPr>
              <w:t>287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Пакет A — Национални средства</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237</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237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r>
              <w:rPr>
                <w:rFonts w:ascii="Arial" w:hAnsi="Arial"/>
                <w:noProof/>
                <w:color w:val="FFFFFF"/>
                <w:sz w:val="14"/>
              </w:rPr>
              <w:t>Редовни вноски на държавите членки</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Пакет Б — Национални средства</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4</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4</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Регионални средства</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47</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FF0000"/>
                <w:sz w:val="14"/>
              </w:rPr>
            </w:pPr>
            <w:r>
              <w:rPr>
                <w:rFonts w:ascii="Arial" w:hAnsi="Arial"/>
                <w:noProof/>
                <w:color w:val="FF0000"/>
                <w:sz w:val="14"/>
              </w:rPr>
              <w:t>(2)</w:t>
            </w: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r>
              <w:rPr>
                <w:rFonts w:ascii="Arial" w:hAnsi="Arial"/>
                <w:noProof/>
                <w:color w:val="000000"/>
                <w:sz w:val="14"/>
              </w:rPr>
              <w:t>(1)</w:t>
            </w: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45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p>
        </w:tc>
        <w:tc>
          <w:tcPr>
            <w:tcW w:w="34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000000"/>
                <w:sz w:val="14"/>
              </w:rPr>
            </w:pPr>
            <w:r>
              <w:rPr>
                <w:rFonts w:ascii="Arial" w:hAnsi="Arial"/>
                <w:noProof/>
                <w:color w:val="000000"/>
                <w:sz w:val="14"/>
              </w:rPr>
              <w:t xml:space="preserve">       Проучвания/Техническа помощ OCT</w:t>
            </w:r>
          </w:p>
        </w:tc>
        <w:tc>
          <w:tcPr>
            <w:tcW w:w="23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w:t>
            </w:r>
          </w:p>
        </w:tc>
        <w:tc>
          <w:tcPr>
            <w:tcW w:w="270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1</w:t>
            </w:r>
          </w:p>
        </w:tc>
        <w:tc>
          <w:tcPr>
            <w:tcW w:w="2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p>
        </w:tc>
        <w:tc>
          <w:tcPr>
            <w:tcW w:w="8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2"/>
              <w:jc w:val="center"/>
              <w:rPr>
                <w:rFonts w:ascii="Arial" w:eastAsia="Arial" w:hAnsi="Arial" w:cs="Arial"/>
                <w:noProof/>
                <w:color w:val="000000"/>
                <w:sz w:val="14"/>
              </w:rPr>
            </w:pPr>
          </w:p>
        </w:tc>
        <w:tc>
          <w:tcPr>
            <w:tcW w:w="2126" w:type="dxa"/>
            <w:tcBorders>
              <w:top w:val="nil"/>
              <w:left w:val="nil"/>
              <w:bottom w:val="nil"/>
              <w:right w:val="nil"/>
              <w:tl2br w:val="nil"/>
              <w:tr2bl w:val="nil"/>
            </w:tcBorders>
            <w:shd w:val="solid" w:color="FFFFFF" w:fill="FFFFFF"/>
            <w:tcMar>
              <w:left w:w="60" w:type="dxa"/>
              <w:right w:w="60" w:type="dxa"/>
            </w:tcMar>
            <w:vAlign w:val="bottom"/>
          </w:tcPr>
          <w:p>
            <w:pPr>
              <w:pStyle w:val="DMETW15549BIPTable12"/>
              <w:jc w:val="right"/>
              <w:rPr>
                <w:rFonts w:ascii="Arial" w:eastAsia="Arial" w:hAnsi="Arial" w:cs="Arial"/>
                <w:noProof/>
                <w:color w:val="000000"/>
                <w:sz w:val="14"/>
              </w:rPr>
            </w:pPr>
            <w:r>
              <w:rPr>
                <w:rFonts w:ascii="Arial" w:hAnsi="Arial"/>
                <w:noProof/>
                <w:color w:val="000000"/>
                <w:sz w:val="14"/>
              </w:rPr>
              <w:t>1</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2"/>
              <w:rPr>
                <w:rFonts w:ascii="Arial" w:eastAsia="Arial" w:hAnsi="Arial" w:cs="Arial"/>
                <w:noProof/>
                <w:color w:val="FFFFFF"/>
                <w:sz w:val="14"/>
              </w:rPr>
            </w:pPr>
          </w:p>
        </w:tc>
      </w:tr>
      <w:tr>
        <w:trPr>
          <w:trHeight w:hRule="exact" w:val="170"/>
        </w:trPr>
        <w:tc>
          <w:tcPr>
            <w:tcW w:w="502"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FFFFFF"/>
                <w:sz w:val="14"/>
              </w:rPr>
            </w:pPr>
            <w:r>
              <w:rPr>
                <w:rFonts w:ascii="Arial" w:hAnsi="Arial"/>
                <w:noProof/>
                <w:color w:val="FFFFFF"/>
                <w:sz w:val="14"/>
              </w:rPr>
              <w:t>ОСТ</w:t>
            </w:r>
          </w:p>
        </w:tc>
        <w:tc>
          <w:tcPr>
            <w:tcW w:w="34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jc w:val="right"/>
              <w:rPr>
                <w:rFonts w:ascii="Arial" w:eastAsia="Arial" w:hAnsi="Arial" w:cs="Arial"/>
                <w:noProof/>
                <w:color w:val="000000"/>
                <w:sz w:val="14"/>
              </w:rPr>
            </w:pPr>
          </w:p>
        </w:tc>
        <w:tc>
          <w:tcPr>
            <w:tcW w:w="23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70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55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85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212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r>
      <w:tr>
        <w:trPr>
          <w:trHeight w:hRule="exact" w:val="320"/>
        </w:trPr>
        <w:tc>
          <w:tcPr>
            <w:tcW w:w="502"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34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rPr>
                <w:rFonts w:ascii="Arial" w:eastAsia="Arial" w:hAnsi="Arial" w:cs="Arial"/>
                <w:b/>
                <w:noProof/>
                <w:color w:val="FFFFFF"/>
                <w:sz w:val="16"/>
              </w:rPr>
            </w:pPr>
            <w:r>
              <w:rPr>
                <w:rFonts w:ascii="Arial" w:hAnsi="Arial"/>
                <w:b/>
                <w:noProof/>
                <w:color w:val="FFFFFF"/>
                <w:sz w:val="16"/>
              </w:rPr>
              <w:t>МЕЖДИННА СУМА ОСТ</w:t>
            </w:r>
          </w:p>
        </w:tc>
        <w:tc>
          <w:tcPr>
            <w:tcW w:w="23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w:t>
            </w:r>
          </w:p>
        </w:tc>
        <w:tc>
          <w:tcPr>
            <w:tcW w:w="270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292</w:t>
            </w:r>
          </w:p>
        </w:tc>
        <w:tc>
          <w:tcPr>
            <w:tcW w:w="255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0000"/>
                <w:sz w:val="16"/>
              </w:rPr>
            </w:pPr>
            <w:r>
              <w:rPr>
                <w:rFonts w:ascii="Arial" w:hAnsi="Arial"/>
                <w:b/>
                <w:noProof/>
                <w:color w:val="FF0000"/>
                <w:sz w:val="16"/>
              </w:rPr>
              <w:t>(2)</w:t>
            </w:r>
          </w:p>
        </w:tc>
        <w:tc>
          <w:tcPr>
            <w:tcW w:w="85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2"/>
              <w:rPr>
                <w:rFonts w:ascii="Arial" w:eastAsia="Arial" w:hAnsi="Arial" w:cs="Arial"/>
                <w:b/>
                <w:noProof/>
                <w:color w:val="FFFFFF"/>
                <w:sz w:val="16"/>
              </w:rPr>
            </w:pPr>
          </w:p>
        </w:tc>
        <w:tc>
          <w:tcPr>
            <w:tcW w:w="212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290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p>
        </w:tc>
      </w:tr>
      <w:tr>
        <w:trPr>
          <w:trHeight w:hRule="exact" w:val="170"/>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34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38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70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55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8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24"/>
              </w:rPr>
            </w:pPr>
          </w:p>
        </w:tc>
      </w:tr>
      <w:tr>
        <w:trPr>
          <w:trHeight w:hRule="exact" w:val="267"/>
        </w:trPr>
        <w:tc>
          <w:tcPr>
            <w:tcW w:w="502"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12"/>
              <w:rPr>
                <w:rFonts w:ascii="Arial" w:eastAsia="Arial" w:hAnsi="Arial" w:cs="Arial"/>
                <w:noProof/>
                <w:color w:val="000000"/>
                <w:sz w:val="14"/>
              </w:rPr>
            </w:pPr>
          </w:p>
        </w:tc>
        <w:tc>
          <w:tcPr>
            <w:tcW w:w="34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2"/>
              <w:rPr>
                <w:rFonts w:ascii="Arial" w:eastAsia="Arial" w:hAnsi="Arial" w:cs="Arial"/>
                <w:b/>
                <w:noProof/>
                <w:color w:val="FFFFFF"/>
                <w:sz w:val="16"/>
              </w:rPr>
            </w:pPr>
            <w:r>
              <w:rPr>
                <w:rFonts w:ascii="Arial" w:hAnsi="Arial"/>
                <w:b/>
                <w:noProof/>
                <w:color w:val="FFFFFF"/>
                <w:sz w:val="16"/>
              </w:rPr>
              <w:t>ОБЩО 9-и ЕФР</w:t>
            </w:r>
          </w:p>
        </w:tc>
        <w:tc>
          <w:tcPr>
            <w:tcW w:w="238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8 919</w:t>
            </w:r>
          </w:p>
        </w:tc>
        <w:tc>
          <w:tcPr>
            <w:tcW w:w="2704"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6 511</w:t>
            </w:r>
          </w:p>
        </w:tc>
        <w:tc>
          <w:tcPr>
            <w:tcW w:w="255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2"/>
              <w:jc w:val="right"/>
              <w:rPr>
                <w:rFonts w:ascii="Arial" w:eastAsia="Arial" w:hAnsi="Arial" w:cs="Arial"/>
                <w:b/>
                <w:noProof/>
                <w:color w:val="FF0000"/>
                <w:sz w:val="16"/>
              </w:rPr>
            </w:pPr>
            <w:r>
              <w:rPr>
                <w:rFonts w:ascii="Arial" w:hAnsi="Arial"/>
                <w:b/>
                <w:noProof/>
                <w:color w:val="FF0000"/>
                <w:sz w:val="16"/>
              </w:rPr>
              <w:t>(40)</w:t>
            </w:r>
          </w:p>
        </w:tc>
        <w:tc>
          <w:tcPr>
            <w:tcW w:w="85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12"/>
              <w:rPr>
                <w:rFonts w:ascii="Arial" w:eastAsia="Arial" w:hAnsi="Arial" w:cs="Arial"/>
                <w:noProof/>
                <w:color w:val="FFFFFF"/>
                <w:sz w:val="14"/>
              </w:rPr>
            </w:pPr>
          </w:p>
        </w:tc>
        <w:tc>
          <w:tcPr>
            <w:tcW w:w="2126"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5549BIPTable12"/>
              <w:jc w:val="right"/>
              <w:rPr>
                <w:rFonts w:ascii="Arial" w:eastAsia="Arial" w:hAnsi="Arial" w:cs="Arial"/>
                <w:b/>
                <w:noProof/>
                <w:color w:val="FFFFFF"/>
                <w:sz w:val="16"/>
              </w:rPr>
            </w:pPr>
            <w:r>
              <w:rPr>
                <w:rFonts w:ascii="Arial" w:hAnsi="Arial"/>
                <w:b/>
                <w:noProof/>
                <w:color w:val="FFFFFF"/>
                <w:sz w:val="16"/>
              </w:rPr>
              <w:t>15 390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r>
      <w:tr>
        <w:trPr>
          <w:trHeight w:hRule="exact" w:val="150"/>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34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right"/>
              <w:rPr>
                <w:rFonts w:ascii="Arial" w:eastAsia="Arial" w:hAnsi="Arial" w:cs="Arial"/>
                <w:noProof/>
                <w:color w:val="000000"/>
                <w:sz w:val="18"/>
              </w:rPr>
            </w:pPr>
          </w:p>
        </w:tc>
        <w:tc>
          <w:tcPr>
            <w:tcW w:w="238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270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255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8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r>
      <w:tr>
        <w:trPr>
          <w:trHeight w:hRule="exact" w:val="298"/>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hAnsi="Arial"/>
                <w:noProof/>
                <w:color w:val="000000"/>
                <w:sz w:val="14"/>
              </w:rPr>
              <w:t>(1)</w:t>
            </w:r>
          </w:p>
        </w:tc>
        <w:tc>
          <w:tcPr>
            <w:tcW w:w="3400"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r>
              <w:rPr>
                <w:rFonts w:ascii="Arial" w:hAnsi="Arial"/>
                <w:noProof/>
                <w:color w:val="000000"/>
                <w:sz w:val="14"/>
              </w:rPr>
              <w:t>Всички намаления са отменени задължения, прехвърлени към резерва за изпълнение на 10-и ЕФР, който не може да бъде мобилизиран</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r>
      <w:tr>
        <w:trPr>
          <w:trHeight w:hRule="exact" w:val="595"/>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hAnsi="Arial"/>
                <w:noProof/>
                <w:color w:val="000000"/>
                <w:sz w:val="14"/>
              </w:rPr>
              <w:t>(2)</w:t>
            </w:r>
          </w:p>
        </w:tc>
        <w:tc>
          <w:tcPr>
            <w:tcW w:w="3400"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r>
              <w:rPr>
                <w:rFonts w:ascii="Arial" w:hAnsi="Arial"/>
                <w:noProof/>
                <w:color w:val="000000"/>
                <w:sz w:val="14"/>
              </w:rPr>
              <w:t>Съгласно Решение 2010/406/ЕС на Съвета 150 милиона евро бяха добавени от резерва за изпълнение на 10-ия ЕФР, който не може да бъде мобилизиран, за Судан (147 милиона евро за специалната вноска за Судан</w:t>
            </w:r>
          </w:p>
          <w:p>
            <w:pPr>
              <w:pStyle w:val="DMETW15549BIPTable12"/>
              <w:rPr>
                <w:rFonts w:ascii="Arial" w:eastAsia="Arial" w:hAnsi="Arial" w:cs="Arial"/>
                <w:noProof/>
                <w:color w:val="000000"/>
                <w:sz w:val="14"/>
              </w:rPr>
            </w:pPr>
            <w:r>
              <w:rPr>
                <w:rFonts w:ascii="Arial" w:hAnsi="Arial"/>
                <w:noProof/>
                <w:color w:val="000000"/>
                <w:sz w:val="14"/>
              </w:rPr>
              <w:t xml:space="preserve"> и 3 милиона евро за разходите за прилагане).</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r>
      <w:tr>
        <w:trPr>
          <w:trHeight w:hRule="exact" w:val="298"/>
        </w:trPr>
        <w:tc>
          <w:tcPr>
            <w:tcW w:w="502"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jc w:val="center"/>
              <w:rPr>
                <w:rFonts w:ascii="Arial" w:eastAsia="Arial" w:hAnsi="Arial" w:cs="Arial"/>
                <w:noProof/>
                <w:color w:val="000000"/>
                <w:sz w:val="14"/>
              </w:rPr>
            </w:pPr>
            <w:r>
              <w:rPr>
                <w:rFonts w:ascii="Arial" w:hAnsi="Arial"/>
                <w:noProof/>
                <w:color w:val="000000"/>
                <w:sz w:val="14"/>
              </w:rPr>
              <w:t>(3)</w:t>
            </w:r>
          </w:p>
        </w:tc>
        <w:tc>
          <w:tcPr>
            <w:tcW w:w="3400"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4"/>
              </w:rPr>
            </w:pPr>
            <w:r>
              <w:rPr>
                <w:rFonts w:ascii="Arial" w:hAnsi="Arial"/>
                <w:noProof/>
                <w:color w:val="000000"/>
                <w:sz w:val="14"/>
              </w:rPr>
              <w:t>Съгласно Решение 2011/315/ЕС на Съвета 200 милиона евро бяха добавени от резерва за изпълнение на 10-ия ЕФР, който не може да бъде мобилизиран, за Судан (194 милиона евро за специалната вноска за Южен</w:t>
            </w:r>
          </w:p>
          <w:p>
            <w:pPr>
              <w:pStyle w:val="DMETW15549BIPTable12"/>
              <w:rPr>
                <w:rFonts w:ascii="Arial" w:eastAsia="Arial" w:hAnsi="Arial" w:cs="Arial"/>
                <w:noProof/>
                <w:color w:val="000000"/>
                <w:sz w:val="14"/>
              </w:rPr>
            </w:pPr>
            <w:r>
              <w:rPr>
                <w:rFonts w:ascii="Arial" w:hAnsi="Arial"/>
                <w:noProof/>
                <w:color w:val="000000"/>
                <w:sz w:val="14"/>
              </w:rPr>
              <w:t>Судан и 6 милиона евро за разходите за прилагане).</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2"/>
              <w:rPr>
                <w:rFonts w:ascii="Arial" w:eastAsia="Arial" w:hAnsi="Arial" w:cs="Arial"/>
                <w:noProof/>
                <w:color w:val="000000"/>
                <w:sz w:val="18"/>
              </w:rPr>
            </w:pPr>
          </w:p>
        </w:tc>
      </w:tr>
    </w:tbl>
    <w:p>
      <w:pPr>
        <w:rPr>
          <w:rFonts w:ascii="Arial" w:hAnsi="Arial" w:cs="Arial"/>
          <w:noProof/>
          <w:color w:val="000000"/>
          <w:sz w:val="14"/>
        </w:rPr>
      </w:pPr>
    </w:p>
    <w:p>
      <w:pPr>
        <w:rPr>
          <w:rFonts w:ascii="Arial" w:hAnsi="Arial" w:cs="Arial"/>
          <w:noProof/>
          <w:color w:val="000000"/>
          <w:sz w:val="14"/>
        </w:rPr>
        <w:sectPr>
          <w:headerReference w:type="even" r:id="rId415"/>
          <w:headerReference w:type="default" r:id="rId416"/>
          <w:footerReference w:type="even" r:id="rId417"/>
          <w:footerReference w:type="default" r:id="rId418"/>
          <w:headerReference w:type="first" r:id="rId419"/>
          <w:footerReference w:type="first" r:id="rId420"/>
          <w:pgSz w:w="16838" w:h="11906" w:orient="landscape" w:code="9"/>
          <w:pgMar w:top="1134" w:right="1134" w:bottom="1134" w:left="1134" w:header="708" w:footer="708" w:gutter="0"/>
          <w:cols w:space="708"/>
          <w:docGrid w:linePitch="360"/>
        </w:sectPr>
      </w:pPr>
    </w:p>
    <w:p>
      <w:pPr>
        <w:rPr>
          <w:rFonts w:ascii="Arial" w:hAnsi="Arial" w:cs="Arial"/>
          <w:noProof/>
          <w:color w:val="000000"/>
          <w:sz w:val="14"/>
        </w:rPr>
      </w:pPr>
      <w:r>
        <w:rPr>
          <w:rFonts w:ascii="Arial" w:hAnsi="Arial"/>
          <w:noProof/>
          <w:color w:val="000000"/>
          <w:sz w:val="14"/>
        </w:rPr>
        <w:t>Таблица 1.3</w:t>
      </w:r>
    </w:p>
    <w:p>
      <w:pPr>
        <w:pStyle w:val="Textstand-alone"/>
        <w:spacing w:before="0" w:after="0"/>
        <w:jc w:val="center"/>
        <w:rPr>
          <w:rFonts w:ascii="Arial" w:hAnsi="Arial" w:cs="Arial"/>
          <w:b/>
          <w:color w:val="000000"/>
          <w:sz w:val="14"/>
          <w:szCs w:val="20"/>
        </w:rPr>
      </w:pPr>
      <w:r>
        <w:rPr>
          <w:rFonts w:ascii="Arial" w:hAnsi="Arial"/>
          <w:b/>
          <w:color w:val="000000"/>
          <w:sz w:val="14"/>
        </w:rPr>
        <w:t>10-и ЕФР</w:t>
      </w:r>
    </w:p>
    <w:p>
      <w:pPr>
        <w:pStyle w:val="Textstand-alone"/>
        <w:spacing w:before="0" w:after="0"/>
        <w:jc w:val="center"/>
        <w:rPr>
          <w:rFonts w:ascii="Arial" w:hAnsi="Arial" w:cs="Arial"/>
          <w:b/>
          <w:color w:val="000000"/>
          <w:sz w:val="14"/>
          <w:szCs w:val="20"/>
        </w:rPr>
      </w:pPr>
      <w:r>
        <w:rPr>
          <w:rFonts w:ascii="Arial" w:hAnsi="Arial"/>
          <w:b/>
          <w:color w:val="000000"/>
          <w:sz w:val="14"/>
        </w:rPr>
        <w:t>ИЗМЕНЕНИЕ НА БЮДЖЕТНИТЕ КРЕДИТИ:  31 декември 2018 г.</w:t>
      </w:r>
    </w:p>
    <w:p>
      <w:pPr>
        <w:pStyle w:val="Textstand-alone"/>
        <w:spacing w:before="0" w:after="0"/>
        <w:jc w:val="center"/>
        <w:rPr>
          <w:rFonts w:ascii="Arial" w:hAnsi="Arial" w:cs="Arial"/>
          <w:b/>
          <w:color w:val="000000"/>
          <w:sz w:val="14"/>
          <w:szCs w:val="20"/>
        </w:rPr>
      </w:pPr>
      <w:r>
        <w:rPr>
          <w:rFonts w:ascii="Arial" w:hAnsi="Arial"/>
          <w:b/>
          <w:color w:val="000000"/>
          <w:sz w:val="14"/>
        </w:rPr>
        <w:t>АНАЛИЗ НА КРЕДИТИТЕ ПО ИНСТРУМЕНТИ</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4175"/>
        <w:gridCol w:w="2063"/>
        <w:gridCol w:w="2900"/>
        <w:gridCol w:w="2113"/>
        <w:gridCol w:w="745"/>
        <w:gridCol w:w="2113"/>
        <w:gridCol w:w="157"/>
      </w:tblGrid>
      <w:tr>
        <w:trPr>
          <w:trHeight w:hRule="exact" w:val="546"/>
        </w:trPr>
        <w:tc>
          <w:tcPr>
            <w:tcW w:w="424"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bookmarkStart w:id="222" w:name="DOC_TBL00064_1_1"/>
            <w:bookmarkEnd w:id="222"/>
            <w:r>
              <w:rPr>
                <w:rFonts w:ascii="Arial" w:hAnsi="Arial"/>
                <w:b/>
                <w:noProof/>
                <w:color w:val="000000"/>
                <w:sz w:val="14"/>
              </w:rPr>
              <w:t>ИНСТРУМЕНТ</w:t>
            </w:r>
          </w:p>
        </w:tc>
        <w:tc>
          <w:tcPr>
            <w:tcW w:w="2063"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hAnsi="Arial"/>
                <w:b/>
                <w:noProof/>
                <w:color w:val="000000"/>
                <w:sz w:val="14"/>
              </w:rPr>
              <w:t>ПЪРВОНАЧАЛЕН БЮДЖЕТЕН КРЕДИТ</w:t>
            </w:r>
          </w:p>
        </w:tc>
        <w:tc>
          <w:tcPr>
            <w:tcW w:w="29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hAnsi="Arial"/>
                <w:b/>
                <w:noProof/>
                <w:color w:val="000000"/>
                <w:sz w:val="14"/>
              </w:rPr>
              <w:t>УВЕЛИЧЕНИЯ/НАМАЛЕНИЯ НА КУМУЛАТИВНИТЕ РЕСУРСИ КЪМ 31 ДЕКЕМВРИ 2017 г.</w:t>
            </w:r>
          </w:p>
        </w:tc>
        <w:tc>
          <w:tcPr>
            <w:tcW w:w="2113"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hAnsi="Arial"/>
                <w:b/>
                <w:noProof/>
                <w:color w:val="000000"/>
                <w:sz w:val="14"/>
              </w:rPr>
              <w:t>УВЕЛИЧЕНИЕ ИЛИ НАМАЛЕНИЕ НА РЕСУРСИТЕ ПРЕЗ 2018 г.</w:t>
            </w:r>
          </w:p>
        </w:tc>
        <w:tc>
          <w:tcPr>
            <w:tcW w:w="74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hAnsi="Arial"/>
                <w:b/>
                <w:noProof/>
                <w:color w:val="000000"/>
                <w:sz w:val="14"/>
              </w:rPr>
              <w:t>Забележки</w:t>
            </w:r>
          </w:p>
        </w:tc>
        <w:tc>
          <w:tcPr>
            <w:tcW w:w="2113"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b/>
                <w:noProof/>
                <w:color w:val="000000"/>
                <w:sz w:val="14"/>
              </w:rPr>
            </w:pPr>
            <w:r>
              <w:rPr>
                <w:rFonts w:ascii="Arial" w:hAnsi="Arial"/>
                <w:b/>
                <w:noProof/>
                <w:color w:val="000000"/>
                <w:sz w:val="14"/>
              </w:rPr>
              <w:t>ТЕКУЩО НИВО НА БЮДЖЕТНИТЕ КРЕДИТИ</w:t>
            </w:r>
          </w:p>
        </w:tc>
        <w:tc>
          <w:tcPr>
            <w:tcW w:w="15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2"/>
              </w:rPr>
            </w:pPr>
          </w:p>
        </w:tc>
      </w:tr>
      <w:tr>
        <w:trPr>
          <w:trHeight w:hRule="exact" w:val="284"/>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rPr>
            </w:pPr>
          </w:p>
        </w:tc>
        <w:tc>
          <w:tcPr>
            <w:tcW w:w="417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r>
              <w:rPr>
                <w:rFonts w:ascii="Arial" w:hAnsi="Arial"/>
                <w:b/>
                <w:i/>
                <w:noProof/>
                <w:color w:val="000000"/>
                <w:sz w:val="14"/>
              </w:rPr>
              <w:t>Редовни вноски на държавите членки</w:t>
            </w:r>
          </w:p>
        </w:tc>
        <w:tc>
          <w:tcPr>
            <w:tcW w:w="206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color w:val="000000"/>
                <w:sz w:val="14"/>
              </w:rPr>
              <w:t>20 896</w:t>
            </w:r>
          </w:p>
        </w:tc>
        <w:tc>
          <w:tcPr>
            <w:tcW w:w="29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FF0000"/>
                <w:sz w:val="14"/>
              </w:rPr>
            </w:pPr>
            <w:r>
              <w:rPr>
                <w:rFonts w:ascii="Arial" w:hAnsi="Arial"/>
                <w:b/>
                <w:i/>
                <w:noProof/>
                <w:color w:val="FF0000"/>
                <w:sz w:val="14"/>
              </w:rPr>
              <w:t>(87)</w:t>
            </w:r>
          </w:p>
        </w:tc>
        <w:tc>
          <w:tcPr>
            <w:tcW w:w="211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FF0000"/>
                <w:sz w:val="14"/>
              </w:rPr>
            </w:pPr>
            <w:r>
              <w:rPr>
                <w:rFonts w:ascii="Arial" w:hAnsi="Arial"/>
                <w:b/>
                <w:i/>
                <w:noProof/>
                <w:color w:val="FF0000"/>
                <w:sz w:val="14"/>
              </w:rPr>
              <w:t>(65)</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p>
        </w:tc>
        <w:tc>
          <w:tcPr>
            <w:tcW w:w="211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color w:val="000000"/>
                <w:sz w:val="14"/>
              </w:rPr>
              <w:t>20 744</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rPr>
            </w:pPr>
          </w:p>
        </w:tc>
      </w:tr>
      <w:tr>
        <w:trPr>
          <w:trHeight w:hRule="exact" w:val="195"/>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hAnsi="Arial"/>
                <w:noProof/>
                <w:color w:val="000000"/>
                <w:sz w:val="14"/>
              </w:rPr>
              <w:t xml:space="preserve">АКТБ </w:t>
            </w: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Пакет A — Национални средства</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13 100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(177)</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12 922</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r>
              <w:rPr>
                <w:rFonts w:ascii="Arial" w:hAnsi="Arial"/>
                <w:noProof/>
                <w:color w:val="FFFFFF"/>
                <w:sz w:val="14"/>
              </w:rPr>
              <w:t>Редовни вноски на държавите членки</w:t>
            </w: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Резерв Пакет А</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13 500</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(13 500)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Пакет Б — Национални средства</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2 004</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2 000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Резерв Пакет Б</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1 800</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(1 800)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Разходи за прилагане</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430</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445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Институционални разходи и разходи за подкрепа</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232</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230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Лихви и други приходи</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85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85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Резерв в рамките на АКТБ</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2 700</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(2 700)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Резерв национални средства Пакет A STABEX</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Резерв НИП/РИП</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683</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(683)</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Резерв, който не може да бъде мобилизиран</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86</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45</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131</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Други средства в рамките на АКТБ</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1 886</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(18)</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1 868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Инструмент за мир</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1 014</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105</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1 119</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Регионални средства</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1 956</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1 942</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Резерв регионални средства</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1 783</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(1 783)</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r>
              <w:rPr>
                <w:rFonts w:ascii="Arial" w:hAnsi="Arial"/>
                <w:b/>
                <w:i/>
                <w:noProof/>
                <w:color w:val="000000"/>
                <w:sz w:val="14"/>
              </w:rPr>
              <w:t>Съфинансиране</w:t>
            </w:r>
          </w:p>
        </w:tc>
        <w:tc>
          <w:tcPr>
            <w:tcW w:w="206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color w:val="000000"/>
                <w:sz w:val="14"/>
              </w:rPr>
              <w:t>–</w:t>
            </w:r>
          </w:p>
        </w:tc>
        <w:tc>
          <w:tcPr>
            <w:tcW w:w="29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color w:val="000000"/>
                <w:sz w:val="14"/>
              </w:rPr>
              <w:t>204</w:t>
            </w:r>
          </w:p>
        </w:tc>
        <w:tc>
          <w:tcPr>
            <w:tcW w:w="211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color w:val="000000"/>
                <w:sz w:val="14"/>
              </w:rPr>
              <w:t>–</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p>
        </w:tc>
        <w:tc>
          <w:tcPr>
            <w:tcW w:w="211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color w:val="000000"/>
                <w:sz w:val="14"/>
              </w:rPr>
              <w:t>204</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rPr>
            </w:pPr>
          </w:p>
        </w:tc>
      </w:tr>
      <w:tr>
        <w:trPr>
          <w:trHeight w:hRule="exact" w:val="195"/>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Пакет A — Национални средства</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187</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color w:val="000000"/>
                <w:sz w:val="14"/>
              </w:rPr>
              <w:t>(3)</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187</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r>
              <w:rPr>
                <w:rFonts w:ascii="Arial" w:hAnsi="Arial"/>
                <w:noProof/>
                <w:color w:val="FFFFFF"/>
                <w:sz w:val="14"/>
              </w:rPr>
              <w:t>Съфинансиране</w:t>
            </w: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Разходи за прилагане</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color w:val="000000"/>
                <w:sz w:val="14"/>
              </w:rPr>
              <w:t>(3)</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Други средства в рамките на АКТБ</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12</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color w:val="000000"/>
                <w:sz w:val="14"/>
              </w:rPr>
              <w:t>(3)</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12</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Инструмент за мир</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color w:val="000000"/>
                <w:sz w:val="14"/>
              </w:rPr>
              <w:t>(3)</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FFFFFF"/>
                <w:sz w:val="14"/>
              </w:rPr>
            </w:pPr>
            <w:r>
              <w:rPr>
                <w:rFonts w:ascii="Arial" w:hAnsi="Arial"/>
                <w:noProof/>
                <w:color w:val="FFFFFF"/>
                <w:sz w:val="14"/>
              </w:rPr>
              <w:t xml:space="preserve">АКТБ </w:t>
            </w:r>
          </w:p>
        </w:tc>
        <w:tc>
          <w:tcPr>
            <w:tcW w:w="417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jc w:val="right"/>
              <w:rPr>
                <w:rFonts w:ascii="Arial" w:eastAsia="Arial" w:hAnsi="Arial" w:cs="Arial"/>
                <w:noProof/>
                <w:color w:val="000000"/>
                <w:sz w:val="14"/>
              </w:rPr>
            </w:pPr>
          </w:p>
        </w:tc>
        <w:tc>
          <w:tcPr>
            <w:tcW w:w="206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9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11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11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r>
      <w:tr>
        <w:trPr>
          <w:trHeight w:hRule="exact" w:val="195"/>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417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rPr>
                <w:rFonts w:ascii="Arial" w:eastAsia="Arial" w:hAnsi="Arial" w:cs="Arial"/>
                <w:b/>
                <w:noProof/>
                <w:color w:val="FFFFFF"/>
                <w:sz w:val="16"/>
              </w:rPr>
            </w:pPr>
            <w:r>
              <w:rPr>
                <w:rFonts w:ascii="Arial" w:hAnsi="Arial"/>
                <w:b/>
                <w:noProof/>
                <w:color w:val="FFFFFF"/>
                <w:sz w:val="16"/>
              </w:rPr>
              <w:t xml:space="preserve">МЕЖДИННА СУМА АКТБ </w:t>
            </w:r>
          </w:p>
        </w:tc>
        <w:tc>
          <w:tcPr>
            <w:tcW w:w="206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20 896</w:t>
            </w:r>
          </w:p>
        </w:tc>
        <w:tc>
          <w:tcPr>
            <w:tcW w:w="29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117</w:t>
            </w:r>
          </w:p>
        </w:tc>
        <w:tc>
          <w:tcPr>
            <w:tcW w:w="211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0000"/>
                <w:sz w:val="16"/>
              </w:rPr>
            </w:pPr>
            <w:r>
              <w:rPr>
                <w:rFonts w:ascii="Arial" w:hAnsi="Arial"/>
                <w:b/>
                <w:noProof/>
                <w:color w:val="FF0000"/>
                <w:sz w:val="16"/>
              </w:rPr>
              <w:t>(65)</w:t>
            </w: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3"/>
              <w:rPr>
                <w:rFonts w:ascii="Arial" w:eastAsia="Arial" w:hAnsi="Arial" w:cs="Arial"/>
                <w:b/>
                <w:noProof/>
                <w:color w:val="FFFFFF"/>
                <w:sz w:val="16"/>
              </w:rPr>
            </w:pPr>
          </w:p>
        </w:tc>
        <w:tc>
          <w:tcPr>
            <w:tcW w:w="2113"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20 948</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r>
      <w:tr>
        <w:trPr>
          <w:trHeight w:hRule="exact" w:val="195"/>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417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06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9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r>
      <w:tr>
        <w:trPr>
          <w:trHeight w:hRule="exact" w:val="210"/>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rPr>
            </w:pPr>
          </w:p>
        </w:tc>
        <w:tc>
          <w:tcPr>
            <w:tcW w:w="417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r>
              <w:rPr>
                <w:rFonts w:ascii="Arial" w:hAnsi="Arial"/>
                <w:b/>
                <w:i/>
                <w:noProof/>
                <w:color w:val="000000"/>
                <w:sz w:val="14"/>
              </w:rPr>
              <w:t>Редовни вноски на държавите членки</w:t>
            </w:r>
          </w:p>
        </w:tc>
        <w:tc>
          <w:tcPr>
            <w:tcW w:w="206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color w:val="000000"/>
                <w:sz w:val="14"/>
              </w:rPr>
              <w:t>–</w:t>
            </w:r>
          </w:p>
        </w:tc>
        <w:tc>
          <w:tcPr>
            <w:tcW w:w="29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color w:val="000000"/>
                <w:sz w:val="14"/>
              </w:rPr>
              <w:t>275</w:t>
            </w:r>
          </w:p>
        </w:tc>
        <w:tc>
          <w:tcPr>
            <w:tcW w:w="211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color w:val="000000"/>
                <w:sz w:val="14"/>
              </w:rPr>
              <w:t>–</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b/>
                <w:i/>
                <w:noProof/>
                <w:color w:val="000000"/>
                <w:sz w:val="14"/>
              </w:rPr>
            </w:pPr>
          </w:p>
        </w:tc>
        <w:tc>
          <w:tcPr>
            <w:tcW w:w="211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b/>
                <w:i/>
                <w:noProof/>
                <w:color w:val="000000"/>
                <w:sz w:val="14"/>
              </w:rPr>
            </w:pPr>
            <w:r>
              <w:rPr>
                <w:rFonts w:ascii="Arial" w:hAnsi="Arial"/>
                <w:b/>
                <w:i/>
                <w:noProof/>
                <w:color w:val="000000"/>
                <w:sz w:val="14"/>
              </w:rPr>
              <w:t>275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b/>
                <w:noProof/>
                <w:color w:val="FFFFFF"/>
                <w:sz w:val="14"/>
              </w:rPr>
            </w:pPr>
          </w:p>
        </w:tc>
      </w:tr>
      <w:tr>
        <w:trPr>
          <w:trHeight w:hRule="exact" w:val="195"/>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hAnsi="Arial"/>
                <w:noProof/>
                <w:color w:val="000000"/>
                <w:sz w:val="14"/>
              </w:rPr>
              <w:t>ОСТ</w:t>
            </w: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Пакет A — Национални средства</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192</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FF0000"/>
                <w:sz w:val="14"/>
              </w:rPr>
            </w:pPr>
            <w:r>
              <w:rPr>
                <w:rFonts w:ascii="Arial" w:hAnsi="Arial"/>
                <w:noProof/>
                <w:color w:val="FF0000"/>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190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r>
              <w:rPr>
                <w:rFonts w:ascii="Arial" w:hAnsi="Arial"/>
                <w:noProof/>
                <w:color w:val="FFFFFF"/>
                <w:sz w:val="14"/>
              </w:rPr>
              <w:t>Редовни вноски на държавите членки</w:t>
            </w: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Резерв Пакет А</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Пакет Б — Национални средства</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15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Резерв Пакет Б</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Резерв национални средства Пакет A STABEX</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Резерв, който не може да бъде мобилизиран</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23</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center"/>
              <w:rPr>
                <w:rFonts w:ascii="Arial" w:eastAsia="Arial" w:hAnsi="Arial" w:cs="Arial"/>
                <w:noProof/>
                <w:color w:val="000000"/>
                <w:sz w:val="14"/>
              </w:rPr>
            </w:pPr>
            <w:r>
              <w:rPr>
                <w:rFonts w:ascii="Arial" w:hAnsi="Arial"/>
                <w:noProof/>
                <w:color w:val="000000"/>
                <w:sz w:val="14"/>
              </w:rPr>
              <w:t>(2)</w:t>
            </w: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25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Регионални средства</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40</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40</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Резерв регионални средства</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p>
        </w:tc>
        <w:tc>
          <w:tcPr>
            <w:tcW w:w="41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r>
              <w:rPr>
                <w:rFonts w:ascii="Arial" w:hAnsi="Arial"/>
                <w:noProof/>
                <w:color w:val="000000"/>
                <w:sz w:val="14"/>
              </w:rPr>
              <w:t xml:space="preserve">       Проучвания/Техническа помощ OCT</w:t>
            </w:r>
          </w:p>
        </w:tc>
        <w:tc>
          <w:tcPr>
            <w:tcW w:w="206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w:t>
            </w:r>
          </w:p>
        </w:tc>
        <w:tc>
          <w:tcPr>
            <w:tcW w:w="290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5</w:t>
            </w:r>
          </w:p>
        </w:tc>
        <w:tc>
          <w:tcPr>
            <w:tcW w:w="2113"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000000"/>
                <w:sz w:val="14"/>
              </w:rPr>
            </w:pPr>
          </w:p>
        </w:tc>
        <w:tc>
          <w:tcPr>
            <w:tcW w:w="2113" w:type="dxa"/>
            <w:tcBorders>
              <w:top w:val="nil"/>
              <w:left w:val="nil"/>
              <w:bottom w:val="nil"/>
              <w:right w:val="nil"/>
              <w:tl2br w:val="nil"/>
              <w:tr2bl w:val="nil"/>
            </w:tcBorders>
            <w:shd w:val="solid" w:color="FFFFFF" w:fill="FFFFFF"/>
            <w:tcMar>
              <w:left w:w="60" w:type="dxa"/>
              <w:right w:w="60" w:type="dxa"/>
            </w:tcMar>
            <w:vAlign w:val="bottom"/>
          </w:tcPr>
          <w:p>
            <w:pPr>
              <w:pStyle w:val="DMETW15549BIPTable13"/>
              <w:jc w:val="right"/>
              <w:rPr>
                <w:rFonts w:ascii="Arial" w:eastAsia="Arial" w:hAnsi="Arial" w:cs="Arial"/>
                <w:noProof/>
                <w:color w:val="000000"/>
                <w:sz w:val="14"/>
              </w:rPr>
            </w:pPr>
            <w:r>
              <w:rPr>
                <w:rFonts w:ascii="Arial" w:hAnsi="Arial"/>
                <w:noProof/>
                <w:color w:val="000000"/>
                <w:sz w:val="14"/>
              </w:rPr>
              <w:t>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3"/>
              <w:rPr>
                <w:rFonts w:ascii="Arial" w:eastAsia="Arial" w:hAnsi="Arial" w:cs="Arial"/>
                <w:noProof/>
                <w:color w:val="FFFFFF"/>
                <w:sz w:val="14"/>
              </w:rPr>
            </w:pPr>
          </w:p>
        </w:tc>
      </w:tr>
      <w:tr>
        <w:trPr>
          <w:trHeight w:hRule="exact" w:val="142"/>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FFFFFF"/>
                <w:sz w:val="14"/>
              </w:rPr>
            </w:pPr>
            <w:r>
              <w:rPr>
                <w:rFonts w:ascii="Arial" w:hAnsi="Arial"/>
                <w:noProof/>
                <w:color w:val="FFFFFF"/>
                <w:sz w:val="14"/>
              </w:rPr>
              <w:t>ОСТ</w:t>
            </w:r>
          </w:p>
        </w:tc>
        <w:tc>
          <w:tcPr>
            <w:tcW w:w="417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jc w:val="right"/>
              <w:rPr>
                <w:rFonts w:ascii="Arial" w:eastAsia="Arial" w:hAnsi="Arial" w:cs="Arial"/>
                <w:noProof/>
                <w:color w:val="000000"/>
                <w:sz w:val="14"/>
              </w:rPr>
            </w:pPr>
          </w:p>
        </w:tc>
        <w:tc>
          <w:tcPr>
            <w:tcW w:w="206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9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11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2113"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r>
      <w:tr>
        <w:trPr>
          <w:trHeight w:hRule="exact" w:val="195"/>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417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rPr>
                <w:rFonts w:ascii="Arial" w:eastAsia="Arial" w:hAnsi="Arial" w:cs="Arial"/>
                <w:b/>
                <w:noProof/>
                <w:color w:val="FFFFFF"/>
                <w:sz w:val="16"/>
              </w:rPr>
            </w:pPr>
            <w:r>
              <w:rPr>
                <w:rFonts w:ascii="Arial" w:hAnsi="Arial"/>
                <w:b/>
                <w:noProof/>
                <w:color w:val="FFFFFF"/>
                <w:sz w:val="16"/>
              </w:rPr>
              <w:t>МЕЖДИННА СУМА ОСТ</w:t>
            </w:r>
          </w:p>
        </w:tc>
        <w:tc>
          <w:tcPr>
            <w:tcW w:w="206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w:t>
            </w:r>
          </w:p>
        </w:tc>
        <w:tc>
          <w:tcPr>
            <w:tcW w:w="29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275</w:t>
            </w:r>
          </w:p>
        </w:tc>
        <w:tc>
          <w:tcPr>
            <w:tcW w:w="211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w:t>
            </w: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3"/>
              <w:rPr>
                <w:rFonts w:ascii="Arial" w:eastAsia="Arial" w:hAnsi="Arial" w:cs="Arial"/>
                <w:b/>
                <w:noProof/>
                <w:color w:val="FFFFFF"/>
                <w:sz w:val="16"/>
              </w:rPr>
            </w:pPr>
          </w:p>
        </w:tc>
        <w:tc>
          <w:tcPr>
            <w:tcW w:w="2113"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275</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p>
        </w:tc>
      </w:tr>
      <w:tr>
        <w:trPr>
          <w:trHeight w:hRule="exact" w:val="195"/>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417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06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9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24"/>
              </w:rPr>
            </w:pPr>
          </w:p>
        </w:tc>
      </w:tr>
      <w:tr>
        <w:trPr>
          <w:trHeight w:hRule="exact" w:val="238"/>
        </w:trPr>
        <w:tc>
          <w:tcPr>
            <w:tcW w:w="424"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13"/>
              <w:rPr>
                <w:rFonts w:ascii="Arial" w:eastAsia="Arial" w:hAnsi="Arial" w:cs="Arial"/>
                <w:noProof/>
                <w:color w:val="000000"/>
                <w:sz w:val="14"/>
              </w:rPr>
            </w:pPr>
          </w:p>
        </w:tc>
        <w:tc>
          <w:tcPr>
            <w:tcW w:w="417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3"/>
              <w:rPr>
                <w:rFonts w:ascii="Arial" w:eastAsia="Arial" w:hAnsi="Arial" w:cs="Arial"/>
                <w:b/>
                <w:noProof/>
                <w:color w:val="FFFFFF"/>
                <w:sz w:val="16"/>
              </w:rPr>
            </w:pPr>
            <w:r>
              <w:rPr>
                <w:rFonts w:ascii="Arial" w:hAnsi="Arial"/>
                <w:b/>
                <w:noProof/>
                <w:color w:val="FFFFFF"/>
                <w:sz w:val="16"/>
              </w:rPr>
              <w:t>ОБЩО 10-и ЕФР</w:t>
            </w:r>
          </w:p>
        </w:tc>
        <w:tc>
          <w:tcPr>
            <w:tcW w:w="2063"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20 896</w:t>
            </w:r>
          </w:p>
        </w:tc>
        <w:tc>
          <w:tcPr>
            <w:tcW w:w="29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392</w:t>
            </w:r>
          </w:p>
        </w:tc>
        <w:tc>
          <w:tcPr>
            <w:tcW w:w="2113"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3"/>
              <w:jc w:val="right"/>
              <w:rPr>
                <w:rFonts w:ascii="Arial" w:eastAsia="Arial" w:hAnsi="Arial" w:cs="Arial"/>
                <w:b/>
                <w:noProof/>
                <w:color w:val="FF0000"/>
                <w:sz w:val="16"/>
              </w:rPr>
            </w:pPr>
            <w:r>
              <w:rPr>
                <w:rFonts w:ascii="Arial" w:hAnsi="Arial"/>
                <w:b/>
                <w:noProof/>
                <w:color w:val="FF0000"/>
                <w:sz w:val="16"/>
              </w:rPr>
              <w:t>(65)</w:t>
            </w:r>
          </w:p>
        </w:tc>
        <w:tc>
          <w:tcPr>
            <w:tcW w:w="74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13"/>
              <w:rPr>
                <w:rFonts w:ascii="Arial" w:eastAsia="Arial" w:hAnsi="Arial" w:cs="Arial"/>
                <w:noProof/>
                <w:color w:val="FFFFFF"/>
                <w:sz w:val="14"/>
              </w:rPr>
            </w:pPr>
          </w:p>
        </w:tc>
        <w:tc>
          <w:tcPr>
            <w:tcW w:w="2113"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5549BIPTable13"/>
              <w:jc w:val="right"/>
              <w:rPr>
                <w:rFonts w:ascii="Arial" w:eastAsia="Arial" w:hAnsi="Arial" w:cs="Arial"/>
                <w:b/>
                <w:noProof/>
                <w:color w:val="FFFFFF"/>
                <w:sz w:val="16"/>
              </w:rPr>
            </w:pPr>
            <w:r>
              <w:rPr>
                <w:rFonts w:ascii="Arial" w:hAnsi="Arial"/>
                <w:b/>
                <w:noProof/>
                <w:color w:val="FFFFFF"/>
                <w:sz w:val="16"/>
              </w:rPr>
              <w:t>21 223</w:t>
            </w:r>
          </w:p>
        </w:tc>
        <w:tc>
          <w:tcPr>
            <w:tcW w:w="157"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r>
      <w:tr>
        <w:trPr>
          <w:trHeight w:hRule="exact" w:val="195"/>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417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jc w:val="right"/>
              <w:rPr>
                <w:rFonts w:ascii="Arial" w:eastAsia="Arial" w:hAnsi="Arial" w:cs="Arial"/>
                <w:noProof/>
                <w:color w:val="000000"/>
                <w:sz w:val="18"/>
              </w:rPr>
            </w:pPr>
          </w:p>
        </w:tc>
        <w:tc>
          <w:tcPr>
            <w:tcW w:w="206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2900"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2113"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r>
      <w:tr>
        <w:trPr>
          <w:trHeight w:hRule="exact" w:val="670"/>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hAnsi="Arial"/>
                <w:noProof/>
                <w:color w:val="000000"/>
                <w:sz w:val="14"/>
              </w:rPr>
              <w:t>(1)</w:t>
            </w:r>
          </w:p>
        </w:tc>
        <w:tc>
          <w:tcPr>
            <w:tcW w:w="417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r>
              <w:rPr>
                <w:rFonts w:ascii="Arial" w:hAnsi="Arial"/>
                <w:noProof/>
                <w:color w:val="000000"/>
                <w:sz w:val="14"/>
              </w:rPr>
              <w:t>Трансфер на отменени задължения от проекти по 9-и ЕФР и предишни ЕФР към резерва за изпълнение, който не може да бъде мобилизиран, за 377 милиона евро минус трансфера от резервите за Южен Судан за 200 милиона евро (към 9-и ЕФР). Към днешна дата общият създаден резерв АКТБ, който не може да бъде мобилизиран, е 807 милиона евро, от които 350 милиона евро са усвоени (150 милиона евро за Судан, 200 милиона евро за Южен Судан, прехвърлени към 9-и ЕФР).</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r>
      <w:tr>
        <w:trPr>
          <w:trHeight w:hRule="exact" w:val="298"/>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hAnsi="Arial"/>
                <w:noProof/>
                <w:color w:val="000000"/>
                <w:sz w:val="14"/>
              </w:rPr>
              <w:t>(2)</w:t>
            </w:r>
          </w:p>
        </w:tc>
        <w:tc>
          <w:tcPr>
            <w:tcW w:w="417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r>
              <w:rPr>
                <w:rFonts w:ascii="Arial" w:hAnsi="Arial"/>
                <w:noProof/>
                <w:color w:val="000000"/>
                <w:sz w:val="14"/>
              </w:rPr>
              <w:t>Трансфери към/от резервите за 10-и ЕФР</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r>
      <w:tr>
        <w:trPr>
          <w:trHeight w:hRule="exact" w:val="298"/>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jc w:val="center"/>
              <w:rPr>
                <w:rFonts w:ascii="Arial" w:eastAsia="Arial" w:hAnsi="Arial" w:cs="Arial"/>
                <w:noProof/>
                <w:color w:val="000000"/>
                <w:sz w:val="14"/>
              </w:rPr>
            </w:pPr>
            <w:r>
              <w:rPr>
                <w:rFonts w:ascii="Arial" w:hAnsi="Arial"/>
                <w:noProof/>
                <w:color w:val="000000"/>
                <w:sz w:val="14"/>
              </w:rPr>
              <w:t>(3)</w:t>
            </w:r>
          </w:p>
        </w:tc>
        <w:tc>
          <w:tcPr>
            <w:tcW w:w="417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4"/>
              </w:rPr>
            </w:pPr>
            <w:r>
              <w:rPr>
                <w:rFonts w:ascii="Arial" w:hAnsi="Arial"/>
                <w:noProof/>
                <w:color w:val="000000"/>
                <w:sz w:val="14"/>
              </w:rPr>
              <w:t>За съфинансирането в таблицата са представени само бюджетните кредити за поети задължения.</w:t>
            </w:r>
          </w:p>
        </w:tc>
        <w:tc>
          <w:tcPr>
            <w:tcW w:w="15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3"/>
              <w:rPr>
                <w:rFonts w:ascii="Arial" w:eastAsia="Arial" w:hAnsi="Arial" w:cs="Arial"/>
                <w:noProof/>
                <w:color w:val="000000"/>
                <w:sz w:val="18"/>
              </w:rPr>
            </w:pPr>
          </w:p>
        </w:tc>
      </w:tr>
    </w:tbl>
    <w:p>
      <w:pPr>
        <w:pStyle w:val="Textstand-alone"/>
        <w:spacing w:before="0" w:after="0"/>
        <w:rPr>
          <w:rFonts w:ascii="Arial" w:hAnsi="Arial" w:cs="Arial"/>
          <w:b/>
          <w:color w:val="000000"/>
          <w:sz w:val="14"/>
          <w:szCs w:val="20"/>
        </w:rPr>
        <w:sectPr>
          <w:headerReference w:type="even" r:id="rId421"/>
          <w:headerReference w:type="default" r:id="rId422"/>
          <w:footerReference w:type="even" r:id="rId423"/>
          <w:footerReference w:type="default" r:id="rId424"/>
          <w:headerReference w:type="first" r:id="rId425"/>
          <w:footerReference w:type="first" r:id="rId426"/>
          <w:pgSz w:w="16838" w:h="11906" w:orient="landscape" w:code="9"/>
          <w:pgMar w:top="1134" w:right="1134" w:bottom="1134" w:left="1134" w:header="708" w:footer="708" w:gutter="0"/>
          <w:cols w:space="708"/>
          <w:docGrid w:linePitch="360"/>
        </w:sectPr>
      </w:pPr>
    </w:p>
    <w:p>
      <w:pPr>
        <w:rPr>
          <w:rFonts w:ascii="Arial" w:hAnsi="Arial" w:cs="Arial"/>
          <w:noProof/>
          <w:color w:val="000000"/>
          <w:sz w:val="14"/>
        </w:rPr>
      </w:pPr>
      <w:r>
        <w:rPr>
          <w:rFonts w:ascii="Arial" w:hAnsi="Arial"/>
          <w:noProof/>
          <w:color w:val="000000"/>
          <w:sz w:val="14"/>
        </w:rPr>
        <w:t>Таблица 1.4</w:t>
      </w:r>
    </w:p>
    <w:p>
      <w:pPr>
        <w:pStyle w:val="Textstand-alone"/>
        <w:spacing w:before="0" w:after="0"/>
        <w:jc w:val="center"/>
        <w:rPr>
          <w:rFonts w:ascii="Arial" w:hAnsi="Arial" w:cs="Arial"/>
          <w:b/>
          <w:color w:val="000000"/>
          <w:sz w:val="14"/>
          <w:szCs w:val="20"/>
        </w:rPr>
      </w:pPr>
      <w:r>
        <w:rPr>
          <w:rFonts w:ascii="Arial" w:hAnsi="Arial"/>
          <w:b/>
          <w:color w:val="000000"/>
          <w:sz w:val="14"/>
        </w:rPr>
        <w:t>11-и ЕФР</w:t>
      </w:r>
    </w:p>
    <w:p>
      <w:pPr>
        <w:pStyle w:val="Textstand-alone"/>
        <w:spacing w:before="0" w:after="0"/>
        <w:jc w:val="center"/>
        <w:rPr>
          <w:rFonts w:ascii="Arial" w:hAnsi="Arial" w:cs="Arial"/>
          <w:b/>
          <w:color w:val="000000"/>
          <w:sz w:val="14"/>
          <w:szCs w:val="20"/>
        </w:rPr>
      </w:pPr>
      <w:r>
        <w:rPr>
          <w:rFonts w:ascii="Arial" w:hAnsi="Arial"/>
          <w:b/>
          <w:color w:val="000000"/>
          <w:sz w:val="14"/>
        </w:rPr>
        <w:t>ИЗМЕНЕНИЕ НА БЮДЖЕТНИТЕ КРЕДИТИ:  31 декември 2018 г.</w:t>
      </w:r>
    </w:p>
    <w:p>
      <w:pPr>
        <w:pStyle w:val="Textstand-alone"/>
        <w:spacing w:before="0" w:after="0"/>
        <w:jc w:val="center"/>
        <w:rPr>
          <w:rFonts w:ascii="Arial" w:hAnsi="Arial" w:cs="Arial"/>
          <w:b/>
          <w:color w:val="000000"/>
          <w:sz w:val="14"/>
          <w:szCs w:val="20"/>
        </w:rPr>
      </w:pPr>
      <w:r>
        <w:rPr>
          <w:rFonts w:ascii="Arial" w:hAnsi="Arial"/>
          <w:b/>
          <w:color w:val="000000"/>
          <w:sz w:val="14"/>
        </w:rPr>
        <w:t>АНАЛИЗ НА КРЕДИТИТЕ ПО ИНСТРУМЕНТИ</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4894"/>
        <w:gridCol w:w="2107"/>
        <w:gridCol w:w="2107"/>
        <w:gridCol w:w="2107"/>
        <w:gridCol w:w="745"/>
        <w:gridCol w:w="2107"/>
        <w:gridCol w:w="199"/>
      </w:tblGrid>
      <w:tr>
        <w:trPr>
          <w:trHeight w:hRule="exact" w:val="180"/>
        </w:trPr>
        <w:tc>
          <w:tcPr>
            <w:tcW w:w="424"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bookmarkStart w:id="223" w:name="DOC_TBL00065_1_1"/>
            <w:bookmarkEnd w:id="223"/>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4"/>
              </w:rPr>
            </w:pPr>
            <w:r>
              <w:rPr>
                <w:rFonts w:ascii="Arial" w:hAnsi="Arial"/>
                <w:noProof/>
                <w:color w:val="000000"/>
                <w:sz w:val="14"/>
              </w:rPr>
              <w:t>(милиони евро)</w:t>
            </w:r>
          </w:p>
        </w:tc>
        <w:tc>
          <w:tcPr>
            <w:tcW w:w="199"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2"/>
              </w:rPr>
            </w:pPr>
          </w:p>
        </w:tc>
      </w:tr>
      <w:tr>
        <w:trPr>
          <w:trHeight w:hRule="exact" w:val="567"/>
        </w:trPr>
        <w:tc>
          <w:tcPr>
            <w:tcW w:w="424"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hAnsi="Arial"/>
                <w:b/>
                <w:noProof/>
                <w:color w:val="000000"/>
                <w:sz w:val="14"/>
              </w:rPr>
              <w:t>ИНСТРУМЕНТ</w:t>
            </w:r>
          </w:p>
        </w:tc>
        <w:tc>
          <w:tcPr>
            <w:tcW w:w="210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hAnsi="Arial"/>
                <w:b/>
                <w:noProof/>
                <w:color w:val="000000"/>
                <w:sz w:val="14"/>
              </w:rPr>
              <w:t>ПЪРВОНАЧАЛЕН БЮДЖЕТЕН КРЕДИТ</w:t>
            </w:r>
          </w:p>
        </w:tc>
        <w:tc>
          <w:tcPr>
            <w:tcW w:w="210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hAnsi="Arial"/>
                <w:b/>
                <w:noProof/>
                <w:color w:val="000000"/>
                <w:sz w:val="14"/>
              </w:rPr>
              <w:t>УВЕЛИЧЕНИЯ/НАМАЛЕНИЯ НА КУМУЛАТИВНИТЕ РЕСУРСИ КЪМ 31 ДЕКЕМВРИ 2017 г.</w:t>
            </w:r>
          </w:p>
        </w:tc>
        <w:tc>
          <w:tcPr>
            <w:tcW w:w="210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hAnsi="Arial"/>
                <w:b/>
                <w:noProof/>
                <w:color w:val="000000"/>
                <w:sz w:val="14"/>
              </w:rPr>
              <w:t>УВЕЛИЧЕНИЕ ИЛИ НАМАЛЕНИЕ НА РЕСУРСИТЕ ПРЕЗ 2018 г.</w:t>
            </w:r>
          </w:p>
        </w:tc>
        <w:tc>
          <w:tcPr>
            <w:tcW w:w="74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hAnsi="Arial"/>
                <w:b/>
                <w:noProof/>
                <w:color w:val="000000"/>
                <w:sz w:val="14"/>
              </w:rPr>
              <w:t>Забележки</w:t>
            </w:r>
          </w:p>
        </w:tc>
        <w:tc>
          <w:tcPr>
            <w:tcW w:w="210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b/>
                <w:noProof/>
                <w:color w:val="000000"/>
                <w:sz w:val="14"/>
              </w:rPr>
            </w:pPr>
            <w:r>
              <w:rPr>
                <w:rFonts w:ascii="Arial" w:hAnsi="Arial"/>
                <w:b/>
                <w:noProof/>
                <w:color w:val="000000"/>
                <w:sz w:val="14"/>
              </w:rPr>
              <w:t>ТЕКУЩО НИВО НА БЮДЖЕТНИТЕ КРЕДИТИ</w:t>
            </w:r>
          </w:p>
        </w:tc>
        <w:tc>
          <w:tcPr>
            <w:tcW w:w="199"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2"/>
              </w:rPr>
            </w:pPr>
          </w:p>
        </w:tc>
      </w:tr>
      <w:tr>
        <w:trPr>
          <w:trHeight w:hRule="exact" w:val="170"/>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hAnsi="Arial"/>
                <w:b/>
                <w:i/>
                <w:noProof/>
                <w:color w:val="000000"/>
                <w:sz w:val="14"/>
              </w:rPr>
              <w:t>Редовни вноски на държавите членки</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29 008</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224</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110</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29 342</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r>
      <w:tr>
        <w:trPr>
          <w:trHeight w:hRule="exact" w:val="170"/>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r>
              <w:rPr>
                <w:rFonts w:ascii="Arial" w:hAnsi="Arial"/>
                <w:noProof/>
                <w:color w:val="000000"/>
                <w:sz w:val="14"/>
              </w:rPr>
              <w:t xml:space="preserve">АКТБ </w:t>
            </w: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Пакет A — Национални средства</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15 540</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hAnsi="Arial"/>
                <w:noProof/>
                <w:color w:val="FF0000"/>
                <w:sz w:val="14"/>
              </w:rPr>
              <w:t>(121)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15 419</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r>
              <w:rPr>
                <w:rFonts w:ascii="Arial" w:hAnsi="Arial"/>
                <w:noProof/>
                <w:color w:val="FFFFFF"/>
                <w:sz w:val="14"/>
              </w:rPr>
              <w:t>Редовни вноски на държавите членки</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Пакет Б — Национални средства</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715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717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Резерв Пакет Б</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Разходи за прилагане</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1 053</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1 053</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Институционални разходи и разходи за подкрепа</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246</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246</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Лихви и други приходи</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16</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16</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Резерв в рамките на АКТБ</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3 590</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hAnsi="Arial"/>
                <w:noProof/>
                <w:color w:val="FF0000"/>
                <w:sz w:val="14"/>
              </w:rPr>
              <w:t>(3 497)</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hAnsi="Arial"/>
                <w:noProof/>
                <w:color w:val="FF0000"/>
                <w:sz w:val="14"/>
              </w:rPr>
              <w:t>(24)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69</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Резерв национални средства Пакет A STABEX</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Резерв НИП/РИП</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24 365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hAnsi="Arial"/>
                <w:noProof/>
                <w:color w:val="FF0000"/>
                <w:sz w:val="14"/>
              </w:rPr>
              <w:t>(22 014)</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hAnsi="Arial"/>
                <w:noProof/>
                <w:color w:val="FF0000"/>
                <w:sz w:val="14"/>
              </w:rPr>
              <w:t>(1 080)</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1 270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Резерв, който не може да бъде мобилизиран</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201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110</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center"/>
              <w:rPr>
                <w:rFonts w:ascii="Arial" w:eastAsia="Arial" w:hAnsi="Arial" w:cs="Arial"/>
                <w:noProof/>
                <w:color w:val="000000"/>
                <w:sz w:val="14"/>
              </w:rPr>
            </w:pPr>
            <w:r>
              <w:rPr>
                <w:rFonts w:ascii="Arial" w:hAnsi="Arial"/>
                <w:noProof/>
                <w:color w:val="000000"/>
                <w:sz w:val="14"/>
              </w:rPr>
              <w:t>(1)</w:t>
            </w: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311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Други средства в рамките на АКТБ</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2 251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449</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2 700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Инструмент за мир</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1 000</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1 000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Регионални средства</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5 766</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775</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6 541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hAnsi="Arial"/>
                <w:b/>
                <w:i/>
                <w:noProof/>
                <w:color w:val="000000"/>
                <w:sz w:val="14"/>
              </w:rPr>
              <w:t>Съфинансиране</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24</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13</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38</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Пакет A — Национални средства</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22</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23</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r>
              <w:rPr>
                <w:rFonts w:ascii="Arial" w:hAnsi="Arial"/>
                <w:noProof/>
                <w:color w:val="FFFFFF"/>
                <w:sz w:val="14"/>
              </w:rPr>
              <w:t>Съфинансиране</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Разходи за прилагане</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2</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Инструмент за мир</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10</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Регионални средства</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2</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hAnsi="Arial"/>
                <w:b/>
                <w:i/>
                <w:noProof/>
                <w:color w:val="000000"/>
                <w:sz w:val="14"/>
              </w:rPr>
              <w:t>Вътрешни SLA на ЕК</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1</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Пакет A — Национални средства</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r>
              <w:rPr>
                <w:rFonts w:ascii="Arial" w:hAnsi="Arial"/>
                <w:noProof/>
                <w:color w:val="FFFFFF"/>
                <w:sz w:val="14"/>
              </w:rPr>
              <w:t>Вътрешни SLA на ЕК</w:t>
            </w:r>
          </w:p>
        </w:tc>
      </w:tr>
      <w:tr>
        <w:trPr>
          <w:trHeight w:hRule="exact" w:val="57"/>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FFFFFF"/>
                <w:sz w:val="14"/>
              </w:rPr>
            </w:pPr>
            <w:r>
              <w:rPr>
                <w:rFonts w:ascii="Arial" w:hAnsi="Arial"/>
                <w:noProof/>
                <w:color w:val="FFFFFF"/>
                <w:sz w:val="14"/>
              </w:rPr>
              <w:t xml:space="preserve">АКТБ </w:t>
            </w:r>
          </w:p>
        </w:tc>
        <w:tc>
          <w:tcPr>
            <w:tcW w:w="489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r>
      <w:tr>
        <w:trPr>
          <w:trHeight w:hRule="exact" w:val="227"/>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r>
              <w:rPr>
                <w:rFonts w:ascii="Arial" w:hAnsi="Arial"/>
                <w:b/>
                <w:noProof/>
                <w:color w:val="FFFFFF"/>
                <w:sz w:val="16"/>
              </w:rPr>
              <w:t xml:space="preserve">МЕЖДИННА СУМА АКТБ </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29 008</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249</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4"/>
              <w:rPr>
                <w:rFonts w:ascii="Arial" w:eastAsia="Arial" w:hAnsi="Arial" w:cs="Arial"/>
                <w:b/>
                <w:noProof/>
                <w:color w:val="FFFFFF"/>
                <w:sz w:val="16"/>
              </w:rPr>
            </w:pPr>
          </w:p>
        </w:tc>
        <w:tc>
          <w:tcPr>
            <w:tcW w:w="2107"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29 381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r>
      <w:tr>
        <w:trPr>
          <w:trHeight w:hRule="exact" w:val="57"/>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r>
      <w:tr>
        <w:trPr>
          <w:trHeight w:hRule="exact" w:val="170"/>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hAnsi="Arial"/>
                <w:b/>
                <w:i/>
                <w:noProof/>
                <w:color w:val="000000"/>
                <w:sz w:val="14"/>
              </w:rPr>
              <w:t>Редовни вноски на държавите членки</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358</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FF0000"/>
                <w:sz w:val="14"/>
              </w:rPr>
            </w:pPr>
            <w:r>
              <w:rPr>
                <w:rFonts w:ascii="Arial" w:hAnsi="Arial"/>
                <w:b/>
                <w:i/>
                <w:noProof/>
                <w:color w:val="FF0000"/>
                <w:sz w:val="14"/>
              </w:rPr>
              <w:t>(9)</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350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r>
      <w:tr>
        <w:trPr>
          <w:trHeight w:hRule="exact" w:val="170"/>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r>
              <w:rPr>
                <w:rFonts w:ascii="Arial" w:hAnsi="Arial"/>
                <w:noProof/>
                <w:color w:val="000000"/>
                <w:sz w:val="14"/>
              </w:rPr>
              <w:t>ОСТ</w:t>
            </w: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Пакет A — Национални средства</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183</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13</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196</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r>
              <w:rPr>
                <w:rFonts w:ascii="Arial" w:hAnsi="Arial"/>
                <w:noProof/>
                <w:color w:val="FFFFFF"/>
                <w:sz w:val="14"/>
              </w:rPr>
              <w:t>Редовни вноски на държавите членки</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Пакет Б — Национални средства</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8</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8</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Резерв НИП/РИП</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165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FF0000"/>
                <w:sz w:val="14"/>
              </w:rPr>
            </w:pPr>
            <w:r>
              <w:rPr>
                <w:rFonts w:ascii="Arial" w:hAnsi="Arial"/>
                <w:noProof/>
                <w:color w:val="FF0000"/>
                <w:sz w:val="14"/>
              </w:rPr>
              <w:t>(116)</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49</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Резерв, който не може да бъде мобилизиран</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2</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center"/>
              <w:rPr>
                <w:rFonts w:ascii="Arial" w:eastAsia="Arial" w:hAnsi="Arial" w:cs="Arial"/>
                <w:noProof/>
                <w:color w:val="000000"/>
                <w:sz w:val="14"/>
              </w:rPr>
            </w:pPr>
            <w:r>
              <w:rPr>
                <w:rFonts w:ascii="Arial" w:hAnsi="Arial"/>
                <w:noProof/>
                <w:color w:val="000000"/>
                <w:sz w:val="14"/>
              </w:rPr>
              <w:t>(1)</w:t>
            </w: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Регионални средства</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80</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81</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Проучвания/Техническа помощ OCT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5</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9</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hAnsi="Arial"/>
                <w:b/>
                <w:i/>
                <w:noProof/>
                <w:color w:val="000000"/>
                <w:sz w:val="14"/>
              </w:rPr>
              <w:t>Съфинансиране</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Пакет A — Национални средства</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r>
              <w:rPr>
                <w:rFonts w:ascii="Arial" w:hAnsi="Arial"/>
                <w:noProof/>
                <w:color w:val="FFFFFF"/>
                <w:sz w:val="14"/>
              </w:rPr>
              <w:t>Съфинансиране</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hAnsi="Arial"/>
                <w:b/>
                <w:i/>
                <w:noProof/>
                <w:color w:val="000000"/>
                <w:sz w:val="14"/>
              </w:rPr>
              <w:t>Вътрешни SLA на ЕК</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Пакет A — Национални средства</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r>
              <w:rPr>
                <w:rFonts w:ascii="Arial" w:hAnsi="Arial"/>
                <w:noProof/>
                <w:color w:val="FFFFFF"/>
                <w:sz w:val="14"/>
              </w:rPr>
              <w:t>Вътрешни SLA на ЕК</w:t>
            </w:r>
          </w:p>
        </w:tc>
      </w:tr>
      <w:tr>
        <w:trPr>
          <w:trHeight w:hRule="exact" w:val="57"/>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FFFFFF"/>
                <w:sz w:val="14"/>
              </w:rPr>
            </w:pPr>
            <w:r>
              <w:rPr>
                <w:rFonts w:ascii="Arial" w:hAnsi="Arial"/>
                <w:noProof/>
                <w:color w:val="FFFFFF"/>
                <w:sz w:val="14"/>
              </w:rPr>
              <w:t>ОСТ</w:t>
            </w:r>
          </w:p>
        </w:tc>
        <w:tc>
          <w:tcPr>
            <w:tcW w:w="489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r>
      <w:tr>
        <w:trPr>
          <w:trHeight w:hRule="exact" w:val="227"/>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r>
              <w:rPr>
                <w:rFonts w:ascii="Arial" w:hAnsi="Arial"/>
                <w:b/>
                <w:noProof/>
                <w:color w:val="FFFFFF"/>
                <w:sz w:val="16"/>
              </w:rPr>
              <w:t>МЕЖДИННА СУМА ОСТ</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358</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4"/>
              <w:rPr>
                <w:rFonts w:ascii="Arial" w:eastAsia="Arial" w:hAnsi="Arial" w:cs="Arial"/>
                <w:b/>
                <w:noProof/>
                <w:color w:val="FFFFFF"/>
                <w:sz w:val="16"/>
              </w:rPr>
            </w:pPr>
          </w:p>
        </w:tc>
        <w:tc>
          <w:tcPr>
            <w:tcW w:w="2107"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350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r>
      <w:tr>
        <w:trPr>
          <w:trHeight w:hRule="exact" w:val="57"/>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r>
      <w:tr>
        <w:trPr>
          <w:trHeight w:hRule="exact" w:val="170"/>
        </w:trPr>
        <w:tc>
          <w:tcPr>
            <w:tcW w:w="42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c>
          <w:tcPr>
            <w:tcW w:w="4894"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r>
              <w:rPr>
                <w:rFonts w:ascii="Arial" w:hAnsi="Arial"/>
                <w:b/>
                <w:i/>
                <w:noProof/>
                <w:color w:val="000000"/>
                <w:sz w:val="14"/>
              </w:rPr>
              <w:t>Редовни вноски на държавите членки</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6</w:t>
            </w:r>
          </w:p>
        </w:tc>
        <w:tc>
          <w:tcPr>
            <w:tcW w:w="21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11</w:t>
            </w:r>
          </w:p>
        </w:tc>
        <w:tc>
          <w:tcPr>
            <w:tcW w:w="74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b/>
                <w:i/>
                <w:noProof/>
                <w:color w:val="000000"/>
                <w:sz w:val="14"/>
              </w:rPr>
            </w:pPr>
          </w:p>
        </w:tc>
        <w:tc>
          <w:tcPr>
            <w:tcW w:w="210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b/>
                <w:i/>
                <w:noProof/>
                <w:color w:val="000000"/>
                <w:sz w:val="14"/>
              </w:rPr>
            </w:pPr>
            <w:r>
              <w:rPr>
                <w:rFonts w:ascii="Arial" w:hAnsi="Arial"/>
                <w:b/>
                <w:i/>
                <w:noProof/>
                <w:color w:val="000000"/>
                <w:sz w:val="14"/>
              </w:rPr>
              <w:t>17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b/>
                <w:noProof/>
                <w:color w:val="FFFFFF"/>
                <w:sz w:val="14"/>
              </w:rPr>
            </w:pPr>
          </w:p>
        </w:tc>
      </w:tr>
      <w:tr>
        <w:trPr>
          <w:trHeight w:hRule="exact" w:val="170"/>
        </w:trPr>
        <w:tc>
          <w:tcPr>
            <w:tcW w:w="424"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Пакет A — Национални средства</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6</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4</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10</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r>
              <w:rPr>
                <w:rFonts w:ascii="Arial" w:hAnsi="Arial"/>
                <w:noProof/>
                <w:color w:val="FFFFFF"/>
                <w:sz w:val="14"/>
              </w:rPr>
              <w:t>Редовни вноски на държавите членки</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p>
        </w:tc>
        <w:tc>
          <w:tcPr>
            <w:tcW w:w="489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r>
              <w:rPr>
                <w:rFonts w:ascii="Arial" w:hAnsi="Arial"/>
                <w:noProof/>
                <w:color w:val="000000"/>
                <w:sz w:val="14"/>
              </w:rPr>
              <w:t xml:space="preserve">       Пакет Б — Национални средства</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w:t>
            </w:r>
          </w:p>
        </w:tc>
        <w:tc>
          <w:tcPr>
            <w:tcW w:w="21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7</w:t>
            </w:r>
          </w:p>
        </w:tc>
        <w:tc>
          <w:tcPr>
            <w:tcW w:w="74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000000"/>
                <w:sz w:val="14"/>
              </w:rPr>
            </w:pPr>
          </w:p>
        </w:tc>
        <w:tc>
          <w:tcPr>
            <w:tcW w:w="2107" w:type="dxa"/>
            <w:tcBorders>
              <w:top w:val="nil"/>
              <w:left w:val="nil"/>
              <w:bottom w:val="nil"/>
              <w:right w:val="nil"/>
              <w:tl2br w:val="nil"/>
              <w:tr2bl w:val="nil"/>
            </w:tcBorders>
            <w:shd w:val="solid" w:color="FFFFFF" w:fill="FFFFFF"/>
            <w:tcMar>
              <w:left w:w="60" w:type="dxa"/>
              <w:right w:w="60" w:type="dxa"/>
            </w:tcMar>
            <w:vAlign w:val="bottom"/>
          </w:tcPr>
          <w:p>
            <w:pPr>
              <w:pStyle w:val="DMETW15549BIPTable14"/>
              <w:jc w:val="right"/>
              <w:rPr>
                <w:rFonts w:ascii="Arial" w:eastAsia="Arial" w:hAnsi="Arial" w:cs="Arial"/>
                <w:noProof/>
                <w:color w:val="000000"/>
                <w:sz w:val="14"/>
              </w:rPr>
            </w:pPr>
            <w:r>
              <w:rPr>
                <w:rFonts w:ascii="Arial" w:hAnsi="Arial"/>
                <w:noProof/>
                <w:color w:val="000000"/>
                <w:sz w:val="14"/>
              </w:rPr>
              <w:t>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14"/>
              <w:rPr>
                <w:rFonts w:ascii="Arial" w:eastAsia="Arial" w:hAnsi="Arial" w:cs="Arial"/>
                <w:noProof/>
                <w:color w:val="FFFFFF"/>
                <w:sz w:val="14"/>
              </w:rPr>
            </w:pPr>
          </w:p>
        </w:tc>
      </w:tr>
      <w:tr>
        <w:trPr>
          <w:trHeight w:hRule="exact" w:val="57"/>
        </w:trPr>
        <w:tc>
          <w:tcPr>
            <w:tcW w:w="42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FFFFFF"/>
                <w:sz w:val="14"/>
              </w:rPr>
            </w:pPr>
          </w:p>
        </w:tc>
        <w:tc>
          <w:tcPr>
            <w:tcW w:w="489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74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21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r>
      <w:tr>
        <w:trPr>
          <w:trHeight w:hRule="exact" w:val="227"/>
        </w:trPr>
        <w:tc>
          <w:tcPr>
            <w:tcW w:w="42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r>
              <w:rPr>
                <w:rFonts w:ascii="Arial" w:hAnsi="Arial"/>
                <w:b/>
                <w:noProof/>
                <w:color w:val="FFFFFF"/>
                <w:sz w:val="16"/>
              </w:rPr>
              <w:t xml:space="preserve">МЕЖДИННА СУМА </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6</w:t>
            </w:r>
          </w:p>
        </w:tc>
        <w:tc>
          <w:tcPr>
            <w:tcW w:w="21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5549BIPTable14"/>
              <w:rPr>
                <w:rFonts w:ascii="Arial" w:eastAsia="Arial" w:hAnsi="Arial" w:cs="Arial"/>
                <w:b/>
                <w:noProof/>
                <w:color w:val="FFFFFF"/>
                <w:sz w:val="16"/>
              </w:rPr>
            </w:pPr>
          </w:p>
        </w:tc>
        <w:tc>
          <w:tcPr>
            <w:tcW w:w="74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14"/>
              <w:rPr>
                <w:rFonts w:ascii="Arial" w:eastAsia="Arial" w:hAnsi="Arial" w:cs="Arial"/>
                <w:b/>
                <w:noProof/>
                <w:color w:val="FFFFFF"/>
                <w:sz w:val="16"/>
              </w:rPr>
            </w:pPr>
          </w:p>
        </w:tc>
        <w:tc>
          <w:tcPr>
            <w:tcW w:w="2107"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5549BIPTable14"/>
              <w:jc w:val="right"/>
              <w:rPr>
                <w:rFonts w:ascii="Arial" w:eastAsia="Arial" w:hAnsi="Arial" w:cs="Arial"/>
                <w:b/>
                <w:noProof/>
                <w:color w:val="FFFFFF"/>
                <w:sz w:val="16"/>
              </w:rPr>
            </w:pPr>
            <w:r>
              <w:rPr>
                <w:rFonts w:ascii="Arial" w:hAnsi="Arial"/>
                <w:b/>
                <w:noProof/>
                <w:color w:val="FFFFFF"/>
                <w:sz w:val="16"/>
              </w:rPr>
              <w:t>17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p>
        </w:tc>
      </w:tr>
      <w:tr>
        <w:trPr>
          <w:trHeight w:hRule="exact" w:val="57"/>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489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24"/>
              </w:rPr>
            </w:pPr>
          </w:p>
        </w:tc>
      </w:tr>
      <w:tr>
        <w:trPr>
          <w:trHeight w:hRule="exact" w:val="227"/>
        </w:trPr>
        <w:tc>
          <w:tcPr>
            <w:tcW w:w="424"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14"/>
              <w:rPr>
                <w:rFonts w:ascii="Arial" w:eastAsia="Arial" w:hAnsi="Arial" w:cs="Arial"/>
                <w:noProof/>
                <w:color w:val="000000"/>
                <w:sz w:val="14"/>
              </w:rPr>
            </w:pPr>
          </w:p>
        </w:tc>
        <w:tc>
          <w:tcPr>
            <w:tcW w:w="4894"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4"/>
              <w:rPr>
                <w:rFonts w:ascii="Arial" w:eastAsia="Arial" w:hAnsi="Arial" w:cs="Arial"/>
                <w:b/>
                <w:noProof/>
                <w:color w:val="FFFFFF"/>
                <w:sz w:val="16"/>
              </w:rPr>
            </w:pPr>
            <w:r>
              <w:rPr>
                <w:rFonts w:ascii="Arial" w:hAnsi="Arial"/>
                <w:b/>
                <w:noProof/>
                <w:color w:val="FFFFFF"/>
                <w:sz w:val="16"/>
              </w:rPr>
              <w:t>ОБЩО 11-и ЕФР</w:t>
            </w:r>
          </w:p>
        </w:tc>
        <w:tc>
          <w:tcPr>
            <w:tcW w:w="210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4"/>
              <w:jc w:val="right"/>
              <w:rPr>
                <w:rFonts w:ascii="Arial" w:eastAsia="Arial" w:hAnsi="Arial" w:cs="Arial"/>
                <w:noProof/>
                <w:color w:val="FFFFFF"/>
                <w:sz w:val="16"/>
              </w:rPr>
            </w:pPr>
            <w:r>
              <w:rPr>
                <w:rFonts w:ascii="Arial" w:hAnsi="Arial"/>
                <w:noProof/>
                <w:color w:val="FFFFFF"/>
                <w:sz w:val="16"/>
              </w:rPr>
              <w:t>29 008</w:t>
            </w:r>
          </w:p>
        </w:tc>
        <w:tc>
          <w:tcPr>
            <w:tcW w:w="210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4"/>
              <w:jc w:val="right"/>
              <w:rPr>
                <w:rFonts w:ascii="Arial" w:eastAsia="Arial" w:hAnsi="Arial" w:cs="Arial"/>
                <w:noProof/>
                <w:color w:val="FFFFFF"/>
                <w:sz w:val="16"/>
              </w:rPr>
            </w:pPr>
            <w:r>
              <w:rPr>
                <w:rFonts w:ascii="Arial" w:hAnsi="Arial"/>
                <w:noProof/>
                <w:color w:val="FFFFFF"/>
                <w:sz w:val="16"/>
              </w:rPr>
              <w:t>614</w:t>
            </w:r>
          </w:p>
        </w:tc>
        <w:tc>
          <w:tcPr>
            <w:tcW w:w="210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5549BIPTable14"/>
              <w:jc w:val="right"/>
              <w:rPr>
                <w:rFonts w:ascii="Arial" w:eastAsia="Arial" w:hAnsi="Arial" w:cs="Arial"/>
                <w:noProof/>
                <w:color w:val="FFFFFF"/>
                <w:sz w:val="16"/>
              </w:rPr>
            </w:pPr>
            <w:r>
              <w:rPr>
                <w:rFonts w:ascii="Arial" w:hAnsi="Arial"/>
                <w:noProof/>
                <w:color w:val="FFFFFF"/>
                <w:sz w:val="16"/>
              </w:rPr>
              <w:t>126</w:t>
            </w:r>
          </w:p>
        </w:tc>
        <w:tc>
          <w:tcPr>
            <w:tcW w:w="74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14"/>
              <w:rPr>
                <w:rFonts w:ascii="Arial" w:eastAsia="Arial" w:hAnsi="Arial" w:cs="Arial"/>
                <w:noProof/>
                <w:color w:val="FFFFFF"/>
                <w:sz w:val="14"/>
              </w:rPr>
            </w:pPr>
          </w:p>
        </w:tc>
        <w:tc>
          <w:tcPr>
            <w:tcW w:w="2107"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5549BIPTable14"/>
              <w:jc w:val="right"/>
              <w:rPr>
                <w:rFonts w:ascii="Arial" w:eastAsia="Arial" w:hAnsi="Arial" w:cs="Arial"/>
                <w:noProof/>
                <w:color w:val="FFFFFF"/>
                <w:sz w:val="16"/>
              </w:rPr>
            </w:pPr>
            <w:r>
              <w:rPr>
                <w:rFonts w:ascii="Arial" w:hAnsi="Arial"/>
                <w:noProof/>
                <w:color w:val="FFFFFF"/>
                <w:sz w:val="16"/>
              </w:rPr>
              <w:t>29 747</w:t>
            </w:r>
          </w:p>
        </w:tc>
        <w:tc>
          <w:tcPr>
            <w:tcW w:w="199" w:type="dxa"/>
            <w:tcBorders>
              <w:top w:val="nil"/>
              <w:left w:val="single" w:sz="4" w:space="0" w:color="000000"/>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r>
      <w:tr>
        <w:trPr>
          <w:trHeight w:hRule="exact" w:val="20"/>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489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right"/>
              <w:rPr>
                <w:rFonts w:ascii="Arial" w:eastAsia="Arial" w:hAnsi="Arial" w:cs="Arial"/>
                <w:noProof/>
                <w:color w:val="000000"/>
                <w:sz w:val="18"/>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745"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2107"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r>
      <w:tr>
        <w:trPr>
          <w:trHeight w:hRule="exact" w:val="567"/>
        </w:trPr>
        <w:tc>
          <w:tcPr>
            <w:tcW w:w="424"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jc w:val="center"/>
              <w:rPr>
                <w:rFonts w:ascii="Arial" w:eastAsia="Arial" w:hAnsi="Arial" w:cs="Arial"/>
                <w:noProof/>
                <w:color w:val="000000"/>
                <w:sz w:val="14"/>
              </w:rPr>
            </w:pPr>
            <w:r>
              <w:rPr>
                <w:rFonts w:ascii="Arial" w:hAnsi="Arial"/>
                <w:noProof/>
                <w:color w:val="000000"/>
                <w:sz w:val="14"/>
              </w:rPr>
              <w:t>(1)</w:t>
            </w:r>
          </w:p>
        </w:tc>
        <w:tc>
          <w:tcPr>
            <w:tcW w:w="4894"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4"/>
              </w:rPr>
            </w:pPr>
            <w:r>
              <w:rPr>
                <w:rFonts w:ascii="Arial" w:hAnsi="Arial"/>
                <w:noProof/>
                <w:color w:val="000000"/>
                <w:sz w:val="14"/>
              </w:rPr>
              <w:t>С Решение 2013/759/ЕС (3) на Съвета бяха въведени преходни мерки за управление на Европейския фонд за развитие (ЕФР) („Преходен инструмент“), за да се осигури наличността на средства за сътрудничество с държавите от Африка, Карибите и Тихоокеанския басейн (АКТБ) и с отвъдморските страни и територии (ОСТ), както и за разходи за подкрепа, за периода от 1 януари 2014 г. до влизането в сила на Вътрешното споразумение за 11-ия Европейски фонд за развитие.</w:t>
            </w:r>
          </w:p>
        </w:tc>
        <w:tc>
          <w:tcPr>
            <w:tcW w:w="199" w:type="dxa"/>
            <w:tcBorders>
              <w:top w:val="nil"/>
              <w:left w:val="nil"/>
              <w:bottom w:val="nil"/>
              <w:right w:val="nil"/>
              <w:tl2br w:val="nil"/>
              <w:tr2bl w:val="nil"/>
            </w:tcBorders>
            <w:shd w:val="solid" w:color="FFFFFF" w:fill="FFFFFF"/>
            <w:tcMar>
              <w:left w:w="60" w:type="dxa"/>
              <w:right w:w="60" w:type="dxa"/>
            </w:tcMar>
            <w:vAlign w:val="center"/>
          </w:tcPr>
          <w:p>
            <w:pPr>
              <w:pStyle w:val="DMETW15549BIPTable14"/>
              <w:rPr>
                <w:rFonts w:ascii="Arial" w:eastAsia="Arial" w:hAnsi="Arial" w:cs="Arial"/>
                <w:noProof/>
                <w:color w:val="000000"/>
                <w:sz w:val="18"/>
              </w:rPr>
            </w:pPr>
          </w:p>
        </w:tc>
      </w:tr>
      <w:bookmarkEnd w:id="219"/>
    </w:tbl>
    <w:p>
      <w:pPr>
        <w:pStyle w:val="Textstand-alone"/>
        <w:spacing w:before="0" w:after="0"/>
        <w:rPr>
          <w:rFonts w:ascii="Arial" w:hAnsi="Arial" w:cs="Arial"/>
          <w:b/>
          <w:color w:val="000000"/>
          <w:sz w:val="14"/>
          <w:szCs w:val="20"/>
        </w:rPr>
        <w:sectPr>
          <w:headerReference w:type="even" r:id="rId427"/>
          <w:headerReference w:type="default" r:id="rId428"/>
          <w:footerReference w:type="even" r:id="rId429"/>
          <w:footerReference w:type="default" r:id="rId430"/>
          <w:headerReference w:type="first" r:id="rId431"/>
          <w:footerReference w:type="first" r:id="rId432"/>
          <w:pgSz w:w="16838" w:h="11906" w:orient="landscape" w:code="9"/>
          <w:pgMar w:top="1134" w:right="1134" w:bottom="1134" w:left="1134" w:header="708" w:footer="708" w:gutter="0"/>
          <w:cols w:space="708"/>
          <w:docGrid w:linePitch="360"/>
        </w:sectPr>
      </w:pPr>
    </w:p>
    <w:p>
      <w:pPr>
        <w:rPr>
          <w:rFonts w:ascii="Arial" w:hAnsi="Arial" w:cs="Arial"/>
          <w:noProof/>
          <w:sz w:val="14"/>
          <w:szCs w:val="14"/>
        </w:rPr>
      </w:pPr>
      <w:bookmarkStart w:id="224" w:name="_DMBM_15804"/>
      <w:r>
        <w:rPr>
          <w:rFonts w:ascii="Arial" w:hAnsi="Arial"/>
          <w:noProof/>
          <w:sz w:val="14"/>
        </w:rPr>
        <w:t>Таблица 2.1</w:t>
      </w:r>
    </w:p>
    <w:p>
      <w:pPr>
        <w:jc w:val="center"/>
        <w:rPr>
          <w:rFonts w:ascii="Arial" w:hAnsi="Arial" w:cs="Arial"/>
          <w:b/>
          <w:noProof/>
          <w:sz w:val="14"/>
          <w:szCs w:val="14"/>
        </w:rPr>
      </w:pPr>
      <w:r>
        <w:rPr>
          <w:rFonts w:ascii="Arial" w:hAnsi="Arial"/>
          <w:b/>
          <w:noProof/>
          <w:sz w:val="14"/>
        </w:rPr>
        <w:t>КОНСОЛИДИРАНИ ОТЧЕТИ НА ЕФР КЪМ 31 декември 2018 г.</w:t>
      </w:r>
    </w:p>
    <w:p>
      <w:pPr>
        <w:jc w:val="center"/>
        <w:rPr>
          <w:rFonts w:ascii="Arial" w:hAnsi="Arial" w:cs="Arial"/>
          <w:b/>
          <w:noProof/>
          <w:sz w:val="14"/>
          <w:szCs w:val="14"/>
        </w:rPr>
      </w:pPr>
      <w:r>
        <w:rPr>
          <w:rFonts w:ascii="Arial" w:hAnsi="Arial"/>
          <w:b/>
          <w:noProof/>
          <w:sz w:val="14"/>
        </w:rPr>
        <w:t>ДОКЛАД ЗА НАПРЕДЪКА</w:t>
      </w:r>
    </w:p>
    <w:tbl>
      <w:tblPr>
        <w:tblW w:w="994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
        <w:gridCol w:w="871"/>
        <w:gridCol w:w="1095"/>
        <w:gridCol w:w="1094"/>
        <w:gridCol w:w="1124"/>
        <w:gridCol w:w="1124"/>
        <w:gridCol w:w="1124"/>
        <w:gridCol w:w="1124"/>
        <w:gridCol w:w="1124"/>
        <w:gridCol w:w="1124"/>
      </w:tblGrid>
      <w:tr>
        <w:trPr>
          <w:trHeight w:hRule="exact" w:val="180"/>
        </w:trPr>
        <w:tc>
          <w:tcPr>
            <w:tcW w:w="1005"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bookmarkStart w:id="225" w:name="DOC_TBL00066_1_1"/>
            <w:bookmarkEnd w:id="225"/>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225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(милиони евро)</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3195" w:type="dxa"/>
            <w:gridSpan w:val="4"/>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4"/>
              </w:rPr>
            </w:pPr>
          </w:p>
        </w:tc>
        <w:tc>
          <w:tcPr>
            <w:tcW w:w="5625" w:type="dxa"/>
            <w:gridSpan w:val="5"/>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4"/>
              </w:rPr>
            </w:pPr>
            <w:r>
              <w:rPr>
                <w:rFonts w:ascii="Arial" w:hAnsi="Arial"/>
                <w:b/>
                <w:noProof/>
                <w:color w:val="000000"/>
                <w:sz w:val="14"/>
              </w:rPr>
              <w:t>ЕФР</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92"/>
        </w:trPr>
        <w:tc>
          <w:tcPr>
            <w:tcW w:w="135"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noProof/>
                <w:color w:val="000000"/>
                <w:sz w:val="14"/>
              </w:rPr>
            </w:pPr>
          </w:p>
        </w:tc>
        <w:tc>
          <w:tcPr>
            <w:tcW w:w="3060" w:type="dxa"/>
            <w:gridSpan w:val="3"/>
            <w:tcBorders>
              <w:top w:val="nil"/>
              <w:left w:val="nil"/>
              <w:bottom w:val="single" w:sz="4" w:space="0" w:color="000000"/>
              <w:right w:val="nil"/>
              <w:tl2br w:val="nil"/>
              <w:tr2bl w:val="nil"/>
            </w:tcBorders>
            <w:shd w:val="solid" w:color="FFFFFF" w:fill="FFFFFF"/>
            <w:tcMar>
              <w:left w:w="60" w:type="dxa"/>
              <w:right w:w="60" w:type="dxa"/>
            </w:tcMar>
          </w:tcPr>
          <w:p>
            <w:pPr>
              <w:pStyle w:val="DMETW15549BIPTable21a"/>
              <w:rPr>
                <w:rFonts w:ascii="Arial" w:eastAsia="Arial" w:hAnsi="Arial" w:cs="Arial"/>
                <w:b/>
                <w:noProof/>
                <w:color w:val="000000"/>
                <w:sz w:val="12"/>
              </w:rPr>
            </w:pPr>
            <w:r>
              <w:rPr>
                <w:rFonts w:ascii="Arial" w:hAnsi="Arial"/>
                <w:b/>
                <w:noProof/>
                <w:color w:val="000000"/>
                <w:sz w:val="12"/>
              </w:rPr>
              <w:t xml:space="preserve">                                      РАЗПРЕДЕЛЕНИЕ</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hAnsi="Arial"/>
                <w:b/>
                <w:noProof/>
                <w:color w:val="000000"/>
                <w:sz w:val="12"/>
              </w:rPr>
              <w:t>8</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hAnsi="Arial"/>
                <w:b/>
                <w:noProof/>
                <w:color w:val="000000"/>
                <w:sz w:val="12"/>
              </w:rPr>
              <w:t>9</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hAnsi="Arial"/>
                <w:b/>
                <w:noProof/>
                <w:color w:val="000000"/>
                <w:sz w:val="12"/>
              </w:rPr>
              <w:t>10</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hAnsi="Arial"/>
                <w:b/>
                <w:noProof/>
                <w:color w:val="000000"/>
                <w:sz w:val="12"/>
              </w:rPr>
              <w:t>11</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center"/>
              <w:rPr>
                <w:rFonts w:ascii="Arial" w:eastAsia="Arial" w:hAnsi="Arial" w:cs="Arial"/>
                <w:b/>
                <w:noProof/>
                <w:color w:val="000000"/>
                <w:sz w:val="12"/>
              </w:rPr>
            </w:pPr>
            <w:r>
              <w:rPr>
                <w:rFonts w:ascii="Arial" w:hAnsi="Arial"/>
                <w:b/>
                <w:noProof/>
                <w:color w:val="000000"/>
                <w:sz w:val="12"/>
              </w:rPr>
              <w:t>ОБЩО</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hAnsi="Arial"/>
                <w:b/>
                <w:noProof/>
                <w:color w:val="000000"/>
                <w:sz w:val="12"/>
              </w:rPr>
              <w:t>Ломе</w:t>
            </w: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Разни приходи</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35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35</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Общо индикативни програми</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4 986</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4 986</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Общо непрограмирана помощ</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4 707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4 707</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Трансфери от други фондове</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671</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671</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hAnsi="Arial"/>
                <w:b/>
                <w:noProof/>
                <w:color w:val="000000"/>
                <w:sz w:val="12"/>
              </w:rPr>
              <w:t>МЕЖДИННА СУМА: РЕДОВНИ ВНОСКИ ОТ ДЪРЖАВИТЕ ЧЛЕНКИ</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9 728</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671</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10 399</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5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hAnsi="Arial"/>
                <w:b/>
                <w:noProof/>
                <w:color w:val="000000"/>
                <w:sz w:val="12"/>
              </w:rPr>
              <w:t>Котону</w:t>
            </w: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Пакет A — Национални средства</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417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8 845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13 113</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15 625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38 000</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Пакет Б — Национални средства</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233</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1 213</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2 015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732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4 193</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Преходен инструмент</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CDE, CTA и Парламентарна асамблея</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154</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154</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Резерв по държави</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Разходи за прилагане и приходи от лихви</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240</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535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1 077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1 853</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Средства в рамките на АКТБ</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2 942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3 218</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3 946</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10 106</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Резерв в рамките на АКТБ</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69</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69</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Резерв национални средства Пакет A STABEX</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Резерв НИП/РИП</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1 320</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1 320</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Резерв, който не може да бъде мобилизиран</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156</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318</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475</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Регионални средства</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804</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1 982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6 622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9 408</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Резерв регионални средства</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Специална вноска за ДР Конго</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105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105</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Спец. вноска за Южен Судан</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267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267</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Спец. вноска за Судан</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110</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110</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Доброволна вноска Инструмент за мир</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39</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39</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hAnsi="Arial"/>
                <w:b/>
                <w:noProof/>
                <w:color w:val="000000"/>
                <w:sz w:val="12"/>
              </w:rPr>
              <w:t>МЕЖДИННА СУМА: РЕДОВНИ ВНОСКИ ОТ ДЪРЖАВИТЕ ЧЛЕНКИ</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650</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14 719</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21 019</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29 709</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66 097</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5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Пакет A — Национални средства</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hAnsi="Arial"/>
                <w:b/>
                <w:noProof/>
                <w:color w:val="000000"/>
                <w:sz w:val="12"/>
              </w:rPr>
              <w:t>МЕЖДИННА СУМА: Вътрешни SLA на ЕК</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1</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1</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5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Пакет A — Национални средства</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187</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23</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210</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Разходи за прилагане и приходи от лихви</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5</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7</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Средства в рамките на АКТБ</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11</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23</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r>
              <w:rPr>
                <w:rFonts w:ascii="Arial" w:hAnsi="Arial"/>
                <w:noProof/>
                <w:color w:val="000000"/>
                <w:sz w:val="12"/>
              </w:rPr>
              <w:t>Регионални средства</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2</w:t>
            </w:r>
          </w:p>
        </w:tc>
        <w:tc>
          <w:tcPr>
            <w:tcW w:w="112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a"/>
              <w:jc w:val="right"/>
              <w:rPr>
                <w:rFonts w:ascii="Arial" w:eastAsia="Arial" w:hAnsi="Arial" w:cs="Arial"/>
                <w:noProof/>
                <w:color w:val="000000"/>
                <w:sz w:val="12"/>
              </w:rPr>
            </w:pPr>
            <w:r>
              <w:rPr>
                <w:rFonts w:ascii="Arial" w:hAnsi="Arial"/>
                <w:noProof/>
                <w:color w:val="000000"/>
                <w:sz w:val="12"/>
              </w:rPr>
              <w:t>2</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8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hAnsi="Arial"/>
                <w:b/>
                <w:noProof/>
                <w:color w:val="000000"/>
                <w:sz w:val="12"/>
              </w:rPr>
              <w:t>МЕЖДИННА СУМА: СЪФИНАНСИРАНЕ</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204</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38</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242</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150"/>
        </w:trPr>
        <w:tc>
          <w:tcPr>
            <w:tcW w:w="13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3060"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tr>
        <w:trPr>
          <w:trHeight w:hRule="exact" w:val="222"/>
        </w:trPr>
        <w:tc>
          <w:tcPr>
            <w:tcW w:w="13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rPr>
                <w:rFonts w:ascii="Arial" w:eastAsia="Arial" w:hAnsi="Arial" w:cs="Arial"/>
                <w:noProof/>
                <w:color w:val="000000"/>
                <w:sz w:val="18"/>
              </w:rPr>
            </w:pPr>
          </w:p>
        </w:tc>
        <w:tc>
          <w:tcPr>
            <w:tcW w:w="3060" w:type="dxa"/>
            <w:gridSpan w:val="3"/>
            <w:tcBorders>
              <w:top w:val="nil"/>
              <w:left w:val="nil"/>
              <w:bottom w:val="single" w:sz="4" w:space="0" w:color="000000"/>
              <w:right w:val="nil"/>
              <w:tl2br w:val="nil"/>
              <w:tr2bl w:val="nil"/>
            </w:tcBorders>
            <w:shd w:val="solid" w:color="FFFFFF" w:fill="FFFFFF"/>
            <w:tcMar>
              <w:left w:w="60" w:type="dxa"/>
              <w:right w:w="60" w:type="dxa"/>
            </w:tcMar>
            <w:vAlign w:val="center"/>
          </w:tcPr>
          <w:p>
            <w:pPr>
              <w:pStyle w:val="DMETW15549BIPTable21a"/>
              <w:rPr>
                <w:rFonts w:ascii="Arial" w:eastAsia="Arial" w:hAnsi="Arial" w:cs="Arial"/>
                <w:b/>
                <w:noProof/>
                <w:color w:val="000000"/>
                <w:sz w:val="12"/>
              </w:rPr>
            </w:pPr>
            <w:r>
              <w:rPr>
                <w:rFonts w:ascii="Arial" w:hAnsi="Arial"/>
                <w:b/>
                <w:noProof/>
                <w:color w:val="000000"/>
                <w:sz w:val="12"/>
              </w:rPr>
              <w:t>ОБЩО</w:t>
            </w:r>
          </w:p>
        </w:tc>
        <w:tc>
          <w:tcPr>
            <w:tcW w:w="112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10 379</w:t>
            </w:r>
          </w:p>
        </w:tc>
        <w:tc>
          <w:tcPr>
            <w:tcW w:w="112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15 390</w:t>
            </w:r>
          </w:p>
        </w:tc>
        <w:tc>
          <w:tcPr>
            <w:tcW w:w="112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21 223</w:t>
            </w:r>
          </w:p>
        </w:tc>
        <w:tc>
          <w:tcPr>
            <w:tcW w:w="112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29 747</w:t>
            </w:r>
          </w:p>
        </w:tc>
        <w:tc>
          <w:tcPr>
            <w:tcW w:w="112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a"/>
              <w:jc w:val="right"/>
              <w:rPr>
                <w:rFonts w:ascii="Arial" w:eastAsia="Arial" w:hAnsi="Arial" w:cs="Arial"/>
                <w:noProof/>
                <w:color w:val="000000"/>
                <w:sz w:val="12"/>
              </w:rPr>
            </w:pPr>
            <w:r>
              <w:rPr>
                <w:rFonts w:ascii="Arial" w:hAnsi="Arial"/>
                <w:noProof/>
                <w:color w:val="000000"/>
                <w:sz w:val="12"/>
              </w:rPr>
              <w:t>76 739</w:t>
            </w:r>
          </w:p>
        </w:tc>
        <w:tc>
          <w:tcPr>
            <w:tcW w:w="11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a"/>
              <w:rPr>
                <w:rFonts w:ascii="Arial" w:eastAsia="Arial" w:hAnsi="Arial" w:cs="Arial"/>
                <w:noProof/>
                <w:color w:val="000000"/>
                <w:sz w:val="12"/>
              </w:rPr>
            </w:pPr>
          </w:p>
        </w:tc>
      </w:tr>
      <w:bookmarkEnd w:id="224"/>
    </w:tbl>
    <w:p>
      <w:pPr>
        <w:rPr>
          <w:noProof/>
        </w:rPr>
        <w:sectPr>
          <w:headerReference w:type="even" r:id="rId433"/>
          <w:headerReference w:type="default" r:id="rId434"/>
          <w:footerReference w:type="even" r:id="rId435"/>
          <w:footerReference w:type="default" r:id="rId436"/>
          <w:headerReference w:type="first" r:id="rId437"/>
          <w:footerReference w:type="first" r:id="rId438"/>
          <w:pgSz w:w="12240" w:h="15840"/>
          <w:pgMar w:top="1134" w:right="1134" w:bottom="1134" w:left="1134" w:header="709" w:footer="709" w:gutter="0"/>
          <w:cols w:space="708"/>
          <w:docGrid w:linePitch="360"/>
        </w:sectPr>
      </w:pPr>
    </w:p>
    <w:tbl>
      <w:tblPr>
        <w:tblW w:w="15909"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40"/>
        <w:gridCol w:w="1095"/>
        <w:gridCol w:w="1095"/>
        <w:gridCol w:w="1125"/>
        <w:gridCol w:w="1125"/>
        <w:gridCol w:w="1125"/>
        <w:gridCol w:w="1125"/>
        <w:gridCol w:w="1125"/>
        <w:gridCol w:w="1125"/>
        <w:gridCol w:w="1125"/>
        <w:gridCol w:w="1125"/>
        <w:gridCol w:w="1125"/>
        <w:gridCol w:w="1125"/>
        <w:gridCol w:w="1125"/>
        <w:gridCol w:w="195"/>
      </w:tblGrid>
      <w:tr>
        <w:trPr>
          <w:trHeight w:hRule="exact" w:val="162"/>
        </w:trPr>
        <w:tc>
          <w:tcPr>
            <w:tcW w:w="709"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bookmarkStart w:id="226" w:name="DOC_TBL00067_1_1"/>
            <w:bookmarkStart w:id="227" w:name="_DMBM_15806"/>
            <w:bookmarkEnd w:id="226"/>
            <w:r>
              <w:rPr>
                <w:rFonts w:ascii="Arial" w:hAnsi="Arial"/>
                <w:b/>
                <w:noProof/>
                <w:color w:val="000000"/>
                <w:sz w:val="12"/>
              </w:rPr>
              <w:t>Решения</w:t>
            </w:r>
          </w:p>
        </w:tc>
        <w:tc>
          <w:tcPr>
            <w:tcW w:w="44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4"/>
              </w:rPr>
            </w:pPr>
          </w:p>
        </w:tc>
        <w:tc>
          <w:tcPr>
            <w:tcW w:w="2190"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Съвкупна сума</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Кумулативни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50"/>
        </w:trPr>
        <w:tc>
          <w:tcPr>
            <w:tcW w:w="709"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ЕФР</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Към 31.12.2018</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 от разпределението</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2008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2012</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2018</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8</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10 377</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100%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10 786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(42)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(45)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(60)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(64)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(98)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(63)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(4)</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9</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15 357</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100%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16 633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(54)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(116)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(297)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(72)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(381)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(170)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(104)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(38)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(33)</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10</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20 905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99%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4 766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3 501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2 349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3 118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3 524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4 131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(95)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(156)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(80)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(147)</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11</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23 359</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79%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1 160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5 372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6 688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5 807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4 332</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28"/>
        </w:trPr>
        <w:tc>
          <w:tcPr>
            <w:tcW w:w="709"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hAnsi="Arial"/>
                <w:b/>
                <w:noProof/>
                <w:color w:val="000000"/>
                <w:sz w:val="12"/>
              </w:rPr>
              <w:t>Общо</w:t>
            </w:r>
          </w:p>
        </w:tc>
        <w:tc>
          <w:tcPr>
            <w:tcW w:w="440"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noProof/>
                <w:color w:val="000000"/>
                <w:sz w:val="14"/>
              </w:rPr>
            </w:pP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69 998</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32 185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3 405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2 187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3 049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3 163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3 961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621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5 034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6 491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5 754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4 147</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62"/>
        </w:trPr>
        <w:tc>
          <w:tcPr>
            <w:tcW w:w="709"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hAnsi="Arial"/>
                <w:b/>
                <w:noProof/>
                <w:color w:val="000000"/>
                <w:sz w:val="12"/>
              </w:rPr>
              <w:t>Целеви средства</w:t>
            </w:r>
          </w:p>
        </w:tc>
        <w:tc>
          <w:tcPr>
            <w:tcW w:w="44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4"/>
              </w:rPr>
            </w:pPr>
          </w:p>
        </w:tc>
        <w:tc>
          <w:tcPr>
            <w:tcW w:w="2190"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Съвкупна сума</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Кумулативни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50"/>
        </w:trPr>
        <w:tc>
          <w:tcPr>
            <w:tcW w:w="709"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ЕФР</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Към 31.12.2018</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 от разпределението</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2008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2012</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2018</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8</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10 375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100%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10 541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(42)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(46)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(37)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9</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15 305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99%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14 209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997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476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(187)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(96)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(52)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(46)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(20)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16</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10</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20 361</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96%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130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3 184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2 820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2 514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3 460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3 457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2 687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783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541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550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236</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11</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18 140</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61%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731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3 293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3 745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5 684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4 687</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28"/>
        </w:trPr>
        <w:tc>
          <w:tcPr>
            <w:tcW w:w="709"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hAnsi="Arial"/>
                <w:b/>
                <w:noProof/>
                <w:color w:val="000000"/>
                <w:sz w:val="12"/>
              </w:rPr>
              <w:t>Общо</w:t>
            </w:r>
          </w:p>
        </w:tc>
        <w:tc>
          <w:tcPr>
            <w:tcW w:w="440"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noProof/>
                <w:color w:val="000000"/>
                <w:sz w:val="14"/>
              </w:rPr>
            </w:pP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64 182</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24 881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4 140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3 304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2 509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3 226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3 350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3 380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4 008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4 234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6 211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4 940</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62"/>
        </w:trPr>
        <w:tc>
          <w:tcPr>
            <w:tcW w:w="709"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hAnsi="Arial"/>
                <w:b/>
                <w:noProof/>
                <w:color w:val="000000"/>
                <w:sz w:val="12"/>
              </w:rPr>
              <w:t>Плащания</w:t>
            </w:r>
          </w:p>
        </w:tc>
        <w:tc>
          <w:tcPr>
            <w:tcW w:w="44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4"/>
              </w:rPr>
            </w:pPr>
          </w:p>
        </w:tc>
        <w:tc>
          <w:tcPr>
            <w:tcW w:w="2190"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Съвкупна сума</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Кумулативни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1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Годишни цифри</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50"/>
        </w:trPr>
        <w:tc>
          <w:tcPr>
            <w:tcW w:w="709"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ЕФР</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Към 31.12.2018</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 от разпределението</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2008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2012</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2015</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noProof/>
                <w:color w:val="000000"/>
                <w:sz w:val="12"/>
              </w:rPr>
            </w:pPr>
            <w:r>
              <w:rPr>
                <w:rFonts w:ascii="Arial" w:hAnsi="Arial"/>
                <w:noProof/>
                <w:color w:val="000000"/>
                <w:sz w:val="12"/>
              </w:rPr>
              <w:t>2018</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8</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10 375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100%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9 930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152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158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90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FF0000"/>
                <w:sz w:val="12"/>
              </w:rPr>
            </w:pPr>
            <w:r>
              <w:rPr>
                <w:rFonts w:ascii="Arial" w:hAnsi="Arial"/>
                <w:noProof/>
                <w:color w:val="FF0000"/>
                <w:sz w:val="12"/>
              </w:rPr>
              <w:t>–</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9</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15 187</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99%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10 011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1 806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1 304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906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539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231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145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43</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68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111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23</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10</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18 829</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89%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90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1 111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1 772</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1 879</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2 655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2 718</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2 760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2 024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1 466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1 277</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1 076</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80"/>
        </w:trPr>
        <w:tc>
          <w:tcPr>
            <w:tcW w:w="709"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8"/>
              </w:rPr>
            </w:pPr>
          </w:p>
        </w:tc>
        <w:tc>
          <w:tcPr>
            <w:tcW w:w="44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11</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9 175</w:t>
            </w:r>
          </w:p>
        </w:tc>
        <w:tc>
          <w:tcPr>
            <w:tcW w:w="10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center"/>
              <w:rPr>
                <w:rFonts w:ascii="Arial" w:eastAsia="Arial" w:hAnsi="Arial" w:cs="Arial"/>
                <w:noProof/>
                <w:color w:val="000000"/>
                <w:sz w:val="12"/>
              </w:rPr>
            </w:pPr>
            <w:r>
              <w:rPr>
                <w:rFonts w:ascii="Arial" w:hAnsi="Arial"/>
                <w:noProof/>
                <w:color w:val="000000"/>
                <w:sz w:val="12"/>
              </w:rPr>
              <w:t>31%</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595</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1 024</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1 816</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2 770</w:t>
            </w:r>
          </w:p>
        </w:tc>
        <w:tc>
          <w:tcPr>
            <w:tcW w:w="11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1b"/>
              <w:jc w:val="right"/>
              <w:rPr>
                <w:rFonts w:ascii="Arial" w:eastAsia="Arial" w:hAnsi="Arial" w:cs="Arial"/>
                <w:noProof/>
                <w:color w:val="000000"/>
                <w:sz w:val="12"/>
              </w:rPr>
            </w:pPr>
            <w:r>
              <w:rPr>
                <w:rFonts w:ascii="Arial" w:hAnsi="Arial"/>
                <w:noProof/>
                <w:color w:val="000000"/>
                <w:sz w:val="12"/>
              </w:rPr>
              <w:t>2 970</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329"/>
        </w:trPr>
        <w:tc>
          <w:tcPr>
            <w:tcW w:w="709"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r>
              <w:rPr>
                <w:rFonts w:ascii="Arial" w:hAnsi="Arial"/>
                <w:b/>
                <w:noProof/>
                <w:color w:val="000000"/>
                <w:sz w:val="12"/>
              </w:rPr>
              <w:t>Общо</w:t>
            </w:r>
          </w:p>
        </w:tc>
        <w:tc>
          <w:tcPr>
            <w:tcW w:w="440"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noProof/>
                <w:color w:val="000000"/>
                <w:sz w:val="14"/>
              </w:rPr>
            </w:pP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53 566</w:t>
            </w:r>
          </w:p>
        </w:tc>
        <w:tc>
          <w:tcPr>
            <w:tcW w:w="10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20 031</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3 069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3 233</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2 874</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3 209</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2 967</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3 516</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3 088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3 350</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4 158</w:t>
            </w:r>
          </w:p>
        </w:tc>
        <w:tc>
          <w:tcPr>
            <w:tcW w:w="11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b/>
                <w:noProof/>
                <w:color w:val="000000"/>
                <w:sz w:val="12"/>
              </w:rPr>
            </w:pPr>
            <w:r>
              <w:rPr>
                <w:rFonts w:ascii="Arial" w:hAnsi="Arial"/>
                <w:b/>
                <w:noProof/>
                <w:color w:val="000000"/>
                <w:sz w:val="12"/>
              </w:rPr>
              <w:t>4 069</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132"/>
        </w:trPr>
        <w:tc>
          <w:tcPr>
            <w:tcW w:w="709"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jc w:val="center"/>
              <w:rPr>
                <w:rFonts w:ascii="Arial" w:eastAsia="Arial" w:hAnsi="Arial" w:cs="Arial"/>
                <w:b/>
                <w:noProof/>
                <w:color w:val="000000"/>
                <w:sz w:val="12"/>
              </w:rPr>
            </w:pPr>
          </w:p>
        </w:tc>
        <w:tc>
          <w:tcPr>
            <w:tcW w:w="440"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jc w:val="right"/>
              <w:rPr>
                <w:rFonts w:ascii="Arial" w:eastAsia="Arial" w:hAnsi="Arial" w:cs="Arial"/>
                <w:noProof/>
                <w:color w:val="000000"/>
                <w:sz w:val="14"/>
              </w:rPr>
            </w:pPr>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12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b/>
                <w:noProof/>
                <w:color w:val="000000"/>
                <w:sz w:val="12"/>
              </w:rPr>
            </w:pP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r>
        <w:trPr>
          <w:trHeight w:hRule="exact" w:val="545"/>
        </w:trPr>
        <w:tc>
          <w:tcPr>
            <w:tcW w:w="15714" w:type="dxa"/>
            <w:gridSpan w:val="15"/>
            <w:tcBorders>
              <w:top w:val="nil"/>
              <w:left w:val="nil"/>
              <w:bottom w:val="nil"/>
              <w:right w:val="nil"/>
              <w:tl2br w:val="nil"/>
              <w:tr2bl w:val="nil"/>
            </w:tcBorders>
            <w:shd w:val="solid" w:color="FFFFFF" w:fill="FFFFFF"/>
            <w:tcMar>
              <w:left w:w="60" w:type="dxa"/>
              <w:right w:w="60" w:type="dxa"/>
            </w:tcMar>
            <w:vAlign w:val="center"/>
          </w:tcPr>
          <w:p>
            <w:pPr>
              <w:pStyle w:val="DMETW15549BIPTable21b"/>
              <w:rPr>
                <w:rFonts w:ascii="Arial" w:eastAsia="Arial" w:hAnsi="Arial" w:cs="Arial"/>
                <w:noProof/>
                <w:color w:val="000000"/>
                <w:sz w:val="12"/>
              </w:rPr>
            </w:pPr>
            <w:r>
              <w:rPr>
                <w:rFonts w:ascii="Arial" w:hAnsi="Arial"/>
                <w:noProof/>
                <w:color w:val="000000"/>
                <w:sz w:val="12"/>
              </w:rPr>
              <w:t>* Отрицателните суми представляват отменени задължения</w:t>
            </w:r>
          </w:p>
        </w:tc>
        <w:tc>
          <w:tcPr>
            <w:tcW w:w="19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1b"/>
              <w:rPr>
                <w:rFonts w:ascii="Arial" w:eastAsia="Arial" w:hAnsi="Arial" w:cs="Arial"/>
                <w:noProof/>
                <w:color w:val="000000"/>
                <w:sz w:val="12"/>
              </w:rPr>
            </w:pPr>
          </w:p>
        </w:tc>
      </w:tr>
    </w:tbl>
    <w:p>
      <w:pPr>
        <w:rPr>
          <w:noProof/>
        </w:rPr>
      </w:pPr>
    </w:p>
    <w:bookmarkEnd w:id="227"/>
    <w:p>
      <w:pPr>
        <w:rPr>
          <w:noProof/>
        </w:rPr>
        <w:sectPr>
          <w:headerReference w:type="even" r:id="rId439"/>
          <w:headerReference w:type="default" r:id="rId440"/>
          <w:footerReference w:type="even" r:id="rId441"/>
          <w:footerReference w:type="default" r:id="rId442"/>
          <w:headerReference w:type="first" r:id="rId443"/>
          <w:footerReference w:type="first" r:id="rId444"/>
          <w:pgSz w:w="16838" w:h="11906" w:orient="landscape" w:code="9"/>
          <w:pgMar w:top="1134" w:right="1134" w:bottom="1134" w:left="1134" w:header="708" w:footer="708" w:gutter="0"/>
          <w:cols w:space="708"/>
          <w:docGrid w:linePitch="360"/>
        </w:sectPr>
      </w:pPr>
    </w:p>
    <w:p>
      <w:pPr>
        <w:rPr>
          <w:noProof/>
        </w:rPr>
      </w:pPr>
      <w:bookmarkStart w:id="228" w:name="_DMBM_15555"/>
      <w:r>
        <w:rPr>
          <w:rFonts w:ascii="Arial" w:hAnsi="Arial"/>
          <w:noProof/>
          <w:sz w:val="14"/>
        </w:rPr>
        <w:t>Таблица 2.2</w:t>
      </w:r>
      <w:r>
        <w:rPr>
          <w:noProof/>
        </w:rPr>
        <w:tab/>
      </w:r>
    </w:p>
    <w:p>
      <w:pPr>
        <w:jc w:val="center"/>
        <w:rPr>
          <w:rFonts w:ascii="Arial" w:hAnsi="Arial" w:cs="Arial"/>
          <w:b/>
          <w:noProof/>
          <w:sz w:val="14"/>
          <w:szCs w:val="14"/>
        </w:rPr>
      </w:pPr>
      <w:r>
        <w:rPr>
          <w:rFonts w:ascii="Arial" w:hAnsi="Arial"/>
          <w:b/>
          <w:noProof/>
          <w:sz w:val="14"/>
        </w:rPr>
        <w:t>КОНСОЛИДИРАНИ ОТЧЕТИ НА ЕФР КЪМ 31 декември 2018 г.</w:t>
      </w:r>
    </w:p>
    <w:p>
      <w:pPr>
        <w:jc w:val="center"/>
        <w:rPr>
          <w:rFonts w:ascii="Arial" w:hAnsi="Arial" w:cs="Arial"/>
          <w:b/>
          <w:noProof/>
          <w:sz w:val="14"/>
          <w:szCs w:val="14"/>
        </w:rPr>
      </w:pPr>
      <w:r>
        <w:rPr>
          <w:rFonts w:ascii="Arial" w:hAnsi="Arial"/>
          <w:b/>
          <w:noProof/>
          <w:sz w:val="14"/>
        </w:rPr>
        <w:t>ВИД ПОМОЩ</w:t>
      </w:r>
    </w:p>
    <w:tbl>
      <w:tblPr>
        <w:tblW w:w="1075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930"/>
        <w:gridCol w:w="1095"/>
        <w:gridCol w:w="660"/>
        <w:gridCol w:w="765"/>
        <w:gridCol w:w="285"/>
        <w:gridCol w:w="165"/>
        <w:gridCol w:w="765"/>
        <w:gridCol w:w="60"/>
        <w:gridCol w:w="405"/>
        <w:gridCol w:w="645"/>
        <w:gridCol w:w="60"/>
        <w:gridCol w:w="525"/>
        <w:gridCol w:w="765"/>
        <w:gridCol w:w="525"/>
        <w:gridCol w:w="765"/>
        <w:gridCol w:w="525"/>
        <w:gridCol w:w="960"/>
      </w:tblGrid>
      <w:tr>
        <w:trPr>
          <w:trHeight w:hRule="exact" w:val="142"/>
        </w:trPr>
        <w:tc>
          <w:tcPr>
            <w:tcW w:w="1785"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bookmarkStart w:id="229" w:name="DOC_TBL00068_1_1"/>
            <w:bookmarkEnd w:id="229"/>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660" w:type="dxa"/>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105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990" w:type="dxa"/>
            <w:gridSpan w:val="3"/>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105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3165"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noProof/>
                <w:color w:val="000000"/>
                <w:sz w:val="12"/>
              </w:rPr>
            </w:pPr>
            <w:r>
              <w:rPr>
                <w:rFonts w:ascii="Arial" w:hAnsi="Arial"/>
                <w:noProof/>
                <w:color w:val="000000"/>
                <w:sz w:val="12"/>
              </w:rPr>
              <w:t>(милиони евро)</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245"/>
        </w:trPr>
        <w:tc>
          <w:tcPr>
            <w:tcW w:w="3540" w:type="dxa"/>
            <w:gridSpan w:val="4"/>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noProof/>
                <w:color w:val="000000"/>
                <w:sz w:val="14"/>
              </w:rPr>
            </w:pPr>
          </w:p>
        </w:tc>
        <w:tc>
          <w:tcPr>
            <w:tcW w:w="6255" w:type="dxa"/>
            <w:gridSpan w:val="1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4"/>
              </w:rPr>
            </w:pPr>
            <w:r>
              <w:rPr>
                <w:rFonts w:ascii="Arial" w:hAnsi="Arial"/>
                <w:b/>
                <w:noProof/>
                <w:color w:val="000000"/>
                <w:sz w:val="14"/>
              </w:rPr>
              <w:t>ЕФР</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80"/>
        </w:trPr>
        <w:tc>
          <w:tcPr>
            <w:tcW w:w="3540" w:type="dxa"/>
            <w:gridSpan w:val="4"/>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24"/>
              </w:rPr>
            </w:pP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8</w:t>
            </w: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9</w:t>
            </w:r>
          </w:p>
        </w:tc>
        <w:tc>
          <w:tcPr>
            <w:tcW w:w="465"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w:t>
            </w:r>
          </w:p>
        </w:tc>
        <w:tc>
          <w:tcPr>
            <w:tcW w:w="705"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10</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11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ОБЩО</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80"/>
        </w:trPr>
        <w:tc>
          <w:tcPr>
            <w:tcW w:w="3540" w:type="dxa"/>
            <w:gridSpan w:val="4"/>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24"/>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(1)</w:t>
            </w:r>
          </w:p>
        </w:tc>
        <w:tc>
          <w:tcPr>
            <w:tcW w:w="705"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center"/>
              <w:rPr>
                <w:rFonts w:ascii="Arial" w:eastAsia="Arial" w:hAnsi="Arial" w:cs="Arial"/>
                <w:b/>
                <w:noProof/>
                <w:color w:val="000000"/>
                <w:sz w:val="12"/>
              </w:rPr>
            </w:pPr>
            <w:r>
              <w:rPr>
                <w:rFonts w:ascii="Arial" w:hAnsi="Arial"/>
                <w:b/>
                <w:noProof/>
                <w:color w:val="000000"/>
                <w:sz w:val="12"/>
              </w:rPr>
              <w:t>(1)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r>
              <w:rPr>
                <w:rFonts w:ascii="Arial" w:hAnsi="Arial"/>
                <w:b/>
                <w:noProof/>
                <w:color w:val="000000"/>
                <w:sz w:val="12"/>
              </w:rPr>
              <w:t>Ломе</w:t>
            </w: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Разни приходи</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35</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35</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35</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35</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Общо индикативни програми</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4 986</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4 986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4 986</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4 986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4 986</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4 986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4 985</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4 985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Общо непрограмирана помощ</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4 707</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4 707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4 706</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4 706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4 706</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4 706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4 706</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4 706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Трансфери от други фондове</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671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671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671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671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671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671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670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670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r>
              <w:rPr>
                <w:rFonts w:ascii="Arial" w:hAnsi="Arial"/>
                <w:b/>
                <w:noProof/>
                <w:color w:val="000000"/>
                <w:sz w:val="12"/>
              </w:rPr>
              <w:t>Редовни вноски на държавите членки</w:t>
            </w: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5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r>
              <w:rPr>
                <w:rFonts w:ascii="Arial" w:hAnsi="Arial"/>
                <w:b/>
                <w:noProof/>
                <w:color w:val="000000"/>
                <w:sz w:val="12"/>
              </w:rPr>
              <w:t>Котону</w:t>
            </w: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Пакет A — Национални средства</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417</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8 845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13 113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15 625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38 000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417</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8 837</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13 009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12 822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82%</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35 085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417</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8 825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12 663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97%</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9 387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31 292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417</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8 799</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99%</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11 712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4 549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25 478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67%</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Пакет Б — Национални средства</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233</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1 213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2 015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732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4 193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233</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1 213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2 010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97%</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4 162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99%</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231</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1 209</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1 990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704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96%</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4 134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99%</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231</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1 203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99%</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1 952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97%</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83%</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3 992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95%</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Преходен инструмент</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CDE, CTA и Парламентарна асамблея</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154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154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154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154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154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154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154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154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Разходи за прилагане и приходи от лихви</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w:t>
            </w: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535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1 077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1 853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510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95%</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715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66%</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1 464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79%</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508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95%</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658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1 405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76%</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507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95%</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613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57 %</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1 359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73%</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Средства в рамките на АКТБ</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2 942</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3 218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3 946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10 106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2 940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3 212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3 249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82%</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9 401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93%</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2 931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3 151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98%</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2 391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8 473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84%</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2 922</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99%</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2 916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1 843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47%</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7 681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76%</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Регионални средства</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804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1 982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6 622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9 408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801</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1 965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5 840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88%</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8 605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789</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98%</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1 855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94%</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4 977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75%</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7 622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773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96%</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1 587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1 561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24%</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3 921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Специална вноска за ДР Конго</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Спец. вноска за Южен Судан</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267</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267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266</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266</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253</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95%</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253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95%</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200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75%</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200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75%</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Спец. вноска за Судан</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110</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110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107</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97%</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97%</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105</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95%</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95%</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97</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88%</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88%</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Доброволна вноска Инструмент за мир</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39</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62%</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62%</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24</w:t>
            </w: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62%</w:t>
            </w: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r>
              <w:rPr>
                <w:rFonts w:ascii="Arial" w:hAnsi="Arial"/>
                <w:b/>
                <w:noProof/>
                <w:color w:val="000000"/>
                <w:sz w:val="12"/>
              </w:rPr>
              <w:t>Редовни вноски на държавите членки</w:t>
            </w: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210"/>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Пакет A — Национални средства</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187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210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183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98%</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203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97%</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179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95%</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199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95%</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143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76%</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5%</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144</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69%</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Разходи за прилагане и приходи от лихви</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62%</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46%</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40%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29%</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Средства в рамките на АКТБ</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92%</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16%</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56%</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91%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16%</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55%</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89%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52%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Регионални средства</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100%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r>
              <w:rPr>
                <w:rFonts w:ascii="Arial" w:hAnsi="Arial"/>
                <w:b/>
                <w:noProof/>
                <w:color w:val="000000"/>
                <w:sz w:val="12"/>
              </w:rPr>
              <w:t>Съфинансиране</w:t>
            </w: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5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r>
              <w:rPr>
                <w:rFonts w:ascii="Arial" w:hAnsi="Arial"/>
                <w:b/>
                <w:noProof/>
                <w:color w:val="000000"/>
                <w:sz w:val="12"/>
              </w:rPr>
              <w:t>Пакет A — Национални средства</w:t>
            </w: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71%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50"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46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05"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52%</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1"/>
              <w:jc w:val="right"/>
              <w:rPr>
                <w:rFonts w:ascii="Arial" w:eastAsia="Arial" w:hAnsi="Arial" w:cs="Arial"/>
                <w:noProof/>
                <w:color w:val="000000"/>
                <w:sz w:val="12"/>
              </w:rPr>
            </w:pPr>
            <w:r>
              <w:rPr>
                <w:rFonts w:ascii="Arial" w:hAnsi="Arial"/>
                <w:noProof/>
                <w:color w:val="000000"/>
                <w:sz w:val="12"/>
              </w:rPr>
              <w:t>52%</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14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r>
              <w:rPr>
                <w:rFonts w:ascii="Arial" w:hAnsi="Arial"/>
                <w:b/>
                <w:noProof/>
                <w:color w:val="000000"/>
                <w:sz w:val="12"/>
              </w:rPr>
              <w:t>Вътрешни SLA на ЕК</w:t>
            </w: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50"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46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1"/>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r>
        <w:trPr>
          <w:trHeight w:hRule="exact" w:val="57"/>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2685"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46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05"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1"/>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1"/>
              <w:rPr>
                <w:rFonts w:ascii="Arial" w:eastAsia="Arial" w:hAnsi="Arial" w:cs="Arial"/>
                <w:noProof/>
                <w:color w:val="000000"/>
                <w:sz w:val="12"/>
              </w:rPr>
            </w:pPr>
          </w:p>
        </w:tc>
      </w:tr>
    </w:tbl>
    <w:p>
      <w:pPr>
        <w:rPr>
          <w:rFonts w:ascii="Arial" w:hAnsi="Arial" w:cs="Arial"/>
          <w:b/>
          <w:noProof/>
          <w:sz w:val="14"/>
          <w:szCs w:val="14"/>
        </w:rPr>
        <w:sectPr>
          <w:headerReference w:type="even" r:id="rId445"/>
          <w:headerReference w:type="default" r:id="rId446"/>
          <w:footerReference w:type="even" r:id="rId447"/>
          <w:footerReference w:type="default" r:id="rId448"/>
          <w:headerReference w:type="first" r:id="rId449"/>
          <w:footerReference w:type="first" r:id="rId450"/>
          <w:pgSz w:w="11906" w:h="16838" w:code="9"/>
          <w:pgMar w:top="1134" w:right="1134" w:bottom="1134" w:left="1134" w:header="709" w:footer="709" w:gutter="0"/>
          <w:cols w:space="708"/>
          <w:docGrid w:linePitch="360"/>
        </w:sectPr>
      </w:pPr>
    </w:p>
    <w:p>
      <w:pPr>
        <w:jc w:val="center"/>
        <w:rPr>
          <w:rFonts w:ascii="Arial" w:hAnsi="Arial" w:cs="Arial"/>
          <w:b/>
          <w:noProof/>
          <w:sz w:val="14"/>
          <w:szCs w:val="14"/>
        </w:rPr>
      </w:pPr>
    </w:p>
    <w:tbl>
      <w:tblPr>
        <w:tblW w:w="1075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2685"/>
        <w:gridCol w:w="765"/>
        <w:gridCol w:w="450"/>
        <w:gridCol w:w="765"/>
        <w:gridCol w:w="465"/>
        <w:gridCol w:w="705"/>
        <w:gridCol w:w="525"/>
        <w:gridCol w:w="765"/>
        <w:gridCol w:w="525"/>
        <w:gridCol w:w="765"/>
        <w:gridCol w:w="525"/>
        <w:gridCol w:w="960"/>
      </w:tblGrid>
      <w:tr>
        <w:trPr>
          <w:trHeight w:hRule="exact" w:val="180"/>
        </w:trPr>
        <w:tc>
          <w:tcPr>
            <w:tcW w:w="3540" w:type="dxa"/>
            <w:gridSpan w:val="2"/>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bookmarkStart w:id="230" w:name="DOC_TBL00069_1_1"/>
            <w:bookmarkEnd w:id="230"/>
            <w:r>
              <w:rPr>
                <w:rFonts w:ascii="Arial" w:hAnsi="Arial"/>
                <w:b/>
                <w:noProof/>
                <w:color w:val="000000"/>
                <w:sz w:val="12"/>
              </w:rPr>
              <w:t>Бюджетни кредити</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8</w:t>
            </w:r>
          </w:p>
        </w:tc>
        <w:tc>
          <w:tcPr>
            <w:tcW w:w="4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9</w:t>
            </w:r>
          </w:p>
        </w:tc>
        <w:tc>
          <w:tcPr>
            <w:tcW w:w="4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w:t>
            </w:r>
          </w:p>
        </w:tc>
        <w:tc>
          <w:tcPr>
            <w:tcW w:w="70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10</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11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ОБЩО</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80"/>
        </w:trPr>
        <w:tc>
          <w:tcPr>
            <w:tcW w:w="3540" w:type="dxa"/>
            <w:gridSpan w:val="2"/>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4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4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(1)</w:t>
            </w:r>
          </w:p>
        </w:tc>
        <w:tc>
          <w:tcPr>
            <w:tcW w:w="70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center"/>
              <w:rPr>
                <w:rFonts w:ascii="Arial" w:eastAsia="Arial" w:hAnsi="Arial" w:cs="Arial"/>
                <w:b/>
                <w:noProof/>
                <w:color w:val="000000"/>
                <w:sz w:val="12"/>
              </w:rPr>
            </w:pPr>
            <w:r>
              <w:rPr>
                <w:rFonts w:ascii="Arial" w:hAnsi="Arial"/>
                <w:b/>
                <w:noProof/>
                <w:color w:val="000000"/>
                <w:sz w:val="12"/>
              </w:rPr>
              <w:t>(1)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r>
              <w:rPr>
                <w:rFonts w:ascii="Arial" w:hAnsi="Arial"/>
                <w:b/>
                <w:noProof/>
                <w:color w:val="000000"/>
                <w:sz w:val="12"/>
              </w:rPr>
              <w:t>Котону</w:t>
            </w: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hAnsi="Arial"/>
                <w:noProof/>
                <w:color w:val="000000"/>
                <w:sz w:val="12"/>
              </w:rPr>
              <w:t>Резерв по държави</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5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hAnsi="Arial"/>
                <w:noProof/>
                <w:color w:val="000000"/>
                <w:sz w:val="12"/>
              </w:rPr>
              <w:t>Резерв в рамките на АКТБ</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5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69</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69</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hAnsi="Arial"/>
                <w:noProof/>
                <w:color w:val="000000"/>
                <w:sz w:val="12"/>
              </w:rPr>
              <w:t>Резерв национални средства Пакет A STABEX</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5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hAnsi="Arial"/>
                <w:noProof/>
                <w:color w:val="000000"/>
                <w:sz w:val="12"/>
              </w:rPr>
              <w:t>Резерв НИП/РИП</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5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1 320</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1 320</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hAnsi="Arial"/>
                <w:noProof/>
                <w:color w:val="000000"/>
                <w:sz w:val="12"/>
              </w:rPr>
              <w:t>Резерв регионални средства</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5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r>
              <w:rPr>
                <w:rFonts w:ascii="Arial" w:hAnsi="Arial"/>
                <w:b/>
                <w:noProof/>
                <w:color w:val="000000"/>
                <w:sz w:val="12"/>
              </w:rPr>
              <w:t>Резерви, които могат да бъдат мобилизирани</w:t>
            </w:r>
          </w:p>
        </w:tc>
        <w:tc>
          <w:tcPr>
            <w:tcW w:w="765"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450"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4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4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4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0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r>
              <w:rPr>
                <w:rFonts w:ascii="Arial" w:hAnsi="Arial"/>
                <w:noProof/>
                <w:color w:val="000000"/>
                <w:sz w:val="12"/>
              </w:rPr>
              <w:t>Резерв, който не може да бъде мобилизиран</w:t>
            </w: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5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4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156</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318</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jc w:val="right"/>
              <w:rPr>
                <w:rFonts w:ascii="Arial" w:eastAsia="Arial" w:hAnsi="Arial" w:cs="Arial"/>
                <w:b/>
                <w:noProof/>
                <w:color w:val="000000"/>
                <w:sz w:val="12"/>
              </w:rPr>
            </w:pPr>
            <w:r>
              <w:rPr>
                <w:rFonts w:ascii="Arial" w:hAnsi="Arial"/>
                <w:b/>
                <w:noProof/>
                <w:color w:val="000000"/>
                <w:sz w:val="12"/>
              </w:rPr>
              <w:t>475</w:t>
            </w:r>
          </w:p>
        </w:tc>
        <w:tc>
          <w:tcPr>
            <w:tcW w:w="525"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r>
              <w:rPr>
                <w:rFonts w:ascii="Arial" w:hAnsi="Arial"/>
                <w:b/>
                <w:noProof/>
                <w:color w:val="000000"/>
                <w:sz w:val="12"/>
              </w:rPr>
              <w:t>Резерв, който не може да бъде мобилизиран</w:t>
            </w:r>
          </w:p>
        </w:tc>
        <w:tc>
          <w:tcPr>
            <w:tcW w:w="765"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450"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4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0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525"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5549BIPTable222"/>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r>
        <w:trPr>
          <w:trHeight w:hRule="exact" w:val="192"/>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2685" w:type="dxa"/>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4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4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70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rPr>
                <w:rFonts w:ascii="Arial" w:eastAsia="Arial" w:hAnsi="Arial" w:cs="Arial"/>
                <w:b/>
                <w:noProof/>
                <w:color w:val="000000"/>
                <w:sz w:val="12"/>
              </w:rPr>
            </w:pPr>
          </w:p>
        </w:tc>
        <w:tc>
          <w:tcPr>
            <w:tcW w:w="7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2"/>
              <w:jc w:val="right"/>
              <w:rPr>
                <w:rFonts w:ascii="Arial" w:eastAsia="Arial" w:hAnsi="Arial" w:cs="Arial"/>
                <w:b/>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2"/>
              <w:rPr>
                <w:rFonts w:ascii="Arial" w:eastAsia="Arial" w:hAnsi="Arial" w:cs="Arial"/>
                <w:noProof/>
                <w:color w:val="000000"/>
                <w:sz w:val="12"/>
              </w:rPr>
            </w:pPr>
          </w:p>
        </w:tc>
      </w:tr>
    </w:tbl>
    <w:p>
      <w:pPr>
        <w:jc w:val="center"/>
        <w:rPr>
          <w:rFonts w:ascii="Arial" w:hAnsi="Arial" w:cs="Arial"/>
          <w:b/>
          <w:noProof/>
          <w:sz w:val="14"/>
          <w:szCs w:val="14"/>
        </w:rPr>
      </w:pPr>
    </w:p>
    <w:tbl>
      <w:tblPr>
        <w:tblW w:w="1075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2685"/>
        <w:gridCol w:w="765"/>
        <w:gridCol w:w="450"/>
        <w:gridCol w:w="765"/>
        <w:gridCol w:w="465"/>
        <w:gridCol w:w="705"/>
        <w:gridCol w:w="525"/>
        <w:gridCol w:w="765"/>
        <w:gridCol w:w="525"/>
        <w:gridCol w:w="765"/>
        <w:gridCol w:w="525"/>
        <w:gridCol w:w="960"/>
      </w:tblGrid>
      <w:tr>
        <w:trPr>
          <w:trHeight w:hRule="exact" w:val="180"/>
        </w:trPr>
        <w:tc>
          <w:tcPr>
            <w:tcW w:w="3540" w:type="dxa"/>
            <w:gridSpan w:val="2"/>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000000"/>
                <w:sz w:val="24"/>
              </w:rPr>
            </w:pPr>
            <w:bookmarkStart w:id="231" w:name="DOC_TBL00070_1_1"/>
            <w:bookmarkEnd w:id="231"/>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8</w:t>
            </w:r>
          </w:p>
        </w:tc>
        <w:tc>
          <w:tcPr>
            <w:tcW w:w="4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9</w:t>
            </w:r>
          </w:p>
        </w:tc>
        <w:tc>
          <w:tcPr>
            <w:tcW w:w="4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w:t>
            </w:r>
          </w:p>
        </w:tc>
        <w:tc>
          <w:tcPr>
            <w:tcW w:w="70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10</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11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w:t>
            </w:r>
          </w:p>
        </w:tc>
        <w:tc>
          <w:tcPr>
            <w:tcW w:w="765"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ОБЩО</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180"/>
        </w:trPr>
        <w:tc>
          <w:tcPr>
            <w:tcW w:w="3540" w:type="dxa"/>
            <w:gridSpan w:val="2"/>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000000"/>
                <w:sz w:val="24"/>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45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4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(1)</w:t>
            </w:r>
          </w:p>
        </w:tc>
        <w:tc>
          <w:tcPr>
            <w:tcW w:w="70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(1)</w:t>
            </w:r>
          </w:p>
        </w:tc>
        <w:tc>
          <w:tcPr>
            <w:tcW w:w="52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23"/>
              <w:jc w:val="center"/>
              <w:rPr>
                <w:rFonts w:ascii="Arial" w:eastAsia="Arial" w:hAnsi="Arial" w:cs="Arial"/>
                <w:b/>
                <w:noProof/>
                <w:color w:val="000000"/>
                <w:sz w:val="12"/>
              </w:rPr>
            </w:pPr>
            <w:r>
              <w:rPr>
                <w:rFonts w:ascii="Arial" w:hAnsi="Arial"/>
                <w:b/>
                <w:noProof/>
                <w:color w:val="000000"/>
                <w:sz w:val="12"/>
              </w:rPr>
              <w:t>(1)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192"/>
        </w:trPr>
        <w:tc>
          <w:tcPr>
            <w:tcW w:w="855"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hAnsi="Arial"/>
                <w:noProof/>
                <w:color w:val="000000"/>
                <w:sz w:val="12"/>
              </w:rPr>
              <w:t>Бюджетни кредити</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10 379</w:t>
            </w:r>
          </w:p>
        </w:tc>
        <w:tc>
          <w:tcPr>
            <w:tcW w:w="45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15 390</w:t>
            </w:r>
          </w:p>
        </w:tc>
        <w:tc>
          <w:tcPr>
            <w:tcW w:w="4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0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21 223</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29 747</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76 739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180"/>
        </w:trPr>
        <w:tc>
          <w:tcPr>
            <w:tcW w:w="855"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hAnsi="Arial"/>
                <w:noProof/>
                <w:color w:val="000000"/>
                <w:sz w:val="12"/>
              </w:rPr>
              <w:t>Решения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10 377</w:t>
            </w:r>
          </w:p>
        </w:tc>
        <w:tc>
          <w:tcPr>
            <w:tcW w:w="45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15 357</w:t>
            </w:r>
          </w:p>
        </w:tc>
        <w:tc>
          <w:tcPr>
            <w:tcW w:w="4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100%</w:t>
            </w:r>
          </w:p>
        </w:tc>
        <w:tc>
          <w:tcPr>
            <w:tcW w:w="70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20 905</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99%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23 359</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79%</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69 998</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91%</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192"/>
        </w:trPr>
        <w:tc>
          <w:tcPr>
            <w:tcW w:w="855"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hAnsi="Arial"/>
                <w:noProof/>
                <w:color w:val="000000"/>
                <w:sz w:val="12"/>
              </w:rPr>
              <w:t>Целеви средства</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10 375</w:t>
            </w:r>
          </w:p>
        </w:tc>
        <w:tc>
          <w:tcPr>
            <w:tcW w:w="45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15 305</w:t>
            </w:r>
          </w:p>
        </w:tc>
        <w:tc>
          <w:tcPr>
            <w:tcW w:w="4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99%</w:t>
            </w:r>
          </w:p>
        </w:tc>
        <w:tc>
          <w:tcPr>
            <w:tcW w:w="70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20 361</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96%</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18 140</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61%</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64 182</w:t>
            </w: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84%</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162"/>
        </w:trPr>
        <w:tc>
          <w:tcPr>
            <w:tcW w:w="85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hAnsi="Arial"/>
                <w:noProof/>
                <w:color w:val="000000"/>
                <w:sz w:val="12"/>
              </w:rPr>
              <w:t>Плащания</w:t>
            </w: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10 375</w:t>
            </w:r>
          </w:p>
        </w:tc>
        <w:tc>
          <w:tcPr>
            <w:tcW w:w="45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100%</w:t>
            </w: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15 187</w:t>
            </w:r>
          </w:p>
        </w:tc>
        <w:tc>
          <w:tcPr>
            <w:tcW w:w="4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99%</w:t>
            </w:r>
          </w:p>
        </w:tc>
        <w:tc>
          <w:tcPr>
            <w:tcW w:w="70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18 829</w:t>
            </w: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89%</w:t>
            </w: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9 175</w:t>
            </w: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31%</w:t>
            </w: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53 566</w:t>
            </w: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jc w:val="right"/>
              <w:rPr>
                <w:rFonts w:ascii="Arial" w:eastAsia="Arial" w:hAnsi="Arial" w:cs="Arial"/>
                <w:noProof/>
                <w:color w:val="000000"/>
                <w:sz w:val="12"/>
              </w:rPr>
            </w:pPr>
            <w:r>
              <w:rPr>
                <w:rFonts w:ascii="Arial" w:hAnsi="Arial"/>
                <w:noProof/>
                <w:color w:val="000000"/>
                <w:sz w:val="12"/>
              </w:rPr>
              <w:t>70%</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222"/>
        </w:trPr>
        <w:tc>
          <w:tcPr>
            <w:tcW w:w="85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000000"/>
                <w:sz w:val="12"/>
              </w:rPr>
            </w:pPr>
            <w:r>
              <w:rPr>
                <w:rFonts w:ascii="Arial" w:hAnsi="Arial"/>
                <w:b/>
                <w:noProof/>
                <w:color w:val="000000"/>
                <w:sz w:val="12"/>
              </w:rPr>
              <w:t>ОБЩО: ВСИЧКИ РАЗПРЕДЕЛЕНИЯ</w:t>
            </w: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5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0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20"/>
        </w:trPr>
        <w:tc>
          <w:tcPr>
            <w:tcW w:w="85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5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0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162"/>
        </w:trPr>
        <w:tc>
          <w:tcPr>
            <w:tcW w:w="85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b/>
                <w:noProof/>
                <w:color w:val="FFFFFF"/>
                <w:sz w:val="18"/>
              </w:rPr>
            </w:pPr>
          </w:p>
        </w:tc>
        <w:tc>
          <w:tcPr>
            <w:tcW w:w="268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5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46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0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76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525"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tr>
        <w:trPr>
          <w:trHeight w:hRule="exact" w:val="162"/>
        </w:trPr>
        <w:tc>
          <w:tcPr>
            <w:tcW w:w="9795" w:type="dxa"/>
            <w:gridSpan w:val="12"/>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r>
              <w:rPr>
                <w:rFonts w:ascii="Arial" w:hAnsi="Arial"/>
                <w:noProof/>
                <w:color w:val="000000"/>
                <w:sz w:val="12"/>
              </w:rPr>
              <w:t>(1) % от бюджетните кредити</w:t>
            </w:r>
          </w:p>
        </w:tc>
        <w:tc>
          <w:tcPr>
            <w:tcW w:w="960" w:type="dxa"/>
            <w:tcBorders>
              <w:top w:val="nil"/>
              <w:left w:val="nil"/>
              <w:bottom w:val="nil"/>
              <w:right w:val="nil"/>
              <w:tl2br w:val="nil"/>
              <w:tr2bl w:val="nil"/>
            </w:tcBorders>
            <w:shd w:val="solid" w:color="FFFFFF" w:fill="FFFFFF"/>
            <w:tcMar>
              <w:left w:w="60" w:type="dxa"/>
              <w:right w:w="60" w:type="dxa"/>
            </w:tcMar>
            <w:vAlign w:val="bottom"/>
          </w:tcPr>
          <w:p>
            <w:pPr>
              <w:pStyle w:val="DMETW15549BIPTable223"/>
              <w:rPr>
                <w:rFonts w:ascii="Arial" w:eastAsia="Arial" w:hAnsi="Arial" w:cs="Arial"/>
                <w:noProof/>
                <w:color w:val="000000"/>
                <w:sz w:val="12"/>
              </w:rPr>
            </w:pPr>
          </w:p>
        </w:tc>
      </w:tr>
      <w:bookmarkEnd w:id="228"/>
    </w:tbl>
    <w:p>
      <w:pPr>
        <w:rPr>
          <w:rFonts w:ascii="Arial" w:hAnsi="Arial" w:cs="Arial"/>
          <w:b/>
          <w:noProof/>
          <w:sz w:val="14"/>
          <w:szCs w:val="14"/>
        </w:rPr>
        <w:sectPr>
          <w:headerReference w:type="even" r:id="rId451"/>
          <w:headerReference w:type="default" r:id="rId452"/>
          <w:footerReference w:type="even" r:id="rId453"/>
          <w:footerReference w:type="default" r:id="rId454"/>
          <w:headerReference w:type="first" r:id="rId455"/>
          <w:footerReference w:type="first" r:id="rId456"/>
          <w:type w:val="continuous"/>
          <w:pgSz w:w="11906" w:h="16838" w:code="9"/>
          <w:pgMar w:top="1134" w:right="1134" w:bottom="1134" w:left="1134" w:header="708" w:footer="708" w:gutter="0"/>
          <w:cols w:space="708"/>
          <w:docGrid w:linePitch="360"/>
        </w:sectPr>
      </w:pPr>
    </w:p>
    <w:p>
      <w:pPr>
        <w:rPr>
          <w:rFonts w:ascii="Arial" w:hAnsi="Arial" w:cs="Arial"/>
          <w:noProof/>
          <w:sz w:val="14"/>
          <w:szCs w:val="14"/>
        </w:rPr>
      </w:pPr>
      <w:bookmarkStart w:id="232" w:name="_DMBM_15556"/>
      <w:r>
        <w:rPr>
          <w:rFonts w:ascii="Arial" w:hAnsi="Arial"/>
          <w:noProof/>
          <w:sz w:val="14"/>
        </w:rPr>
        <w:t>Таблица 2.3</w:t>
      </w:r>
      <w:r>
        <w:rPr>
          <w:noProof/>
        </w:rPr>
        <w:tab/>
      </w:r>
    </w:p>
    <w:p>
      <w:pPr>
        <w:jc w:val="center"/>
        <w:rPr>
          <w:rFonts w:ascii="Arial" w:hAnsi="Arial" w:cs="Arial"/>
          <w:b/>
          <w:noProof/>
          <w:sz w:val="14"/>
          <w:szCs w:val="14"/>
        </w:rPr>
      </w:pPr>
      <w:r>
        <w:rPr>
          <w:rFonts w:ascii="Arial" w:hAnsi="Arial"/>
          <w:b/>
          <w:noProof/>
          <w:sz w:val="14"/>
        </w:rPr>
        <w:t>КОНСОЛИДИРАНИ ОТЧЕТИ НА ЕФР КЪМ 31 декември 2018 г.</w:t>
      </w:r>
    </w:p>
    <w:p>
      <w:pPr>
        <w:jc w:val="center"/>
        <w:rPr>
          <w:rFonts w:ascii="Arial" w:hAnsi="Arial" w:cs="Arial"/>
          <w:b/>
          <w:noProof/>
          <w:sz w:val="14"/>
          <w:szCs w:val="14"/>
        </w:rPr>
      </w:pPr>
      <w:r>
        <w:rPr>
          <w:rFonts w:ascii="Arial" w:hAnsi="Arial"/>
          <w:b/>
          <w:noProof/>
          <w:sz w:val="14"/>
        </w:rPr>
        <w:t>ВИД ПОМОЩ</w:t>
      </w:r>
    </w:p>
    <w:p>
      <w:pPr>
        <w:jc w:val="center"/>
        <w:rPr>
          <w:rFonts w:ascii="Arial" w:hAnsi="Arial" w:cs="Arial"/>
          <w:b/>
          <w:noProof/>
          <w:sz w:val="14"/>
          <w:szCs w:val="14"/>
        </w:rPr>
      </w:pPr>
      <w:r>
        <w:rPr>
          <w:rFonts w:ascii="Arial" w:hAnsi="Arial"/>
          <w:b/>
          <w:noProof/>
          <w:sz w:val="14"/>
        </w:rPr>
        <w:t>АКТБ + ОСТ - 8-и ЕФР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497"/>
        <w:gridCol w:w="2497"/>
        <w:gridCol w:w="896"/>
        <w:gridCol w:w="952"/>
        <w:gridCol w:w="867"/>
        <w:gridCol w:w="714"/>
        <w:gridCol w:w="952"/>
        <w:gridCol w:w="867"/>
        <w:gridCol w:w="714"/>
        <w:gridCol w:w="952"/>
        <w:gridCol w:w="867"/>
        <w:gridCol w:w="714"/>
        <w:gridCol w:w="455"/>
      </w:tblGrid>
      <w:tr>
        <w:trPr>
          <w:trHeight w:hRule="exact" w:val="180"/>
        </w:trPr>
        <w:tc>
          <w:tcPr>
            <w:tcW w:w="25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bookmarkStart w:id="233" w:name="DOC_TBL00071_1_1"/>
            <w:bookmarkEnd w:id="233"/>
          </w:p>
        </w:tc>
        <w:tc>
          <w:tcPr>
            <w:tcW w:w="850"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850"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0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2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29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24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2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29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24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2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538"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right"/>
              <w:rPr>
                <w:rFonts w:ascii="Arial" w:eastAsia="Arial" w:hAnsi="Arial" w:cs="Arial"/>
                <w:noProof/>
                <w:color w:val="000000"/>
                <w:sz w:val="12"/>
              </w:rPr>
            </w:pPr>
            <w:r>
              <w:rPr>
                <w:rFonts w:ascii="Arial" w:hAnsi="Arial"/>
                <w:noProof/>
                <w:color w:val="000000"/>
                <w:sz w:val="12"/>
              </w:rPr>
              <w:t>(милиони евро)</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p>
        </w:tc>
      </w:tr>
      <w:tr>
        <w:trPr>
          <w:trHeight w:hRule="exact" w:val="180"/>
        </w:trPr>
        <w:tc>
          <w:tcPr>
            <w:tcW w:w="1954" w:type="pct"/>
            <w:gridSpan w:val="3"/>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05" w:type="pct"/>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КРЕДИТИ</w:t>
            </w:r>
          </w:p>
        </w:tc>
        <w:tc>
          <w:tcPr>
            <w:tcW w:w="86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РЕШЕНИЯ</w:t>
            </w:r>
          </w:p>
        </w:tc>
        <w:tc>
          <w:tcPr>
            <w:tcW w:w="86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ЦЕЛЕВИ СРЕДСТВА</w:t>
            </w:r>
          </w:p>
        </w:tc>
        <w:tc>
          <w:tcPr>
            <w:tcW w:w="86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ПЛАЩАНИЯ</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p>
        </w:tc>
      </w:tr>
      <w:tr>
        <w:trPr>
          <w:trHeight w:hRule="exact" w:val="180"/>
        </w:trPr>
        <w:tc>
          <w:tcPr>
            <w:tcW w:w="1954" w:type="pct"/>
            <w:gridSpan w:val="3"/>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05" w:type="pct"/>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СЪВКУПНИ</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ГОДИШНИ</w:t>
            </w: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СЪВКУПНИ</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ГОДИШНИ</w:t>
            </w: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СЪВКУПНИ</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ГОДИШНИ</w:t>
            </w: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p>
        </w:tc>
      </w:tr>
      <w:tr>
        <w:trPr>
          <w:trHeight w:hRule="exact" w:val="180"/>
        </w:trPr>
        <w:tc>
          <w:tcPr>
            <w:tcW w:w="1954" w:type="pct"/>
            <w:gridSpan w:val="3"/>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4"/>
              </w:rPr>
            </w:pPr>
          </w:p>
        </w:tc>
        <w:tc>
          <w:tcPr>
            <w:tcW w:w="30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(1)</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(2)</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(2) : (1)</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(3)</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(3) : (2)</w:t>
            </w:r>
          </w:p>
        </w:tc>
        <w:tc>
          <w:tcPr>
            <w:tcW w:w="32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(4)</w:t>
            </w:r>
          </w:p>
        </w:tc>
        <w:tc>
          <w:tcPr>
            <w:tcW w:w="295"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p>
        </w:tc>
        <w:tc>
          <w:tcPr>
            <w:tcW w:w="243"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4"/>
              </w:rPr>
            </w:pPr>
            <w:r>
              <w:rPr>
                <w:rFonts w:ascii="Arial" w:hAnsi="Arial"/>
                <w:b/>
                <w:noProof/>
                <w:color w:val="000000"/>
                <w:sz w:val="14"/>
              </w:rPr>
              <w:t>(4) : (3)</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3"/>
              <w:rPr>
                <w:rFonts w:ascii="Arial" w:eastAsia="Arial" w:hAnsi="Arial" w:cs="Arial"/>
                <w:b/>
                <w:noProof/>
                <w:color w:val="FFFFFF"/>
                <w:sz w:val="14"/>
              </w:rPr>
            </w:pPr>
            <w:r>
              <w:rPr>
                <w:rFonts w:ascii="Arial" w:hAnsi="Arial"/>
                <w:b/>
                <w:noProof/>
                <w:color w:val="FFFFFF"/>
                <w:sz w:val="14"/>
              </w:rPr>
              <w:t xml:space="preserve">АКТБ </w:t>
            </w:r>
          </w:p>
        </w:tc>
        <w:tc>
          <w:tcPr>
            <w:tcW w:w="30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rPr>
            </w:pPr>
          </w:p>
        </w:tc>
      </w:tr>
      <w:tr>
        <w:trPr>
          <w:trHeight w:val="170"/>
        </w:trPr>
        <w:tc>
          <w:tcPr>
            <w:tcW w:w="25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nil"/>
              <w:left w:val="nil"/>
              <w:bottom w:val="nil"/>
              <w:right w:val="nil"/>
              <w:tl2br w:val="nil"/>
              <w:tr2bl w:val="nil"/>
            </w:tcBorders>
            <w:shd w:val="solid" w:color="C0C0C0" w:fill="FFFFFF"/>
            <w:tcMar>
              <w:left w:w="60" w:type="dxa"/>
              <w:right w:w="60" w:type="dxa"/>
            </w:tcMar>
            <w:vAlign w:val="bottom"/>
          </w:tcPr>
          <w:p>
            <w:pPr>
              <w:pStyle w:val="DMETW15549BIPTable23"/>
              <w:rPr>
                <w:rFonts w:ascii="Arial" w:eastAsia="Arial" w:hAnsi="Arial" w:cs="Arial"/>
                <w:b/>
                <w:noProof/>
                <w:color w:val="000000"/>
                <w:sz w:val="12"/>
              </w:rPr>
            </w:pPr>
            <w:r>
              <w:rPr>
                <w:rFonts w:ascii="Arial" w:hAnsi="Arial"/>
                <w:b/>
                <w:noProof/>
                <w:color w:val="000000"/>
                <w:sz w:val="12"/>
              </w:rPr>
              <w:t>Редовни вноски на държавите членки</w:t>
            </w:r>
          </w:p>
        </w:tc>
        <w:tc>
          <w:tcPr>
            <w:tcW w:w="30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rPr>
            </w:pPr>
          </w:p>
        </w:tc>
      </w:tr>
      <w:tr>
        <w:trPr>
          <w:trHeight w:val="170"/>
        </w:trPr>
        <w:tc>
          <w:tcPr>
            <w:tcW w:w="254"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color w:val="000000"/>
                <w:sz w:val="12"/>
              </w:rPr>
              <w:t>Ломе</w:t>
            </w: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Използване на приходите от лихви</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35</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r>
              <w:rPr>
                <w:rFonts w:ascii="Arial" w:hAnsi="Arial"/>
                <w:noProof/>
                <w:color w:val="FFFFFF"/>
                <w:sz w:val="12"/>
              </w:rPr>
              <w:t xml:space="preserve">АКТБ </w:t>
            </w: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color w:val="000000"/>
                <w:sz w:val="12"/>
              </w:rPr>
              <w:t>МЕЖДИННА СУМА: РАЗНИ ПРИХОДИ</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35</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Общо индикативни програми</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4 951</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4 951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hAnsi="Arial"/>
                <w:noProof/>
                <w:color w:val="FF0000"/>
                <w:sz w:val="12"/>
              </w:rPr>
              <w:t>(1)</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4 950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hAnsi="Arial"/>
                <w:noProof/>
                <w:color w:val="FF0000"/>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4 950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hAnsi="Arial"/>
                <w:noProof/>
                <w:color w:val="FF0000"/>
                <w:sz w:val="12"/>
              </w:rPr>
              <w:t>–</w:t>
            </w: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color w:val="000000"/>
                <w:sz w:val="12"/>
              </w:rPr>
              <w:t>МЕЖДИННА СУМА: ОБЩО ИНДИКАТИВНИ ПРОГРАМИ</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4 951</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4 951</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hAnsi="Arial"/>
                <w:b/>
                <w:noProof/>
                <w:color w:val="FF0000"/>
                <w:sz w:val="12"/>
              </w:rPr>
              <w:t>(1)</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4 950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hAnsi="Arial"/>
                <w:b/>
                <w:noProof/>
                <w:color w:val="FF0000"/>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4 950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hAnsi="Arial"/>
                <w:b/>
                <w:noProof/>
                <w:color w:val="FF0000"/>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Помощ за бежанци</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Спешна помощ (Ломе)</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136</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136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136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136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Тежко задлъжнели бедни страни (Ломе)</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1 060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1 060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1 060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1 060</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Лихвени субсидии</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69</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69</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68</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68</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Рисков капитал</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1 012</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1 012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hAnsi="Arial"/>
                <w:noProof/>
                <w:color w:val="FF0000"/>
                <w:sz w:val="12"/>
              </w:rPr>
              <w:t>(3)</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1 012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1 012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Stabex</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723</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723</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hAnsi="Arial"/>
                <w:noProof/>
                <w:color w:val="FF0000"/>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722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722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Структурна корекция</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1 497</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1 497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hAnsi="Arial"/>
                <w:noProof/>
                <w:color w:val="FF0000"/>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1 497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1 497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Sysmin</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101</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color w:val="000000"/>
                <w:sz w:val="12"/>
              </w:rPr>
              <w:t>МЕЖДИННА СУМА: ОБЩО НЕПРОГРАМИРАНА ПОМОЩ</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4 697</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4 696</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hAnsi="Arial"/>
                <w:b/>
                <w:noProof/>
                <w:color w:val="FF0000"/>
                <w:sz w:val="12"/>
              </w:rPr>
              <w:t>(3)</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4 695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4 695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3"/>
              <w:rPr>
                <w:rFonts w:ascii="Arial" w:eastAsia="Arial" w:hAnsi="Arial" w:cs="Arial"/>
                <w:b/>
                <w:noProof/>
                <w:color w:val="FFFFFF"/>
                <w:sz w:val="14"/>
              </w:rPr>
            </w:pPr>
            <w:r>
              <w:rPr>
                <w:rFonts w:ascii="Arial" w:hAnsi="Arial"/>
                <w:b/>
                <w:noProof/>
                <w:color w:val="FFFFFF"/>
                <w:sz w:val="14"/>
              </w:rPr>
              <w:t xml:space="preserve">АКТБ </w:t>
            </w:r>
          </w:p>
        </w:tc>
        <w:tc>
          <w:tcPr>
            <w:tcW w:w="30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rPr>
            </w:pPr>
          </w:p>
        </w:tc>
      </w:tr>
      <w:tr>
        <w:trPr>
          <w:trHeight w:val="170"/>
        </w:trPr>
        <w:tc>
          <w:tcPr>
            <w:tcW w:w="25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nil"/>
              <w:left w:val="nil"/>
              <w:bottom w:val="nil"/>
              <w:right w:val="nil"/>
              <w:tl2br w:val="nil"/>
              <w:tr2bl w:val="nil"/>
            </w:tcBorders>
            <w:shd w:val="solid" w:color="C0C0C0" w:fill="FFFFFF"/>
            <w:tcMar>
              <w:left w:w="60" w:type="dxa"/>
              <w:right w:w="60" w:type="dxa"/>
            </w:tcMar>
            <w:vAlign w:val="bottom"/>
          </w:tcPr>
          <w:p>
            <w:pPr>
              <w:pStyle w:val="DMETW15549BIPTable23"/>
              <w:rPr>
                <w:rFonts w:ascii="Arial" w:eastAsia="Arial" w:hAnsi="Arial" w:cs="Arial"/>
                <w:b/>
                <w:noProof/>
                <w:color w:val="000000"/>
                <w:sz w:val="12"/>
              </w:rPr>
            </w:pPr>
            <w:r>
              <w:rPr>
                <w:rFonts w:ascii="Arial" w:hAnsi="Arial"/>
                <w:b/>
                <w:noProof/>
                <w:color w:val="000000"/>
                <w:sz w:val="12"/>
              </w:rPr>
              <w:t>Редовни вноски на държавите членки</w:t>
            </w:r>
          </w:p>
        </w:tc>
        <w:tc>
          <w:tcPr>
            <w:tcW w:w="30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rPr>
            </w:pPr>
          </w:p>
        </w:tc>
      </w:tr>
      <w:tr>
        <w:trPr>
          <w:trHeight w:val="170"/>
        </w:trPr>
        <w:tc>
          <w:tcPr>
            <w:tcW w:w="254"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color w:val="000000"/>
                <w:sz w:val="12"/>
              </w:rPr>
              <w:t>Котону</w:t>
            </w: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Пакет A — Национални средства</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417</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417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417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417</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color w:val="000000"/>
                <w:sz w:val="12"/>
              </w:rPr>
              <w:t>МЕЖДИННА СУМА: ПАКЕТ A — НАЦИОНАЛНИ СРЕДСТВА</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417</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417</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417</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417</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Пакет Б — Национални средства</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233</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Компенсация постъпления от износ</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233</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FFFF"/>
                <w:sz w:val="12"/>
              </w:rPr>
            </w:pPr>
            <w:r>
              <w:rPr>
                <w:rFonts w:ascii="Arial" w:hAnsi="Arial"/>
                <w:noProof/>
                <w:color w:val="FFFFFF"/>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231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0000"/>
                <w:sz w:val="12"/>
              </w:rPr>
            </w:pPr>
            <w:r>
              <w:rPr>
                <w:rFonts w:ascii="Arial" w:hAnsi="Arial"/>
                <w:noProof/>
                <w:color w:val="FF0000"/>
                <w:sz w:val="12"/>
              </w:rPr>
              <w:t>–</w:t>
            </w: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99%</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231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FFFFFF"/>
                <w:sz w:val="12"/>
              </w:rPr>
            </w:pPr>
            <w:r>
              <w:rPr>
                <w:rFonts w:ascii="Arial" w:hAnsi="Arial"/>
                <w:noProof/>
                <w:color w:val="FFFFFF"/>
                <w:sz w:val="12"/>
              </w:rPr>
              <w:t>–</w:t>
            </w: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color w:val="000000"/>
                <w:sz w:val="12"/>
              </w:rPr>
              <w:t>МЕЖДИННА СУМА: ПАКЕТ Б — НАЦИОНАЛНИ СРЕДСТВА</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233</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233</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noProof/>
                <w:color w:val="FFFFFF"/>
                <w:sz w:val="12"/>
              </w:rPr>
            </w:pPr>
            <w:r>
              <w:rPr>
                <w:rFonts w:ascii="Arial" w:hAnsi="Arial"/>
                <w:noProof/>
                <w:color w:val="FFFFFF"/>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231</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FF0000"/>
                <w:sz w:val="12"/>
              </w:rPr>
            </w:pPr>
            <w:r>
              <w:rPr>
                <w:rFonts w:ascii="Arial" w:hAnsi="Arial"/>
                <w:b/>
                <w:noProof/>
                <w:color w:val="FF0000"/>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99%</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231</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noProof/>
                <w:color w:val="FFFFFF"/>
                <w:sz w:val="12"/>
              </w:rPr>
            </w:pPr>
            <w:r>
              <w:rPr>
                <w:rFonts w:ascii="Arial" w:hAnsi="Arial"/>
                <w:noProof/>
                <w:color w:val="FFFFFF"/>
                <w:sz w:val="12"/>
              </w:rPr>
              <w:t>–</w:t>
            </w: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Лихви и други приходи</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color w:val="000000"/>
                <w:sz w:val="12"/>
              </w:rPr>
              <w:t>МЕЖДИННА СУМА: РАЗХОДИ ЗА ПРИЛАГАНЕ И ПРИХОДИ ОТ ЛИХВИ</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0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rPr>
                <w:rFonts w:ascii="Arial" w:eastAsia="Arial" w:hAnsi="Arial" w:cs="Arial"/>
                <w:b/>
                <w:noProof/>
                <w:color w:val="FFFFFF"/>
                <w:sz w:val="14"/>
              </w:rPr>
            </w:pPr>
            <w:r>
              <w:rPr>
                <w:rFonts w:ascii="Arial" w:hAnsi="Arial"/>
                <w:b/>
                <w:noProof/>
                <w:color w:val="FFFFFF"/>
                <w:sz w:val="14"/>
              </w:rPr>
              <w:t>ОБЩО АКТБ      (A)</w:t>
            </w:r>
          </w:p>
        </w:tc>
        <w:tc>
          <w:tcPr>
            <w:tcW w:w="30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10 333</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10 332</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hAnsi="Arial"/>
                <w:b/>
                <w:noProof/>
                <w:color w:val="FF0000"/>
                <w:sz w:val="14"/>
              </w:rPr>
              <w:t>(4)</w:t>
            </w: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10 330</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hAnsi="Arial"/>
                <w:b/>
                <w:noProof/>
                <w:color w:val="FF0000"/>
                <w:sz w:val="14"/>
              </w:rPr>
              <w:t>–</w:t>
            </w: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10 329</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hAnsi="Arial"/>
                <w:b/>
                <w:noProof/>
                <w:color w:val="FF0000"/>
                <w:sz w:val="14"/>
              </w:rPr>
              <w:t>–</w:t>
            </w: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3"/>
              <w:rPr>
                <w:rFonts w:ascii="Arial" w:eastAsia="Arial" w:hAnsi="Arial" w:cs="Arial"/>
                <w:b/>
                <w:noProof/>
                <w:color w:val="FFFFFF"/>
                <w:sz w:val="14"/>
              </w:rPr>
            </w:pPr>
            <w:r>
              <w:rPr>
                <w:rFonts w:ascii="Arial" w:hAnsi="Arial"/>
                <w:b/>
                <w:noProof/>
                <w:color w:val="FFFFFF"/>
                <w:sz w:val="14"/>
              </w:rPr>
              <w:t>ОСТ</w:t>
            </w:r>
          </w:p>
        </w:tc>
        <w:tc>
          <w:tcPr>
            <w:tcW w:w="30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rPr>
            </w:pPr>
          </w:p>
        </w:tc>
      </w:tr>
      <w:tr>
        <w:trPr>
          <w:trHeight w:val="170"/>
        </w:trPr>
        <w:tc>
          <w:tcPr>
            <w:tcW w:w="25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rPr>
                <w:rFonts w:ascii="Arial" w:eastAsia="Arial" w:hAnsi="Arial" w:cs="Arial"/>
                <w:b/>
                <w:noProof/>
                <w:color w:val="FFFFFF"/>
                <w:sz w:val="18"/>
              </w:rPr>
            </w:pPr>
          </w:p>
        </w:tc>
        <w:tc>
          <w:tcPr>
            <w:tcW w:w="1700" w:type="pct"/>
            <w:gridSpan w:val="2"/>
            <w:tcBorders>
              <w:top w:val="nil"/>
              <w:left w:val="nil"/>
              <w:bottom w:val="nil"/>
              <w:right w:val="nil"/>
              <w:tl2br w:val="nil"/>
              <w:tr2bl w:val="nil"/>
            </w:tcBorders>
            <w:shd w:val="solid" w:color="C0C0C0" w:fill="FFFFFF"/>
            <w:tcMar>
              <w:left w:w="60" w:type="dxa"/>
              <w:right w:w="60" w:type="dxa"/>
            </w:tcMar>
            <w:vAlign w:val="bottom"/>
          </w:tcPr>
          <w:p>
            <w:pPr>
              <w:pStyle w:val="DMETW15549BIPTable23"/>
              <w:rPr>
                <w:rFonts w:ascii="Arial" w:eastAsia="Arial" w:hAnsi="Arial" w:cs="Arial"/>
                <w:b/>
                <w:noProof/>
                <w:color w:val="000000"/>
                <w:sz w:val="12"/>
              </w:rPr>
            </w:pPr>
            <w:r>
              <w:rPr>
                <w:rFonts w:ascii="Arial" w:hAnsi="Arial"/>
                <w:b/>
                <w:noProof/>
                <w:color w:val="000000"/>
                <w:sz w:val="12"/>
              </w:rPr>
              <w:t>Редовни вноски на държавите членки</w:t>
            </w:r>
          </w:p>
        </w:tc>
        <w:tc>
          <w:tcPr>
            <w:tcW w:w="30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324"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95"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243"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3"/>
              <w:jc w:val="center"/>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jc w:val="center"/>
              <w:rPr>
                <w:rFonts w:ascii="Arial" w:eastAsia="Arial" w:hAnsi="Arial" w:cs="Arial"/>
                <w:b/>
                <w:noProof/>
                <w:color w:val="000000"/>
                <w:sz w:val="18"/>
              </w:rPr>
            </w:pPr>
          </w:p>
        </w:tc>
      </w:tr>
      <w:tr>
        <w:trPr>
          <w:trHeight w:val="170"/>
        </w:trPr>
        <w:tc>
          <w:tcPr>
            <w:tcW w:w="254"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color w:val="000000"/>
                <w:sz w:val="12"/>
              </w:rPr>
              <w:t>Ломе</w:t>
            </w: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Общо индикативни програми</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35</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35</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r>
              <w:rPr>
                <w:rFonts w:ascii="Arial" w:hAnsi="Arial"/>
                <w:noProof/>
                <w:color w:val="FFFFFF"/>
                <w:sz w:val="12"/>
              </w:rPr>
              <w:t>ОСТ</w:t>
            </w: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color w:val="000000"/>
                <w:sz w:val="12"/>
              </w:rPr>
              <w:t>МЕЖДИННА СУМА: ОБЩО ИНДИКАТИВНИ ПРОГРАМИ</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35</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35</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Лихвени субсидии</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Рисков капитал</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6</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6</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Stabex</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000000"/>
                <w:sz w:val="12"/>
              </w:rPr>
            </w:pPr>
            <w:r>
              <w:rPr>
                <w:rFonts w:ascii="Arial" w:hAnsi="Arial"/>
                <w:noProof/>
                <w:color w:val="000000"/>
                <w:sz w:val="12"/>
              </w:rPr>
              <w:t xml:space="preserve">      Sysmin</w:t>
            </w:r>
          </w:p>
        </w:tc>
        <w:tc>
          <w:tcPr>
            <w:tcW w:w="30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2</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32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2</w:t>
            </w:r>
          </w:p>
        </w:tc>
        <w:tc>
          <w:tcPr>
            <w:tcW w:w="295"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p>
        </w:tc>
        <w:tc>
          <w:tcPr>
            <w:tcW w:w="243"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3"/>
              <w:jc w:val="right"/>
              <w:rPr>
                <w:rFonts w:ascii="Arial" w:eastAsia="Arial" w:hAnsi="Arial" w:cs="Arial"/>
                <w:noProof/>
                <w:color w:val="000000"/>
                <w:sz w:val="12"/>
              </w:rPr>
            </w:pPr>
            <w:r>
              <w:rPr>
                <w:rFonts w:ascii="Arial" w:hAnsi="Arial"/>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bottom"/>
          </w:tcPr>
          <w:p>
            <w:pPr>
              <w:pStyle w:val="DMETW15549BIPTable23"/>
              <w:rPr>
                <w:rFonts w:ascii="Arial" w:eastAsia="Arial" w:hAnsi="Arial" w:cs="Arial"/>
                <w:noProof/>
                <w:color w:val="FFFFFF"/>
                <w:sz w:val="12"/>
              </w:rPr>
            </w:pPr>
          </w:p>
        </w:tc>
      </w:tr>
      <w:tr>
        <w:trPr>
          <w:trHeight w:val="170"/>
        </w:trPr>
        <w:tc>
          <w:tcPr>
            <w:tcW w:w="254"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r>
              <w:rPr>
                <w:rFonts w:ascii="Arial" w:hAnsi="Arial"/>
                <w:b/>
                <w:noProof/>
                <w:color w:val="000000"/>
                <w:sz w:val="12"/>
              </w:rPr>
              <w:t>МЕЖДИННА СУМА: ОБЩО НЕПРОГРАМИРАНА ПОМОЩ</w:t>
            </w:r>
          </w:p>
        </w:tc>
        <w:tc>
          <w:tcPr>
            <w:tcW w:w="30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32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w:t>
            </w:r>
          </w:p>
        </w:tc>
        <w:tc>
          <w:tcPr>
            <w:tcW w:w="295"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p>
        </w:tc>
        <w:tc>
          <w:tcPr>
            <w:tcW w:w="243"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3"/>
              <w:jc w:val="right"/>
              <w:rPr>
                <w:rFonts w:ascii="Arial" w:eastAsia="Arial" w:hAnsi="Arial" w:cs="Arial"/>
                <w:b/>
                <w:noProof/>
                <w:color w:val="000000"/>
                <w:sz w:val="12"/>
              </w:rPr>
            </w:pPr>
            <w:r>
              <w:rPr>
                <w:rFonts w:ascii="Arial" w:hAnsi="Arial"/>
                <w:b/>
                <w:noProof/>
                <w:color w:val="000000"/>
                <w:sz w:val="12"/>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0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324"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95"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243"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b/>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rPr>
                <w:rFonts w:ascii="Arial" w:eastAsia="Arial" w:hAnsi="Arial" w:cs="Arial"/>
                <w:b/>
                <w:noProof/>
                <w:color w:val="FFFFFF"/>
                <w:sz w:val="14"/>
              </w:rPr>
            </w:pPr>
            <w:r>
              <w:rPr>
                <w:rFonts w:ascii="Arial" w:hAnsi="Arial"/>
                <w:b/>
                <w:noProof/>
                <w:color w:val="FFFFFF"/>
                <w:sz w:val="14"/>
              </w:rPr>
              <w:t xml:space="preserve">ОБЩО ОСТ    </w:t>
            </w:r>
          </w:p>
        </w:tc>
        <w:tc>
          <w:tcPr>
            <w:tcW w:w="30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46</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46</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46</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w:t>
            </w:r>
          </w:p>
        </w:tc>
        <w:tc>
          <w:tcPr>
            <w:tcW w:w="324"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46</w:t>
            </w:r>
          </w:p>
        </w:tc>
        <w:tc>
          <w:tcPr>
            <w:tcW w:w="295"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p>
        </w:tc>
        <w:tc>
          <w:tcPr>
            <w:tcW w:w="243"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1700" w:type="pct"/>
            <w:gridSpan w:val="2"/>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305"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324"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95"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43"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324"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95"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43"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324"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95"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243"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r>
        <w:trPr>
          <w:trHeight w:val="170"/>
        </w:trPr>
        <w:tc>
          <w:tcPr>
            <w:tcW w:w="254" w:type="pct"/>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23"/>
              <w:rPr>
                <w:rFonts w:ascii="Arial" w:eastAsia="Arial" w:hAnsi="Arial" w:cs="Arial"/>
                <w:b/>
                <w:noProof/>
                <w:color w:val="FFFFFF"/>
                <w:sz w:val="14"/>
              </w:rPr>
            </w:pPr>
          </w:p>
        </w:tc>
        <w:tc>
          <w:tcPr>
            <w:tcW w:w="1700" w:type="pct"/>
            <w:gridSpan w:val="2"/>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rPr>
                <w:rFonts w:ascii="Arial" w:eastAsia="Arial" w:hAnsi="Arial" w:cs="Arial"/>
                <w:b/>
                <w:noProof/>
                <w:color w:val="FFFFFF"/>
                <w:sz w:val="14"/>
              </w:rPr>
            </w:pPr>
            <w:r>
              <w:rPr>
                <w:rFonts w:ascii="Arial" w:hAnsi="Arial"/>
                <w:b/>
                <w:noProof/>
                <w:color w:val="FFFFFF"/>
                <w:sz w:val="14"/>
              </w:rPr>
              <w:t>ОБЩО: АКТБ+OCT    (A+B)</w:t>
            </w:r>
          </w:p>
        </w:tc>
        <w:tc>
          <w:tcPr>
            <w:tcW w:w="30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10 379</w:t>
            </w:r>
          </w:p>
        </w:tc>
        <w:tc>
          <w:tcPr>
            <w:tcW w:w="32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10 377</w:t>
            </w:r>
          </w:p>
        </w:tc>
        <w:tc>
          <w:tcPr>
            <w:tcW w:w="29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hAnsi="Arial"/>
                <w:b/>
                <w:noProof/>
                <w:color w:val="FF0000"/>
                <w:sz w:val="14"/>
              </w:rPr>
              <w:t>(4)</w:t>
            </w:r>
          </w:p>
        </w:tc>
        <w:tc>
          <w:tcPr>
            <w:tcW w:w="243"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w:t>
            </w:r>
          </w:p>
        </w:tc>
        <w:tc>
          <w:tcPr>
            <w:tcW w:w="32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10 375</w:t>
            </w:r>
          </w:p>
        </w:tc>
        <w:tc>
          <w:tcPr>
            <w:tcW w:w="29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hAnsi="Arial"/>
                <w:b/>
                <w:noProof/>
                <w:color w:val="FF0000"/>
                <w:sz w:val="14"/>
              </w:rPr>
              <w:t>–</w:t>
            </w:r>
          </w:p>
        </w:tc>
        <w:tc>
          <w:tcPr>
            <w:tcW w:w="243"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w:t>
            </w:r>
          </w:p>
        </w:tc>
        <w:tc>
          <w:tcPr>
            <w:tcW w:w="32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10 375</w:t>
            </w:r>
          </w:p>
        </w:tc>
        <w:tc>
          <w:tcPr>
            <w:tcW w:w="29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0000"/>
                <w:sz w:val="14"/>
              </w:rPr>
            </w:pPr>
            <w:r>
              <w:rPr>
                <w:rFonts w:ascii="Arial" w:hAnsi="Arial"/>
                <w:b/>
                <w:noProof/>
                <w:color w:val="FF0000"/>
                <w:sz w:val="14"/>
              </w:rPr>
              <w:t>–</w:t>
            </w:r>
          </w:p>
        </w:tc>
        <w:tc>
          <w:tcPr>
            <w:tcW w:w="243"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3"/>
              <w:jc w:val="right"/>
              <w:rPr>
                <w:rFonts w:ascii="Arial" w:eastAsia="Arial" w:hAnsi="Arial" w:cs="Arial"/>
                <w:b/>
                <w:noProof/>
                <w:color w:val="FFFFFF"/>
                <w:sz w:val="14"/>
              </w:rPr>
            </w:pPr>
            <w:r>
              <w:rPr>
                <w:rFonts w:ascii="Arial" w:hAnsi="Arial"/>
                <w:b/>
                <w:noProof/>
                <w:color w:val="FFFFFF"/>
                <w:sz w:val="14"/>
              </w:rPr>
              <w:t>100%</w:t>
            </w:r>
          </w:p>
        </w:tc>
        <w:tc>
          <w:tcPr>
            <w:tcW w:w="1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3"/>
              <w:rPr>
                <w:rFonts w:ascii="Arial" w:eastAsia="Arial" w:hAnsi="Arial" w:cs="Arial"/>
                <w:noProof/>
                <w:color w:val="000000"/>
                <w:sz w:val="12"/>
              </w:rPr>
            </w:pPr>
          </w:p>
        </w:tc>
      </w:tr>
    </w:tbl>
    <w:p>
      <w:pPr>
        <w:jc w:val="center"/>
        <w:rPr>
          <w:rFonts w:ascii="Arial" w:hAnsi="Arial" w:cs="Arial"/>
          <w:b/>
          <w:noProof/>
          <w:sz w:val="14"/>
          <w:szCs w:val="14"/>
        </w:rPr>
      </w:pPr>
    </w:p>
    <w:p>
      <w:pPr>
        <w:rPr>
          <w:rFonts w:ascii="Arial" w:hAnsi="Arial" w:cs="Arial"/>
          <w:b/>
          <w:noProof/>
          <w:sz w:val="14"/>
          <w:szCs w:val="14"/>
        </w:rPr>
        <w:sectPr>
          <w:headerReference w:type="even" r:id="rId457"/>
          <w:headerReference w:type="default" r:id="rId458"/>
          <w:footerReference w:type="even" r:id="rId459"/>
          <w:footerReference w:type="default" r:id="rId460"/>
          <w:headerReference w:type="first" r:id="rId461"/>
          <w:footerReference w:type="first" r:id="rId462"/>
          <w:pgSz w:w="16838" w:h="11906" w:orient="landscape" w:code="9"/>
          <w:pgMar w:top="1134" w:right="1134" w:bottom="1134" w:left="1134" w:header="708" w:footer="708" w:gutter="0"/>
          <w:cols w:space="708"/>
          <w:docGrid w:linePitch="360"/>
        </w:sectPr>
      </w:pPr>
    </w:p>
    <w:p>
      <w:pPr>
        <w:rPr>
          <w:rFonts w:ascii="Arial" w:hAnsi="Arial" w:cs="Arial"/>
          <w:noProof/>
          <w:sz w:val="14"/>
          <w:szCs w:val="14"/>
        </w:rPr>
      </w:pPr>
      <w:r>
        <w:rPr>
          <w:rFonts w:ascii="Arial" w:hAnsi="Arial"/>
          <w:noProof/>
          <w:sz w:val="14"/>
        </w:rPr>
        <w:t>Таблица 2.4</w:t>
      </w:r>
    </w:p>
    <w:p>
      <w:pPr>
        <w:jc w:val="center"/>
        <w:rPr>
          <w:rFonts w:ascii="Arial" w:hAnsi="Arial" w:cs="Arial"/>
          <w:b/>
          <w:noProof/>
          <w:sz w:val="14"/>
          <w:szCs w:val="14"/>
        </w:rPr>
      </w:pPr>
      <w:r>
        <w:rPr>
          <w:rFonts w:ascii="Arial" w:hAnsi="Arial"/>
          <w:b/>
          <w:noProof/>
          <w:sz w:val="14"/>
        </w:rPr>
        <w:t>КОНСОЛИДИРАНИ ОТЧЕТИ НА ЕФР КЪМ 31 декември 2018 г.</w:t>
      </w:r>
    </w:p>
    <w:p>
      <w:pPr>
        <w:jc w:val="center"/>
        <w:rPr>
          <w:rFonts w:ascii="Arial" w:hAnsi="Arial" w:cs="Arial"/>
          <w:b/>
          <w:noProof/>
          <w:sz w:val="14"/>
          <w:szCs w:val="14"/>
        </w:rPr>
      </w:pPr>
      <w:r>
        <w:rPr>
          <w:rFonts w:ascii="Arial" w:hAnsi="Arial"/>
          <w:b/>
          <w:noProof/>
          <w:sz w:val="14"/>
        </w:rPr>
        <w:t>ВИД ПОМОЩ</w:t>
      </w:r>
    </w:p>
    <w:p>
      <w:pPr>
        <w:jc w:val="center"/>
        <w:rPr>
          <w:rFonts w:ascii="Arial" w:hAnsi="Arial" w:cs="Arial"/>
          <w:b/>
          <w:noProof/>
          <w:sz w:val="14"/>
          <w:szCs w:val="14"/>
        </w:rPr>
      </w:pPr>
      <w:r>
        <w:rPr>
          <w:rFonts w:ascii="Arial" w:hAnsi="Arial"/>
          <w:b/>
          <w:noProof/>
          <w:sz w:val="14"/>
        </w:rPr>
        <w:t>АКТБ + ОСТ - 9-и ЕФР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023"/>
        <w:gridCol w:w="1341"/>
        <w:gridCol w:w="2363"/>
        <w:gridCol w:w="779"/>
        <w:gridCol w:w="919"/>
        <w:gridCol w:w="852"/>
        <w:gridCol w:w="597"/>
        <w:gridCol w:w="919"/>
        <w:gridCol w:w="852"/>
        <w:gridCol w:w="688"/>
        <w:gridCol w:w="919"/>
        <w:gridCol w:w="852"/>
        <w:gridCol w:w="688"/>
        <w:gridCol w:w="422"/>
      </w:tblGrid>
      <w:tr>
        <w:trPr>
          <w:trHeight w:hRule="exact" w:val="144"/>
        </w:trPr>
        <w:tc>
          <w:tcPr>
            <w:tcW w:w="920"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bookmarkStart w:id="234" w:name="DOC_TBL00072_1_1"/>
            <w:bookmarkEnd w:id="234"/>
          </w:p>
        </w:tc>
        <w:tc>
          <w:tcPr>
            <w:tcW w:w="491"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83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537"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right"/>
              <w:rPr>
                <w:rFonts w:ascii="Arial" w:eastAsia="Arial" w:hAnsi="Arial" w:cs="Arial"/>
                <w:noProof/>
                <w:color w:val="000000"/>
                <w:sz w:val="12"/>
              </w:rPr>
            </w:pPr>
            <w:r>
              <w:rPr>
                <w:rFonts w:ascii="Arial" w:hAnsi="Arial"/>
                <w:noProof/>
                <w:color w:val="000000"/>
                <w:sz w:val="12"/>
              </w:rPr>
              <w:t>(милиони евро)</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p>
        </w:tc>
      </w:tr>
      <w:tr>
        <w:trPr>
          <w:trHeight w:hRule="exact" w:val="144"/>
        </w:trPr>
        <w:tc>
          <w:tcPr>
            <w:tcW w:w="2249" w:type="pct"/>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КРЕДИТИ</w:t>
            </w:r>
          </w:p>
        </w:tc>
        <w:tc>
          <w:tcPr>
            <w:tcW w:w="806"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РЕШЕНИЯ</w:t>
            </w:r>
          </w:p>
        </w:tc>
        <w:tc>
          <w:tcPr>
            <w:tcW w:w="806"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ЦЕЛЕВИ СРЕДСТВА</w:t>
            </w:r>
          </w:p>
        </w:tc>
        <w:tc>
          <w:tcPr>
            <w:tcW w:w="806"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ПЛАЩАНИЯ</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p>
        </w:tc>
      </w:tr>
      <w:tr>
        <w:trPr>
          <w:trHeight w:hRule="exact" w:val="144"/>
        </w:trPr>
        <w:tc>
          <w:tcPr>
            <w:tcW w:w="2249"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СЪВКУПНИ</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ГОДИШНИ</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СЪВКУПНИ</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ГОДИШНИ</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СЪВКУПНИ</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ГОДИШНИ</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p>
        </w:tc>
      </w:tr>
      <w:tr>
        <w:trPr>
          <w:trHeight w:hRule="exact" w:val="144"/>
        </w:trPr>
        <w:tc>
          <w:tcPr>
            <w:tcW w:w="2249"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(1)</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(2)</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(2) : (1)</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(3)</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(3) : (2)</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(4)</w:t>
            </w: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4"/>
              </w:rPr>
            </w:pPr>
            <w:r>
              <w:rPr>
                <w:rFonts w:ascii="Arial" w:hAnsi="Arial"/>
                <w:b/>
                <w:noProof/>
                <w:color w:val="000000"/>
                <w:sz w:val="14"/>
              </w:rPr>
              <w:t>(4) : (3)</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p>
        </w:tc>
      </w:tr>
      <w:tr>
        <w:trPr>
          <w:trHeight w:hRule="exact" w:val="31"/>
        </w:trPr>
        <w:tc>
          <w:tcPr>
            <w:tcW w:w="537"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4"/>
              <w:rPr>
                <w:rFonts w:ascii="Arial" w:eastAsia="Arial" w:hAnsi="Arial" w:cs="Arial"/>
                <w:b/>
                <w:noProof/>
                <w:color w:val="FFFFFF"/>
                <w:sz w:val="14"/>
              </w:rPr>
            </w:pPr>
            <w:r>
              <w:rPr>
                <w:rFonts w:ascii="Arial" w:hAnsi="Arial"/>
                <w:b/>
                <w:noProof/>
                <w:color w:val="FFFFFF"/>
                <w:sz w:val="14"/>
              </w:rPr>
              <w:t xml:space="preserve">АКТБ </w:t>
            </w: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C0C0C0" w:fill="FFFFFF"/>
            <w:tcMar>
              <w:left w:w="60" w:type="dxa"/>
              <w:right w:w="60" w:type="dxa"/>
            </w:tcMar>
            <w:vAlign w:val="bottom"/>
          </w:tcPr>
          <w:p>
            <w:pPr>
              <w:pStyle w:val="DMETW15549BIPTable24"/>
              <w:rPr>
                <w:rFonts w:ascii="Arial" w:eastAsia="Arial" w:hAnsi="Arial" w:cs="Arial"/>
                <w:b/>
                <w:noProof/>
                <w:color w:val="000000"/>
                <w:sz w:val="12"/>
              </w:rPr>
            </w:pPr>
            <w:r>
              <w:rPr>
                <w:rFonts w:ascii="Arial" w:hAnsi="Arial"/>
                <w:b/>
                <w:noProof/>
                <w:color w:val="000000"/>
                <w:sz w:val="12"/>
              </w:rPr>
              <w:t>Редовни вноски на държавите членки</w:t>
            </w: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Ломе</w:t>
            </w: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Трансфери от 6-и ЕФР - Ломе</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r>
              <w:rPr>
                <w:rFonts w:ascii="Arial" w:hAnsi="Arial"/>
                <w:noProof/>
                <w:color w:val="FFFFFF"/>
                <w:sz w:val="12"/>
              </w:rPr>
              <w:t xml:space="preserve">АКТБ </w:t>
            </w: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Трансфери от 7-и ЕФР — Ломе</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647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647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647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647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ТРАНСФЕРИ ОТ ДРУГИ ФОНДОВЕ</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668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668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668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667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31"/>
        </w:trPr>
        <w:tc>
          <w:tcPr>
            <w:tcW w:w="537"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4"/>
              <w:rPr>
                <w:rFonts w:ascii="Arial" w:eastAsia="Arial" w:hAnsi="Arial" w:cs="Arial"/>
                <w:b/>
                <w:noProof/>
                <w:color w:val="FFFFFF"/>
                <w:sz w:val="14"/>
              </w:rPr>
            </w:pPr>
            <w:r>
              <w:rPr>
                <w:rFonts w:ascii="Arial" w:hAnsi="Arial"/>
                <w:b/>
                <w:noProof/>
                <w:color w:val="FFFFFF"/>
                <w:sz w:val="14"/>
              </w:rPr>
              <w:t xml:space="preserve">АКТБ </w:t>
            </w: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C0C0C0" w:fill="FFFFFF"/>
            <w:tcMar>
              <w:left w:w="60" w:type="dxa"/>
              <w:right w:w="60" w:type="dxa"/>
            </w:tcMar>
            <w:vAlign w:val="bottom"/>
          </w:tcPr>
          <w:p>
            <w:pPr>
              <w:pStyle w:val="DMETW15549BIPTable24"/>
              <w:rPr>
                <w:rFonts w:ascii="Arial" w:eastAsia="Arial" w:hAnsi="Arial" w:cs="Arial"/>
                <w:b/>
                <w:noProof/>
                <w:color w:val="000000"/>
                <w:sz w:val="12"/>
              </w:rPr>
            </w:pPr>
            <w:r>
              <w:rPr>
                <w:rFonts w:ascii="Arial" w:hAnsi="Arial"/>
                <w:b/>
                <w:noProof/>
                <w:color w:val="000000"/>
                <w:sz w:val="12"/>
              </w:rPr>
              <w:t>Редовни вноски на държавите членки</w:t>
            </w: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Котону</w:t>
            </w: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Пакет A — Национални средства</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8 608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8 600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(15)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8 590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8 565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(1)</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ПАКЕТ A — НАЦИОНАЛНИ СРЕДСТВА</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8 608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8 600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(15)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8 590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8 565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Пакет Б — Национални средства</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1 208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Компенсация постъпления от износ</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148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148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148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Спешна помощ</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1 049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1 045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1 040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99%</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Тежко задлъжнели бедни страни</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ПАКЕТ Б — НАЦИОНАЛНИ СРЕДСТВА</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1 208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1 208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1 204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1 198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CDE, CTA и Парламентарна асамблея</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154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154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154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154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CDE, CTA И ПАРЛАМЕНТАРНА АСАМБЛЕЯ</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154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154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154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154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Разходи за прилагане</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Лихви и други приходи</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63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63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63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63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РАЗХОДИ ЗА ПРИЛАГАНЕ И ПРИХОДИ ОТ ЛИХВИ</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240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239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239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239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Други средства в рамките на АКТБ</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2 589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2 586</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2 577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2 568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Инструмент за мир</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353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353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353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353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СРЕДСТВА В РАМКИТЕ НА АКТБ</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2 942</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2 940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2 931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2 922</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Регионални средства</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759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756</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745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(2)</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99%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729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(1)</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98%</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РЕГИОНАЛНИ СРЕДСТВА</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759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756</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745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(2)</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99%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729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98%</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Специална вноска за ДР Конго</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СПЕЦИАЛНА ВНОСКА ЗА ДР КОНГО</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Спец. вноска за Южен Судан</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267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266</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253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35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95%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16</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79%</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СПЕЦИАЛНА ВНОСКА ЗА ЮЖЕН СУДАН</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267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266</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253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35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95%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16</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79%</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Спец. вноска за Судан</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110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97%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98%</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97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8</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93%</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СПЕЦИАЛНА ВНОСКА ЗА СУДАН</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110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97%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98%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97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8</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93%</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Доброволна вноска Инструмент за мир</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39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62%</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ДОБРОВОЛНА ВНОСКА ИНСТРУМЕНТ ЗА МИР</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39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62%</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31"/>
        </w:trPr>
        <w:tc>
          <w:tcPr>
            <w:tcW w:w="537"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1712" w:type="pct"/>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5549BIPTable24"/>
              <w:rPr>
                <w:rFonts w:ascii="Arial" w:eastAsia="Arial" w:hAnsi="Arial" w:cs="Arial"/>
                <w:noProof/>
                <w:color w:val="FFFFFF"/>
                <w:sz w:val="14"/>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rPr>
                <w:rFonts w:ascii="Arial" w:eastAsia="Arial" w:hAnsi="Arial" w:cs="Arial"/>
                <w:b/>
                <w:noProof/>
                <w:color w:val="FFFFFF"/>
                <w:sz w:val="14"/>
              </w:rPr>
            </w:pPr>
            <w:r>
              <w:rPr>
                <w:rFonts w:ascii="Arial" w:hAnsi="Arial"/>
                <w:b/>
                <w:noProof/>
                <w:color w:val="FFFFFF"/>
                <w:sz w:val="14"/>
              </w:rPr>
              <w:t>ОБЩО: АКТБ   (A)</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15 100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15 067</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0000"/>
                <w:sz w:val="14"/>
              </w:rPr>
            </w:pPr>
            <w:r>
              <w:rPr>
                <w:rFonts w:ascii="Arial" w:hAnsi="Arial"/>
                <w:b/>
                <w:noProof/>
                <w:color w:val="FF0000"/>
                <w:sz w:val="14"/>
              </w:rPr>
              <w:t>(33)</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100%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15 018</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17</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100%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14 900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23</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99%</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31"/>
        </w:trPr>
        <w:tc>
          <w:tcPr>
            <w:tcW w:w="537"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1712" w:type="pct"/>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31"/>
        </w:trPr>
        <w:tc>
          <w:tcPr>
            <w:tcW w:w="537"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4"/>
              <w:rPr>
                <w:rFonts w:ascii="Arial" w:eastAsia="Arial" w:hAnsi="Arial" w:cs="Arial"/>
                <w:b/>
                <w:noProof/>
                <w:color w:val="FFFFFF"/>
                <w:sz w:val="14"/>
              </w:rPr>
            </w:pPr>
            <w:r>
              <w:rPr>
                <w:rFonts w:ascii="Arial" w:hAnsi="Arial"/>
                <w:b/>
                <w:noProof/>
                <w:color w:val="FFFFFF"/>
                <w:sz w:val="14"/>
              </w:rPr>
              <w:t>ОСТ</w:t>
            </w: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C0C0C0" w:fill="FFFFFF"/>
            <w:tcMar>
              <w:left w:w="60" w:type="dxa"/>
              <w:right w:w="60" w:type="dxa"/>
            </w:tcMar>
            <w:vAlign w:val="bottom"/>
          </w:tcPr>
          <w:p>
            <w:pPr>
              <w:pStyle w:val="DMETW15549BIPTable24"/>
              <w:rPr>
                <w:rFonts w:ascii="Arial" w:eastAsia="Arial" w:hAnsi="Arial" w:cs="Arial"/>
                <w:b/>
                <w:noProof/>
                <w:color w:val="000000"/>
                <w:sz w:val="12"/>
              </w:rPr>
            </w:pPr>
            <w:r>
              <w:rPr>
                <w:rFonts w:ascii="Arial" w:hAnsi="Arial"/>
                <w:b/>
                <w:noProof/>
                <w:color w:val="000000"/>
                <w:sz w:val="12"/>
              </w:rPr>
              <w:t>Редовни вноски на държавите членки</w:t>
            </w: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Ломе</w:t>
            </w: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Трансфери от 6-и ЕФР - Ломе</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r>
              <w:rPr>
                <w:rFonts w:ascii="Arial" w:hAnsi="Arial"/>
                <w:noProof/>
                <w:color w:val="FFFFFF"/>
                <w:sz w:val="12"/>
              </w:rPr>
              <w:t>ОСТ</w:t>
            </w: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Трансфери от 7-и ЕФР — Ломе</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3</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ТРАНСФЕРИ ОТ ДРУГИ ФОНДОВЕ</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3</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31"/>
        </w:trPr>
        <w:tc>
          <w:tcPr>
            <w:tcW w:w="537"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5549BIPTable24"/>
              <w:rPr>
                <w:rFonts w:ascii="Arial" w:eastAsia="Arial" w:hAnsi="Arial" w:cs="Arial"/>
                <w:b/>
                <w:noProof/>
                <w:color w:val="FFFFFF"/>
                <w:sz w:val="14"/>
              </w:rPr>
            </w:pPr>
            <w:r>
              <w:rPr>
                <w:rFonts w:ascii="Arial" w:hAnsi="Arial"/>
                <w:b/>
                <w:noProof/>
                <w:color w:val="FFFFFF"/>
                <w:sz w:val="14"/>
              </w:rPr>
              <w:t>ОСТ</w:t>
            </w: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269"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4"/>
              <w:jc w:val="center"/>
              <w:rPr>
                <w:rFonts w:ascii="Arial" w:eastAsia="Arial" w:hAnsi="Arial" w:cs="Arial"/>
                <w:b/>
                <w:noProof/>
                <w:color w:val="000000"/>
                <w:sz w:val="14"/>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rPr>
                <w:rFonts w:ascii="Arial" w:eastAsia="Arial" w:hAnsi="Arial" w:cs="Arial"/>
                <w:b/>
                <w:noProof/>
                <w:color w:val="FFFFFF"/>
                <w:sz w:val="18"/>
              </w:rPr>
            </w:pPr>
          </w:p>
        </w:tc>
        <w:tc>
          <w:tcPr>
            <w:tcW w:w="1712" w:type="pct"/>
            <w:gridSpan w:val="3"/>
            <w:tcBorders>
              <w:top w:val="nil"/>
              <w:left w:val="nil"/>
              <w:bottom w:val="nil"/>
              <w:right w:val="nil"/>
              <w:tl2br w:val="nil"/>
              <w:tr2bl w:val="nil"/>
            </w:tcBorders>
            <w:shd w:val="solid" w:color="C0C0C0" w:fill="FFFFFF"/>
            <w:tcMar>
              <w:left w:w="60" w:type="dxa"/>
              <w:right w:w="60" w:type="dxa"/>
            </w:tcMar>
            <w:vAlign w:val="bottom"/>
          </w:tcPr>
          <w:p>
            <w:pPr>
              <w:pStyle w:val="DMETW15549BIPTable24"/>
              <w:rPr>
                <w:rFonts w:ascii="Arial" w:eastAsia="Arial" w:hAnsi="Arial" w:cs="Arial"/>
                <w:b/>
                <w:noProof/>
                <w:color w:val="000000"/>
                <w:sz w:val="12"/>
              </w:rPr>
            </w:pPr>
            <w:r>
              <w:rPr>
                <w:rFonts w:ascii="Arial" w:hAnsi="Arial"/>
                <w:b/>
                <w:noProof/>
                <w:color w:val="000000"/>
                <w:sz w:val="12"/>
              </w:rPr>
              <w:t>Редовни вноски на държавите членки</w:t>
            </w: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269" w:type="pct"/>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4"/>
              <w:jc w:val="center"/>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jc w:val="center"/>
              <w:rPr>
                <w:rFonts w:ascii="Arial" w:eastAsia="Arial" w:hAnsi="Arial" w:cs="Arial"/>
                <w:b/>
                <w:noProof/>
                <w:color w:val="000000"/>
                <w:sz w:val="18"/>
              </w:rPr>
            </w:pPr>
          </w:p>
        </w:tc>
      </w:tr>
      <w:tr>
        <w:trPr>
          <w:trHeight w:hRule="exact" w:val="144"/>
        </w:trPr>
        <w:tc>
          <w:tcPr>
            <w:tcW w:w="537" w:type="pct"/>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Котону</w:t>
            </w: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Пакет A — Национални средства</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237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237</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235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99%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235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ПАКЕТ A — НАЦИОНАЛНИ СРЕДСТВА</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237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237</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235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99%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235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Пакет Б — Национални средства</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Спешна помощ</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4</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ПАКЕТ Б — НАЦИОНАЛНИ СРЕДСТВА</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4</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Проучвания/Техническа помощ OCT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РАЗХОДИ ЗА ПРИЛАГАНЕ И ПРИХОДИ ОТ ЛИХВИ</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000000"/>
                <w:sz w:val="12"/>
              </w:rPr>
            </w:pPr>
            <w:r>
              <w:rPr>
                <w:rFonts w:ascii="Arial" w:hAnsi="Arial"/>
                <w:noProof/>
                <w:color w:val="000000"/>
                <w:sz w:val="12"/>
              </w:rPr>
              <w:t xml:space="preserve">      Регионални средства</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FF0000"/>
                <w:sz w:val="12"/>
              </w:rPr>
            </w:pPr>
            <w:r>
              <w:rPr>
                <w:rFonts w:ascii="Arial" w:hAnsi="Arial"/>
                <w:noProof/>
                <w:color w:val="FF0000"/>
                <w:sz w:val="12"/>
              </w:rPr>
              <w:t>–</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99%</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45</w:t>
            </w:r>
          </w:p>
        </w:tc>
        <w:tc>
          <w:tcPr>
            <w:tcW w:w="269"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w:t>
            </w:r>
          </w:p>
        </w:tc>
        <w:tc>
          <w:tcPr>
            <w:tcW w:w="269"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4"/>
              <w:jc w:val="right"/>
              <w:rPr>
                <w:rFonts w:ascii="Arial" w:eastAsia="Arial" w:hAnsi="Arial" w:cs="Arial"/>
                <w:noProof/>
                <w:color w:val="000000"/>
                <w:sz w:val="12"/>
              </w:rPr>
            </w:pPr>
            <w:r>
              <w:rPr>
                <w:rFonts w:ascii="Arial" w:hAnsi="Arial"/>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bottom"/>
          </w:tcPr>
          <w:p>
            <w:pPr>
              <w:pStyle w:val="DMETW15549BIPTable24"/>
              <w:rPr>
                <w:rFonts w:ascii="Arial" w:eastAsia="Arial" w:hAnsi="Arial" w:cs="Arial"/>
                <w:noProof/>
                <w:color w:val="FFFFFF"/>
                <w:sz w:val="12"/>
              </w:rPr>
            </w:pPr>
          </w:p>
        </w:tc>
      </w:tr>
      <w:tr>
        <w:trPr>
          <w:trHeight w:hRule="exact" w:val="144"/>
        </w:trPr>
        <w:tc>
          <w:tcPr>
            <w:tcW w:w="537" w:type="pct"/>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r>
              <w:rPr>
                <w:rFonts w:ascii="Arial" w:hAnsi="Arial"/>
                <w:b/>
                <w:noProof/>
                <w:color w:val="000000"/>
                <w:sz w:val="12"/>
              </w:rPr>
              <w:t>МЕЖДИННА СУМА: РЕГИОНАЛНИ СРЕДСТВА</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FF0000"/>
                <w:sz w:val="12"/>
              </w:rPr>
            </w:pPr>
            <w:r>
              <w:rPr>
                <w:rFonts w:ascii="Arial" w:hAnsi="Arial"/>
                <w:b/>
                <w:noProof/>
                <w:color w:val="FF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99%</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45</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w:t>
            </w:r>
          </w:p>
        </w:tc>
        <w:tc>
          <w:tcPr>
            <w:tcW w:w="269"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4"/>
              <w:jc w:val="right"/>
              <w:rPr>
                <w:rFonts w:ascii="Arial" w:eastAsia="Arial" w:hAnsi="Arial" w:cs="Arial"/>
                <w:b/>
                <w:noProof/>
                <w:color w:val="000000"/>
                <w:sz w:val="12"/>
              </w:rPr>
            </w:pPr>
            <w:r>
              <w:rPr>
                <w:rFonts w:ascii="Arial" w:hAnsi="Arial"/>
                <w:b/>
                <w:noProof/>
                <w:color w:val="000000"/>
                <w:sz w:val="12"/>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29"/>
        </w:trPr>
        <w:tc>
          <w:tcPr>
            <w:tcW w:w="537"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1712" w:type="pct"/>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269" w:type="pct"/>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b/>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5549BIPTable24"/>
              <w:rPr>
                <w:rFonts w:ascii="Arial" w:eastAsia="Arial" w:hAnsi="Arial" w:cs="Arial"/>
                <w:noProof/>
                <w:color w:val="FFFFFF"/>
                <w:sz w:val="14"/>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rPr>
                <w:rFonts w:ascii="Arial" w:eastAsia="Arial" w:hAnsi="Arial" w:cs="Arial"/>
                <w:b/>
                <w:noProof/>
                <w:color w:val="FFFFFF"/>
                <w:sz w:val="14"/>
              </w:rPr>
            </w:pPr>
            <w:r>
              <w:rPr>
                <w:rFonts w:ascii="Arial" w:hAnsi="Arial"/>
                <w:b/>
                <w:noProof/>
                <w:color w:val="FFFFFF"/>
                <w:sz w:val="14"/>
              </w:rPr>
              <w:t xml:space="preserve">ОБЩО: ОСТ    </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290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290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0000"/>
                <w:sz w:val="14"/>
              </w:rPr>
            </w:pPr>
            <w:r>
              <w:rPr>
                <w:rFonts w:ascii="Arial" w:hAnsi="Arial"/>
                <w:b/>
                <w:noProof/>
                <w:color w:val="FF0000"/>
                <w:sz w:val="14"/>
              </w:rPr>
              <w:t>–</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100%</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288</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0000"/>
                <w:sz w:val="14"/>
              </w:rPr>
            </w:pPr>
            <w:r>
              <w:rPr>
                <w:rFonts w:ascii="Arial" w:hAnsi="Arial"/>
                <w:b/>
                <w:noProof/>
                <w:color w:val="FF0000"/>
                <w:sz w:val="14"/>
              </w:rPr>
              <w:t>–</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99%</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288</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w:t>
            </w:r>
          </w:p>
        </w:tc>
        <w:tc>
          <w:tcPr>
            <w:tcW w:w="269" w:type="pct"/>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100%</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29"/>
        </w:trPr>
        <w:tc>
          <w:tcPr>
            <w:tcW w:w="537"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1712" w:type="pct"/>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269" w:type="pct"/>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r>
        <w:trPr>
          <w:trHeight w:hRule="exact" w:val="144"/>
        </w:trPr>
        <w:tc>
          <w:tcPr>
            <w:tcW w:w="537" w:type="pct"/>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5549BIPTable24"/>
              <w:rPr>
                <w:rFonts w:ascii="Arial" w:eastAsia="Arial" w:hAnsi="Arial" w:cs="Arial"/>
                <w:b/>
                <w:noProof/>
                <w:color w:val="FFFFFF"/>
                <w:sz w:val="14"/>
              </w:rPr>
            </w:pPr>
          </w:p>
        </w:tc>
        <w:tc>
          <w:tcPr>
            <w:tcW w:w="1712" w:type="pct"/>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rPr>
                <w:rFonts w:ascii="Arial" w:eastAsia="Arial" w:hAnsi="Arial" w:cs="Arial"/>
                <w:b/>
                <w:noProof/>
                <w:color w:val="FFFFFF"/>
                <w:sz w:val="14"/>
              </w:rPr>
            </w:pPr>
            <w:r>
              <w:rPr>
                <w:rFonts w:ascii="Arial" w:hAnsi="Arial"/>
                <w:b/>
                <w:noProof/>
                <w:color w:val="FFFFFF"/>
                <w:sz w:val="14"/>
              </w:rPr>
              <w:t>ОБЩО: АКТБ+OCT    (A+B)</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15 390</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15 357</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0000"/>
                <w:sz w:val="14"/>
              </w:rPr>
            </w:pPr>
            <w:r>
              <w:rPr>
                <w:rFonts w:ascii="Arial" w:hAnsi="Arial"/>
                <w:b/>
                <w:noProof/>
                <w:color w:val="FF0000"/>
                <w:sz w:val="14"/>
              </w:rPr>
              <w:t>(33)</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100%</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15 305</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16</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100%</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15 187</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23</w:t>
            </w:r>
          </w:p>
        </w:tc>
        <w:tc>
          <w:tcPr>
            <w:tcW w:w="269"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4"/>
              <w:jc w:val="right"/>
              <w:rPr>
                <w:rFonts w:ascii="Arial" w:eastAsia="Arial" w:hAnsi="Arial" w:cs="Arial"/>
                <w:b/>
                <w:noProof/>
                <w:color w:val="FFFFFF"/>
                <w:sz w:val="14"/>
              </w:rPr>
            </w:pPr>
            <w:r>
              <w:rPr>
                <w:rFonts w:ascii="Arial" w:hAnsi="Arial"/>
                <w:b/>
                <w:noProof/>
                <w:color w:val="FFFFFF"/>
                <w:sz w:val="14"/>
              </w:rPr>
              <w:t>99%</w:t>
            </w:r>
          </w:p>
        </w:tc>
        <w:tc>
          <w:tcPr>
            <w:tcW w:w="6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4"/>
              <w:rPr>
                <w:rFonts w:ascii="Arial" w:eastAsia="Arial" w:hAnsi="Arial" w:cs="Arial"/>
                <w:noProof/>
                <w:color w:val="000000"/>
                <w:sz w:val="12"/>
              </w:rPr>
            </w:pPr>
          </w:p>
        </w:tc>
      </w:tr>
    </w:tbl>
    <w:p>
      <w:pPr>
        <w:rPr>
          <w:rFonts w:ascii="Arial" w:hAnsi="Arial" w:cs="Arial"/>
          <w:b/>
          <w:noProof/>
          <w:sz w:val="14"/>
          <w:szCs w:val="14"/>
        </w:rPr>
        <w:sectPr>
          <w:headerReference w:type="even" r:id="rId463"/>
          <w:headerReference w:type="default" r:id="rId464"/>
          <w:footerReference w:type="even" r:id="rId465"/>
          <w:footerReference w:type="default" r:id="rId466"/>
          <w:headerReference w:type="first" r:id="rId467"/>
          <w:footerReference w:type="first" r:id="rId468"/>
          <w:pgSz w:w="16838" w:h="11906" w:orient="landscape" w:code="9"/>
          <w:pgMar w:top="1134" w:right="1134" w:bottom="1134" w:left="1134" w:header="708" w:footer="708" w:gutter="0"/>
          <w:cols w:space="708"/>
          <w:docGrid w:linePitch="360"/>
        </w:sectPr>
      </w:pPr>
    </w:p>
    <w:p>
      <w:pPr>
        <w:rPr>
          <w:rFonts w:ascii="Arial" w:hAnsi="Arial" w:cs="Arial"/>
          <w:noProof/>
          <w:sz w:val="14"/>
          <w:szCs w:val="14"/>
        </w:rPr>
      </w:pPr>
      <w:r>
        <w:rPr>
          <w:rFonts w:ascii="Arial" w:hAnsi="Arial"/>
          <w:noProof/>
          <w:sz w:val="14"/>
        </w:rPr>
        <w:t>Таблица 2.5</w:t>
      </w:r>
      <w:r>
        <w:rPr>
          <w:noProof/>
        </w:rPr>
        <w:tab/>
      </w:r>
    </w:p>
    <w:p>
      <w:pPr>
        <w:jc w:val="center"/>
        <w:rPr>
          <w:rFonts w:ascii="Arial" w:hAnsi="Arial" w:cs="Arial"/>
          <w:b/>
          <w:noProof/>
          <w:sz w:val="14"/>
          <w:szCs w:val="14"/>
        </w:rPr>
      </w:pPr>
      <w:r>
        <w:rPr>
          <w:rFonts w:ascii="Arial" w:hAnsi="Arial"/>
          <w:b/>
          <w:noProof/>
          <w:sz w:val="14"/>
        </w:rPr>
        <w:t>КОНСОЛИДИРАНИ ОТЧЕТИ НА ЕФР КЪМ 31 декември 2018 г.</w:t>
      </w:r>
    </w:p>
    <w:p>
      <w:pPr>
        <w:jc w:val="center"/>
        <w:rPr>
          <w:rFonts w:ascii="Arial" w:hAnsi="Arial" w:cs="Arial"/>
          <w:b/>
          <w:noProof/>
          <w:sz w:val="14"/>
          <w:szCs w:val="14"/>
        </w:rPr>
      </w:pPr>
      <w:r>
        <w:rPr>
          <w:rFonts w:ascii="Arial" w:hAnsi="Arial"/>
          <w:b/>
          <w:noProof/>
          <w:sz w:val="14"/>
        </w:rPr>
        <w:t>ВИД ПОМОЩ</w:t>
      </w:r>
    </w:p>
    <w:p>
      <w:pPr>
        <w:jc w:val="center"/>
        <w:rPr>
          <w:rFonts w:ascii="Arial" w:hAnsi="Arial" w:cs="Arial"/>
          <w:b/>
          <w:noProof/>
          <w:sz w:val="14"/>
          <w:szCs w:val="14"/>
        </w:rPr>
      </w:pPr>
      <w:r>
        <w:rPr>
          <w:rFonts w:ascii="Arial" w:hAnsi="Arial"/>
          <w:b/>
          <w:noProof/>
          <w:sz w:val="14"/>
        </w:rPr>
        <w:t>АКТБ + ОСТ - 10-и ЕФР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58"/>
        <w:gridCol w:w="1381"/>
        <w:gridCol w:w="2425"/>
        <w:gridCol w:w="779"/>
        <w:gridCol w:w="919"/>
        <w:gridCol w:w="852"/>
        <w:gridCol w:w="657"/>
        <w:gridCol w:w="919"/>
        <w:gridCol w:w="852"/>
        <w:gridCol w:w="718"/>
        <w:gridCol w:w="919"/>
        <w:gridCol w:w="852"/>
        <w:gridCol w:w="718"/>
        <w:gridCol w:w="422"/>
      </w:tblGrid>
      <w:tr>
        <w:trPr>
          <w:trHeight w:hRule="exact" w:val="142"/>
        </w:trPr>
        <w:tc>
          <w:tcPr>
            <w:tcW w:w="835"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bookmarkStart w:id="235" w:name="DOC_TBL00073_1_1"/>
            <w:bookmarkEnd w:id="235"/>
          </w:p>
        </w:tc>
        <w:tc>
          <w:tcPr>
            <w:tcW w:w="500"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85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81"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548"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right"/>
              <w:rPr>
                <w:rFonts w:ascii="Arial" w:eastAsia="Arial" w:hAnsi="Arial" w:cs="Arial"/>
                <w:noProof/>
                <w:color w:val="000000"/>
                <w:sz w:val="12"/>
              </w:rPr>
            </w:pPr>
            <w:r>
              <w:rPr>
                <w:rFonts w:ascii="Arial" w:hAnsi="Arial"/>
                <w:noProof/>
                <w:color w:val="000000"/>
                <w:sz w:val="12"/>
              </w:rPr>
              <w:t>(милиони евро)</w:t>
            </w:r>
          </w:p>
        </w:tc>
        <w:tc>
          <w:tcPr>
            <w:tcW w:w="6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p>
        </w:tc>
      </w:tr>
      <w:tr>
        <w:trPr>
          <w:trHeight w:hRule="exact" w:val="142"/>
        </w:trPr>
        <w:tc>
          <w:tcPr>
            <w:tcW w:w="2189" w:type="pct"/>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КРЕДИТИ</w:t>
            </w:r>
          </w:p>
        </w:tc>
        <w:tc>
          <w:tcPr>
            <w:tcW w:w="82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РЕШЕНИЯ</w:t>
            </w:r>
          </w:p>
        </w:tc>
        <w:tc>
          <w:tcPr>
            <w:tcW w:w="829"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ЦЕЛЕВИ СРЕДСТВА</w:t>
            </w:r>
          </w:p>
        </w:tc>
        <w:tc>
          <w:tcPr>
            <w:tcW w:w="822"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ПЛАЩАНИЯ</w:t>
            </w:r>
          </w:p>
        </w:tc>
        <w:tc>
          <w:tcPr>
            <w:tcW w:w="6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p>
        </w:tc>
      </w:tr>
      <w:tr>
        <w:trPr>
          <w:trHeight w:hRule="exact" w:val="142"/>
        </w:trPr>
        <w:tc>
          <w:tcPr>
            <w:tcW w:w="2189"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СЪВКУПНИ</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ГОДИШНИ</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w:t>
            </w:r>
          </w:p>
        </w:tc>
        <w:tc>
          <w:tcPr>
            <w:tcW w:w="281"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СЪВКУПНИ</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ГОДИШНИ</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СЪВКУПНИ</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ГОДИШНИ</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w:t>
            </w:r>
          </w:p>
        </w:tc>
        <w:tc>
          <w:tcPr>
            <w:tcW w:w="6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p>
        </w:tc>
      </w:tr>
      <w:tr>
        <w:trPr>
          <w:trHeight w:hRule="exact" w:val="142"/>
        </w:trPr>
        <w:tc>
          <w:tcPr>
            <w:tcW w:w="2189"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(1)</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(2)</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(2) : (1)</w:t>
            </w:r>
          </w:p>
        </w:tc>
        <w:tc>
          <w:tcPr>
            <w:tcW w:w="281"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(3)</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(3) : (2)</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(4)</w:t>
            </w: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4"/>
              </w:rPr>
            </w:pPr>
            <w:r>
              <w:rPr>
                <w:rFonts w:ascii="Arial" w:hAnsi="Arial"/>
                <w:b/>
                <w:noProof/>
                <w:color w:val="000000"/>
                <w:sz w:val="14"/>
              </w:rPr>
              <w:t>(4) : (3)</w:t>
            </w:r>
          </w:p>
        </w:tc>
        <w:tc>
          <w:tcPr>
            <w:tcW w:w="6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p>
        </w:tc>
      </w:tr>
      <w:tr>
        <w:trPr>
          <w:trHeight w:hRule="exact" w:val="28"/>
        </w:trPr>
        <w:tc>
          <w:tcPr>
            <w:tcW w:w="44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rPr>
            </w:pPr>
          </w:p>
        </w:tc>
      </w:tr>
      <w:tr>
        <w:trPr>
          <w:trHeight w:hRule="exact" w:val="142"/>
        </w:trPr>
        <w:tc>
          <w:tcPr>
            <w:tcW w:w="445"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hAnsi="Arial"/>
                <w:b/>
                <w:noProof/>
                <w:color w:val="000000"/>
                <w:sz w:val="14"/>
              </w:rPr>
              <w:t>Редовни вноски на държавите членки</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rPr>
            </w:pPr>
          </w:p>
        </w:tc>
      </w:tr>
      <w:tr>
        <w:trPr>
          <w:trHeight w:hRule="exact" w:val="142"/>
        </w:trPr>
        <w:tc>
          <w:tcPr>
            <w:tcW w:w="445"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hAnsi="Arial"/>
                <w:b/>
                <w:noProof/>
                <w:color w:val="000000"/>
                <w:sz w:val="12"/>
              </w:rPr>
              <w:t>Разпределени средства</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rPr>
            </w:pPr>
          </w:p>
        </w:tc>
      </w:tr>
      <w:tr>
        <w:trPr>
          <w:trHeight w:hRule="exact" w:val="142"/>
        </w:trPr>
        <w:tc>
          <w:tcPr>
            <w:tcW w:w="445"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r>
              <w:rPr>
                <w:rFonts w:ascii="Arial" w:hAnsi="Arial"/>
                <w:b/>
                <w:noProof/>
                <w:color w:val="FFFFFF"/>
                <w:sz w:val="14"/>
              </w:rPr>
              <w:t xml:space="preserve">АКТБ </w:t>
            </w: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Пакет A — Национални средства</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12 922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12 820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(201)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99%</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12 482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11 568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586</w:t>
            </w: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93%</w:t>
            </w:r>
          </w:p>
        </w:tc>
        <w:tc>
          <w:tcPr>
            <w:tcW w:w="64"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 xml:space="preserve">АКТБ </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ПАКЕТ A — НАЦИОНАЛНИ СРЕДСТВА</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12 922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12 820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(201)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99%</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12 482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97%</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11 568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586</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93%</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Пакет Б — Национални средства</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2 000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Компенсация постъпления от износ</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203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200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190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8</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95%</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Спешна помощ</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840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831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813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23</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98%</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Тежко задлъжнели бедни страни</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49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FFFF"/>
                <w:sz w:val="12"/>
              </w:rPr>
            </w:pPr>
            <w:r>
              <w:rPr>
                <w:rFonts w:ascii="Arial" w:hAnsi="Arial"/>
                <w:noProof/>
                <w:color w:val="FFFFF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49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100%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49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Други шокове с бюджетно въздействие</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904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896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886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4</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99%</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ПАКЕТ Б — НАЦИОНАЛНИ СРЕДСТВА</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2 000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1 995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(6)</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100%</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1 976</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1 938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34</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98%</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Разходи за прилагане</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445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436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98%</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436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100%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435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6</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Лихви и други приходи</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85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68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80%</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67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67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РАЗХОДИ ЗА ПРИЛАГАНЕ И ПРИХОДИ ОТ ЛИХВИ</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530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504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95%</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503</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100%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502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6</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Институционални разходи и разходи за подкрепа</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230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229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99%</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229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100%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209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(2)</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91%</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Други средства в рамките на АКТБ</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1 868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1 864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100%</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1 823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1 683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73</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92%</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Инструмент за мир</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1 119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1 119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105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100%</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1 099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227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1 023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209</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93%</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СРЕДСТВА В РАМКИТЕ НА АКТБ</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3 218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3 212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85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100%</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3 151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221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2 916</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280</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93%</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Регионални средства</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1 942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1 926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(24)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99%</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1 818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1 555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144</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86%</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РЕГИОНАЛНИ СРЕДСТВА</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1 942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1 926</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(24)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99%</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1 818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1 555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144</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86%</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hAnsi="Arial"/>
                <w:b/>
                <w:noProof/>
                <w:color w:val="000000"/>
                <w:sz w:val="14"/>
              </w:rPr>
              <w:t>Съфинансиране</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hAnsi="Arial"/>
                <w:b/>
                <w:noProof/>
                <w:color w:val="000000"/>
                <w:sz w:val="12"/>
              </w:rPr>
              <w:t>Разпределени средства</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Пакет A — Национални средства</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187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183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98%</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179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143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12</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80%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ПАКЕТ A — НАЦИОНАЛНИ СРЕДСТВА</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187</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183</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98%</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179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97%</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143</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12</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80%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Разходи за прилагане</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100%</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3</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62%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63%</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РАЗХОДИ ЗА ПРИЛАГАНЕ И ПРИХОДИ ОТ ЛИХВИ</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100%</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3</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62%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63%</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Други средства в рамките на АКТБ</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92%</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FFFF"/>
                <w:sz w:val="12"/>
              </w:rPr>
            </w:pPr>
            <w:r>
              <w:rPr>
                <w:rFonts w:ascii="Arial" w:hAnsi="Arial"/>
                <w:noProof/>
                <w:color w:val="FFFFF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97%</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Инструмент за мир</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100%</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СРЕДСТВА В РАМКИТЕ НА АКТБ</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92%</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noProof/>
                <w:color w:val="FFFFFF"/>
                <w:sz w:val="12"/>
              </w:rPr>
            </w:pPr>
            <w:r>
              <w:rPr>
                <w:rFonts w:ascii="Arial" w:hAnsi="Arial"/>
                <w:noProof/>
                <w:color w:val="FFFFF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97%</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hAnsi="Arial"/>
                <w:b/>
                <w:noProof/>
                <w:color w:val="000000"/>
                <w:sz w:val="14"/>
              </w:rPr>
              <w:t>Резерви, които могат да бъдат мобилизирани</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hAnsi="Arial"/>
                <w:b/>
                <w:noProof/>
                <w:color w:val="000000"/>
                <w:sz w:val="12"/>
              </w:rPr>
              <w:t>Резерви</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Резерв Пакет А</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Резерв Пакет Б</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РЕЗЕРВ ПО ДЪРЖАВИ</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Резерв в рамките на АКТБ</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РЕЗЕРВ В РАМКИТЕ НА АКТБ</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Резерв национални средства Пакет A STABEX</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РЕЗЕРВ НАЦИОНАЛНИ СРЕДСТВА ПАКЕТ A STABEX</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Резерв НИП/РИП</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РЕЗЕРВ НИП/РИП</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Резерв регионални средства</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РЕЗЕРВ РЕГИОНАЛНИ СРЕДСТВА</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hAnsi="Arial"/>
                <w:b/>
                <w:noProof/>
                <w:color w:val="000000"/>
                <w:sz w:val="14"/>
              </w:rPr>
              <w:t>Резерв, който не може да бъде мобилизиран</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hAnsi="Arial"/>
                <w:b/>
                <w:noProof/>
                <w:color w:val="000000"/>
                <w:sz w:val="12"/>
              </w:rPr>
              <w:t>Резерви</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Резерв, който не може да бъде мобилизиран</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131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РЕЗЕРВ, КОЙТО НЕ МОЖЕ ДА БЪДЕ МОБИЛИЗИРАН</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131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28"/>
        </w:trPr>
        <w:tc>
          <w:tcPr>
            <w:tcW w:w="44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rPr>
            </w:pPr>
          </w:p>
        </w:tc>
      </w:tr>
      <w:tr>
        <w:trPr>
          <w:trHeight w:hRule="exact" w:val="142"/>
        </w:trPr>
        <w:tc>
          <w:tcPr>
            <w:tcW w:w="445"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hAnsi="Arial"/>
                <w:b/>
                <w:noProof/>
                <w:color w:val="000000"/>
                <w:sz w:val="14"/>
              </w:rPr>
              <w:t>Редовни вноски на държавите членки</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rPr>
            </w:pPr>
          </w:p>
        </w:tc>
      </w:tr>
      <w:tr>
        <w:trPr>
          <w:trHeight w:hRule="exact" w:val="142"/>
        </w:trPr>
        <w:tc>
          <w:tcPr>
            <w:tcW w:w="445"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hAnsi="Arial"/>
                <w:b/>
                <w:noProof/>
                <w:color w:val="000000"/>
                <w:sz w:val="12"/>
              </w:rPr>
              <w:t>Разпределени средства</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000000"/>
                <w:sz w:val="18"/>
              </w:rPr>
            </w:pPr>
          </w:p>
        </w:tc>
      </w:tr>
      <w:tr>
        <w:trPr>
          <w:trHeight w:hRule="exact" w:val="142"/>
        </w:trPr>
        <w:tc>
          <w:tcPr>
            <w:tcW w:w="445"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r>
              <w:rPr>
                <w:rFonts w:ascii="Arial" w:hAnsi="Arial"/>
                <w:b/>
                <w:noProof/>
                <w:color w:val="FFFFFF"/>
                <w:sz w:val="14"/>
              </w:rPr>
              <w:t>ОСТ</w:t>
            </w: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Пакет A — Национални средства</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190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189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99%</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182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144</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13</w:t>
            </w: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79%</w:t>
            </w:r>
          </w:p>
        </w:tc>
        <w:tc>
          <w:tcPr>
            <w:tcW w:w="64"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ОСТ</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ПАКЕТ A — НАЦИОНАЛНИ СРЕДСТВА</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190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189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99%</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182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17</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96%</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144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13</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79%</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Пакет Б — Национални средства</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Спешна помощ</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89%</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Други шокове с бюджетно въздействие</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100%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6</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ПАКЕТ Б — НАЦИОНАЛНИ СРЕДСТВА</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98%</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14</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93%</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Проучвания/Техническа помощ OCT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FFFF"/>
                <w:sz w:val="12"/>
              </w:rPr>
            </w:pPr>
            <w:r>
              <w:rPr>
                <w:rFonts w:ascii="Arial" w:hAnsi="Arial"/>
                <w:noProof/>
                <w:color w:val="FFFFFF"/>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100%</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98%</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РАЗХОДИ ЗА ПРИЛАГАНЕ И ПРИХОДИ ОТ ЛИХВИ</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noProof/>
                <w:color w:val="FFFFFF"/>
                <w:sz w:val="12"/>
              </w:rPr>
            </w:pPr>
            <w:r>
              <w:rPr>
                <w:rFonts w:ascii="Arial" w:hAnsi="Arial"/>
                <w:noProof/>
                <w:color w:val="FFFFFF"/>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100%</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98%</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100%</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Регионални средства</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40</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39</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98%</w:t>
            </w: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37</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r>
              <w:rPr>
                <w:rFonts w:ascii="Arial" w:hAnsi="Arial"/>
                <w:noProof/>
                <w:color w:val="FF0000"/>
                <w:sz w:val="12"/>
              </w:rPr>
              <w:t>(1)</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95%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32</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FF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87%</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РЕГИОНАЛНИ СРЕДСТВА</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40</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39</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98%</w:t>
            </w: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37</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r>
              <w:rPr>
                <w:rFonts w:ascii="Arial" w:hAnsi="Arial"/>
                <w:b/>
                <w:noProof/>
                <w:color w:val="FF0000"/>
                <w:sz w:val="12"/>
              </w:rPr>
              <w:t>(1)</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95%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32</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FF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w:t>
            </w: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r>
              <w:rPr>
                <w:rFonts w:ascii="Arial" w:hAnsi="Arial"/>
                <w:noProof/>
                <w:color w:val="FFFFFF"/>
                <w:sz w:val="12"/>
              </w:rPr>
              <w:t>87%</w:t>
            </w: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hAnsi="Arial"/>
                <w:b/>
                <w:noProof/>
                <w:color w:val="000000"/>
                <w:sz w:val="14"/>
              </w:rPr>
              <w:t>Резерви, които могат да бъдат мобилизирани</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hAnsi="Arial"/>
                <w:b/>
                <w:noProof/>
                <w:color w:val="000000"/>
                <w:sz w:val="12"/>
              </w:rPr>
              <w:t>Резерви</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Резерв Пакет А</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Резерв Пакет Б</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РЕЗЕРВ ПО ДЪРЖАВИ</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Резерв национални средства Пакет A STABEX</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РЕЗЕРВ НАЦИОНАЛНИ СРЕДСТВА ПАКЕТ A STABEX</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Резерв регионални средства</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РЕЗЕРВ РЕГИОНАЛНИ СРЕДСТВА</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5"/>
              <w:rPr>
                <w:rFonts w:ascii="Arial" w:eastAsia="Arial" w:hAnsi="Arial" w:cs="Arial"/>
                <w:b/>
                <w:noProof/>
                <w:color w:val="000000"/>
                <w:sz w:val="14"/>
              </w:rPr>
            </w:pPr>
            <w:r>
              <w:rPr>
                <w:rFonts w:ascii="Arial" w:hAnsi="Arial"/>
                <w:b/>
                <w:noProof/>
                <w:color w:val="000000"/>
                <w:sz w:val="14"/>
              </w:rPr>
              <w:t>Резерв, който не може да бъде мобилизиран</w:t>
            </w: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81"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274"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5"/>
              <w:jc w:val="center"/>
              <w:rPr>
                <w:rFonts w:ascii="Arial" w:eastAsia="Arial" w:hAnsi="Arial" w:cs="Arial"/>
                <w:b/>
                <w:noProof/>
                <w:color w:val="000000"/>
                <w:sz w:val="14"/>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5"/>
              <w:rPr>
                <w:rFonts w:ascii="Arial" w:eastAsia="Arial" w:hAnsi="Arial" w:cs="Arial"/>
                <w:b/>
                <w:noProof/>
                <w:color w:val="000000"/>
                <w:sz w:val="12"/>
              </w:rPr>
            </w:pPr>
            <w:r>
              <w:rPr>
                <w:rFonts w:ascii="Arial" w:hAnsi="Arial"/>
                <w:b/>
                <w:noProof/>
                <w:color w:val="000000"/>
                <w:sz w:val="12"/>
              </w:rPr>
              <w:t>Резерви</w:t>
            </w: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81"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274"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5"/>
              <w:jc w:val="center"/>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5"/>
              <w:rPr>
                <w:rFonts w:ascii="Arial" w:eastAsia="Arial" w:hAnsi="Arial" w:cs="Arial"/>
                <w:noProof/>
                <w:color w:val="000000"/>
                <w:sz w:val="12"/>
              </w:rPr>
            </w:pPr>
            <w:r>
              <w:rPr>
                <w:rFonts w:ascii="Arial" w:hAnsi="Arial"/>
                <w:noProof/>
                <w:color w:val="000000"/>
                <w:sz w:val="12"/>
              </w:rPr>
              <w:t xml:space="preserve">      Резерв, който не може да бъде мобилизиран</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r>
              <w:rPr>
                <w:rFonts w:ascii="Arial" w:hAnsi="Arial"/>
                <w:noProof/>
                <w:color w:val="000000"/>
                <w:sz w:val="12"/>
              </w:rPr>
              <w:t>25</w:t>
            </w: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81"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274"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5"/>
              <w:jc w:val="right"/>
              <w:rPr>
                <w:rFonts w:ascii="Arial" w:eastAsia="Arial" w:hAnsi="Arial" w:cs="Arial"/>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142"/>
        </w:trPr>
        <w:tc>
          <w:tcPr>
            <w:tcW w:w="445"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000000"/>
                <w:sz w:val="12"/>
              </w:rPr>
            </w:pPr>
            <w:r>
              <w:rPr>
                <w:rFonts w:ascii="Arial" w:hAnsi="Arial"/>
                <w:b/>
                <w:noProof/>
                <w:color w:val="000000"/>
                <w:sz w:val="12"/>
              </w:rPr>
              <w:t>МЕЖДИННА СУМА: РЕЗЕРВ, КОЙТО НЕ МОЖЕ ДА БЪДЕ МОБИЛИЗИРАН</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r>
              <w:rPr>
                <w:rFonts w:ascii="Arial" w:hAnsi="Arial"/>
                <w:b/>
                <w:noProof/>
                <w:color w:val="000000"/>
                <w:sz w:val="12"/>
              </w:rPr>
              <w:t>25</w:t>
            </w: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81"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274"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5"/>
              <w:jc w:val="right"/>
              <w:rPr>
                <w:rFonts w:ascii="Arial" w:eastAsia="Arial" w:hAnsi="Arial" w:cs="Arial"/>
                <w:b/>
                <w:noProof/>
                <w:color w:val="000000"/>
                <w:sz w:val="12"/>
              </w:rPr>
            </w:pPr>
          </w:p>
        </w:tc>
        <w:tc>
          <w:tcPr>
            <w:tcW w:w="64"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FFFFFF"/>
                <w:sz w:val="12"/>
              </w:rPr>
            </w:pPr>
          </w:p>
        </w:tc>
      </w:tr>
      <w:tr>
        <w:trPr>
          <w:trHeight w:hRule="exact" w:val="57"/>
        </w:trPr>
        <w:tc>
          <w:tcPr>
            <w:tcW w:w="445"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81"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27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b/>
                <w:noProof/>
                <w:color w:val="FFFFFF"/>
                <w:sz w:val="14"/>
              </w:rPr>
            </w:pP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2"/>
              </w:rPr>
            </w:pPr>
          </w:p>
        </w:tc>
      </w:tr>
      <w:tr>
        <w:trPr>
          <w:trHeight w:hRule="exact" w:val="142"/>
        </w:trPr>
        <w:tc>
          <w:tcPr>
            <w:tcW w:w="445"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center"/>
              <w:rPr>
                <w:rFonts w:ascii="Arial" w:eastAsia="Arial" w:hAnsi="Arial" w:cs="Arial"/>
                <w:b/>
                <w:noProof/>
                <w:color w:val="FFFFFF"/>
                <w:sz w:val="14"/>
              </w:rPr>
            </w:pPr>
          </w:p>
        </w:tc>
        <w:tc>
          <w:tcPr>
            <w:tcW w:w="1744" w:type="pct"/>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rPr>
                <w:rFonts w:ascii="Arial" w:eastAsia="Arial" w:hAnsi="Arial" w:cs="Arial"/>
                <w:b/>
                <w:noProof/>
                <w:color w:val="FFFFFF"/>
                <w:sz w:val="14"/>
              </w:rPr>
            </w:pPr>
            <w:r>
              <w:rPr>
                <w:rFonts w:ascii="Arial" w:hAnsi="Arial"/>
                <w:b/>
                <w:noProof/>
                <w:color w:val="FFFFFF"/>
                <w:sz w:val="14"/>
              </w:rPr>
              <w:t>ОБЩО: АКТБ+OCT (ВКЛ. РЕЗЕРВИ)   (A+B)</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21 223</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20 905</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0000"/>
                <w:sz w:val="14"/>
              </w:rPr>
            </w:pPr>
            <w:r>
              <w:rPr>
                <w:rFonts w:ascii="Arial" w:hAnsi="Arial"/>
                <w:b/>
                <w:noProof/>
                <w:color w:val="FF0000"/>
                <w:sz w:val="14"/>
              </w:rPr>
              <w:t>(147)</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99%</w:t>
            </w:r>
          </w:p>
        </w:tc>
        <w:tc>
          <w:tcPr>
            <w:tcW w:w="281"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20 361</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236</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97%</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18 829</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1 076</w:t>
            </w:r>
          </w:p>
        </w:tc>
        <w:tc>
          <w:tcPr>
            <w:tcW w:w="27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5"/>
              <w:jc w:val="right"/>
              <w:rPr>
                <w:rFonts w:ascii="Arial" w:eastAsia="Arial" w:hAnsi="Arial" w:cs="Arial"/>
                <w:b/>
                <w:noProof/>
                <w:color w:val="FFFFFF"/>
                <w:sz w:val="14"/>
              </w:rPr>
            </w:pPr>
            <w:r>
              <w:rPr>
                <w:rFonts w:ascii="Arial" w:hAnsi="Arial"/>
                <w:b/>
                <w:noProof/>
                <w:color w:val="FFFFFF"/>
                <w:sz w:val="14"/>
              </w:rPr>
              <w:t>92%</w:t>
            </w:r>
          </w:p>
        </w:tc>
        <w:tc>
          <w:tcPr>
            <w:tcW w:w="6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5"/>
              <w:rPr>
                <w:rFonts w:ascii="Arial" w:eastAsia="Arial" w:hAnsi="Arial" w:cs="Arial"/>
                <w:noProof/>
                <w:color w:val="000000"/>
                <w:sz w:val="12"/>
              </w:rPr>
            </w:pPr>
          </w:p>
        </w:tc>
      </w:tr>
    </w:tbl>
    <w:p>
      <w:pPr>
        <w:rPr>
          <w:rFonts w:ascii="Arial" w:hAnsi="Arial" w:cs="Arial"/>
          <w:b/>
          <w:noProof/>
          <w:sz w:val="14"/>
          <w:szCs w:val="14"/>
        </w:rPr>
      </w:pPr>
    </w:p>
    <w:p>
      <w:pPr>
        <w:rPr>
          <w:rFonts w:ascii="Arial" w:hAnsi="Arial" w:cs="Arial"/>
          <w:b/>
          <w:noProof/>
          <w:sz w:val="14"/>
          <w:szCs w:val="14"/>
        </w:rPr>
        <w:sectPr>
          <w:headerReference w:type="even" r:id="rId469"/>
          <w:headerReference w:type="default" r:id="rId470"/>
          <w:footerReference w:type="even" r:id="rId471"/>
          <w:footerReference w:type="default" r:id="rId472"/>
          <w:headerReference w:type="first" r:id="rId473"/>
          <w:footerReference w:type="first" r:id="rId474"/>
          <w:pgSz w:w="16838" w:h="11906" w:orient="landscape" w:code="9"/>
          <w:pgMar w:top="1134" w:right="1134" w:bottom="1134" w:left="1134" w:header="708" w:footer="708" w:gutter="0"/>
          <w:cols w:space="708"/>
          <w:docGrid w:linePitch="360"/>
        </w:sectPr>
      </w:pPr>
    </w:p>
    <w:p>
      <w:pPr>
        <w:rPr>
          <w:rFonts w:ascii="Arial" w:hAnsi="Arial" w:cs="Arial"/>
          <w:noProof/>
          <w:sz w:val="14"/>
          <w:szCs w:val="14"/>
        </w:rPr>
      </w:pPr>
      <w:r>
        <w:rPr>
          <w:rFonts w:ascii="Arial" w:hAnsi="Arial"/>
          <w:noProof/>
          <w:sz w:val="14"/>
        </w:rPr>
        <w:t>Таблица 2.6</w:t>
      </w:r>
    </w:p>
    <w:p>
      <w:pPr>
        <w:jc w:val="center"/>
        <w:rPr>
          <w:rFonts w:ascii="Arial" w:hAnsi="Arial" w:cs="Arial"/>
          <w:b/>
          <w:noProof/>
          <w:sz w:val="14"/>
          <w:szCs w:val="14"/>
        </w:rPr>
      </w:pPr>
      <w:r>
        <w:rPr>
          <w:rFonts w:ascii="Arial" w:hAnsi="Arial"/>
          <w:b/>
          <w:noProof/>
          <w:sz w:val="14"/>
        </w:rPr>
        <w:t>КОНСОЛИДИРАНИ ОТЧЕТИ НА ЕФР КЪМ 31 декември 2018 г.</w:t>
      </w:r>
    </w:p>
    <w:p>
      <w:pPr>
        <w:jc w:val="center"/>
        <w:rPr>
          <w:rFonts w:ascii="Arial" w:hAnsi="Arial" w:cs="Arial"/>
          <w:b/>
          <w:noProof/>
          <w:sz w:val="14"/>
          <w:szCs w:val="14"/>
        </w:rPr>
      </w:pPr>
      <w:r>
        <w:rPr>
          <w:rFonts w:ascii="Arial" w:hAnsi="Arial"/>
          <w:b/>
          <w:noProof/>
          <w:sz w:val="14"/>
        </w:rPr>
        <w:t>ВИД ПОМОЩ</w:t>
      </w:r>
    </w:p>
    <w:p>
      <w:pPr>
        <w:jc w:val="center"/>
        <w:rPr>
          <w:rFonts w:ascii="Arial" w:hAnsi="Arial" w:cs="Arial"/>
          <w:b/>
          <w:noProof/>
          <w:sz w:val="14"/>
          <w:szCs w:val="14"/>
        </w:rPr>
      </w:pPr>
      <w:r>
        <w:rPr>
          <w:rFonts w:ascii="Arial" w:hAnsi="Arial"/>
          <w:b/>
          <w:noProof/>
          <w:sz w:val="14"/>
        </w:rPr>
        <w:t>АКТБ + ОСТ - 11-и ЕФР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071"/>
        <w:gridCol w:w="1394"/>
        <w:gridCol w:w="2451"/>
        <w:gridCol w:w="779"/>
        <w:gridCol w:w="919"/>
        <w:gridCol w:w="852"/>
        <w:gridCol w:w="675"/>
        <w:gridCol w:w="919"/>
        <w:gridCol w:w="852"/>
        <w:gridCol w:w="727"/>
        <w:gridCol w:w="919"/>
        <w:gridCol w:w="852"/>
        <w:gridCol w:w="727"/>
        <w:gridCol w:w="422"/>
      </w:tblGrid>
      <w:tr>
        <w:trPr>
          <w:trHeight w:hRule="exact" w:val="170"/>
        </w:trPr>
        <w:tc>
          <w:tcPr>
            <w:tcW w:w="807"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bookmarkStart w:id="236" w:name="DOC_TBL00074_1_1"/>
            <w:bookmarkEnd w:id="236"/>
          </w:p>
        </w:tc>
        <w:tc>
          <w:tcPr>
            <w:tcW w:w="503"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862"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552" w:type="pct"/>
            <w:gridSpan w:val="2"/>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right"/>
              <w:rPr>
                <w:rFonts w:ascii="Arial" w:eastAsia="Arial" w:hAnsi="Arial" w:cs="Arial"/>
                <w:noProof/>
                <w:color w:val="000000"/>
                <w:sz w:val="12"/>
              </w:rPr>
            </w:pPr>
            <w:r>
              <w:rPr>
                <w:rFonts w:ascii="Arial" w:hAnsi="Arial"/>
                <w:noProof/>
                <w:color w:val="000000"/>
                <w:sz w:val="12"/>
              </w:rPr>
              <w:t>(милиони евро)</w:t>
            </w:r>
          </w:p>
        </w:tc>
        <w:tc>
          <w:tcPr>
            <w:tcW w:w="69"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p>
        </w:tc>
      </w:tr>
      <w:tr>
        <w:trPr>
          <w:trHeight w:hRule="exact" w:val="170"/>
        </w:trPr>
        <w:tc>
          <w:tcPr>
            <w:tcW w:w="2172" w:type="pct"/>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КРЕДИТИ</w:t>
            </w:r>
          </w:p>
        </w:tc>
        <w:tc>
          <w:tcPr>
            <w:tcW w:w="828"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РЕШЕНИЯ</w:t>
            </w:r>
          </w:p>
        </w:tc>
        <w:tc>
          <w:tcPr>
            <w:tcW w:w="828"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ЦЕЛЕВИ СРЕДСТВА</w:t>
            </w:r>
          </w:p>
        </w:tc>
        <w:tc>
          <w:tcPr>
            <w:tcW w:w="828" w:type="pct"/>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ПЛАЩАНИЯ</w:t>
            </w:r>
          </w:p>
        </w:tc>
        <w:tc>
          <w:tcPr>
            <w:tcW w:w="69"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p>
        </w:tc>
      </w:tr>
      <w:tr>
        <w:trPr>
          <w:trHeight w:hRule="exact" w:val="170"/>
        </w:trPr>
        <w:tc>
          <w:tcPr>
            <w:tcW w:w="2172"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СЪВКУПНИ</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ГОДИШНИ</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СЪВКУПНИ</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ГОДИШНИ</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СЪВКУПНИ</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ГОДИШНИ</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w:t>
            </w:r>
          </w:p>
        </w:tc>
        <w:tc>
          <w:tcPr>
            <w:tcW w:w="69"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p>
        </w:tc>
      </w:tr>
      <w:tr>
        <w:trPr>
          <w:trHeight w:hRule="exact" w:val="170"/>
        </w:trPr>
        <w:tc>
          <w:tcPr>
            <w:tcW w:w="2172" w:type="pct"/>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(1)</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(2)</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(2) : (1)</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(3)</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(3) : (2)</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(4)</w:t>
            </w: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4"/>
              </w:rPr>
            </w:pPr>
            <w:r>
              <w:rPr>
                <w:rFonts w:ascii="Arial" w:hAnsi="Arial"/>
                <w:b/>
                <w:noProof/>
                <w:color w:val="000000"/>
                <w:sz w:val="14"/>
              </w:rPr>
              <w:t>(4) : (3)</w:t>
            </w:r>
          </w:p>
        </w:tc>
        <w:tc>
          <w:tcPr>
            <w:tcW w:w="69"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p>
        </w:tc>
      </w:tr>
      <w:tr>
        <w:trPr>
          <w:trHeight w:hRule="exact" w:val="28"/>
        </w:trPr>
        <w:tc>
          <w:tcPr>
            <w:tcW w:w="41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color w:val="000000"/>
                <w:sz w:val="14"/>
              </w:rPr>
              <w:t>Редовни вноски на държавите членки</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color w:val="000000"/>
                <w:sz w:val="12"/>
              </w:rPr>
              <w:t>Разпределени средства</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r>
              <w:rPr>
                <w:rFonts w:ascii="Arial" w:hAnsi="Arial"/>
                <w:b/>
                <w:noProof/>
                <w:color w:val="FFFFFF"/>
                <w:sz w:val="14"/>
              </w:rPr>
              <w:t xml:space="preserve">АКТБ </w:t>
            </w: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Пакет A — Национални средства</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15 419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12 634</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1 743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82%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9 202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2 346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4 467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1 536</w:t>
            </w: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49%</w:t>
            </w:r>
          </w:p>
        </w:tc>
        <w:tc>
          <w:tcPr>
            <w:tcW w:w="69"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 xml:space="preserve">АКТБ </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ПАКЕТ A — НАЦИОНАЛНИ СРЕДСТВА</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15 419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12 634</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1 743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82%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9 202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2 346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73%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4 467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1 536</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49%</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Пакет Б — Национални средства</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717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Спешна помощ</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592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589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493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50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84%</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Други шокове с бюджетно въздействие</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FFFFFF"/>
                <w:sz w:val="12"/>
              </w:rPr>
            </w:pPr>
            <w:r>
              <w:rPr>
                <w:rFonts w:ascii="Arial" w:hAnsi="Arial"/>
                <w:noProof/>
                <w:color w:val="FFFFF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80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100%</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ПАКЕТ Б — НАЦИОНАЛНИ СРЕДСТВА</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717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701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98%</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698</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100%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601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130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86%</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Преходен инструмент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ПРЕХОДЕН ИНСТРУМЕНТ</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Разходи за прилагане</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1 053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162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646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157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603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148</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93%</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Лихви и други приходи</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FF0000"/>
                <w:sz w:val="12"/>
              </w:rPr>
            </w:pPr>
            <w:r>
              <w:rPr>
                <w:rFonts w:ascii="Arial" w:hAnsi="Arial"/>
                <w:noProof/>
                <w:color w:val="FF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59%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92%</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РАЗХОДИ ЗА ПРИЛАГАНЕ И ПРИХОДИ ОТ ЛИХВИ</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1 069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710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162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653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157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92%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609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148</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93%</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Институционални разходи и разходи за подкрепа</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246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133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54%</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98</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74%</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85</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16</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87%</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Други средства в рамките на АКТБ</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2 700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2 116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871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78%</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1 347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537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64%</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899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408</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67%</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Инструмент за мир</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1 000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1 000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946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95%</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859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54</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91%</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СРЕДСТВА В РАМКИТЕ НА АКТБ</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3 946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3 249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905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82%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2 391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604</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74%</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1 843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478</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77%</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Регионални средства</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6 541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5 803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1 381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89%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4 940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1 426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85%</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1 554</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610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31%</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РЕГИОНАЛНИ СРЕДСТВА</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6 541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5 803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1 381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89%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4 940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1 426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85%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1 554</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610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31%</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color w:val="000000"/>
                <w:sz w:val="14"/>
              </w:rPr>
              <w:t>Съфинансиране</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color w:val="000000"/>
                <w:sz w:val="12"/>
              </w:rPr>
              <w:t>Разпределени средства</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Пакет A — Национални средства</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89%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FFFFFF"/>
                <w:sz w:val="12"/>
              </w:rPr>
            </w:pPr>
            <w:r>
              <w:rPr>
                <w:rFonts w:ascii="Arial" w:hAnsi="Arial"/>
                <w:noProof/>
                <w:color w:val="FFFFF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6%</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ПАКЕТ A — НАЦИОНАЛНИ СРЕДСТВА</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23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20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89%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20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noProof/>
                <w:color w:val="FFFFFF"/>
                <w:sz w:val="12"/>
              </w:rPr>
            </w:pPr>
            <w:r>
              <w:rPr>
                <w:rFonts w:ascii="Arial" w:hAnsi="Arial"/>
                <w:noProof/>
                <w:color w:val="FFFFFF"/>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100%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6%</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Разходи за прилагане</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РАЗХОДИ ЗА ПРИЛАГАНЕ И ПРИХОДИ ОТ ЛИХВИ</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70%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Инструмент за мир</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68%</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СРЕДСТВА В РАМКИТЕ НА АКТБ</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100%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68%</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Регионални средства</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РЕГИОНАЛНИ СРЕДСТВА</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100%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100%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color w:val="000000"/>
                <w:sz w:val="14"/>
              </w:rPr>
              <w:t>Резерви, които могат да бъдат мобилизирани</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color w:val="000000"/>
                <w:sz w:val="12"/>
              </w:rPr>
              <w:t>Резерви</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Резерв Пакет Б</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РЕЗЕРВ ПО ДЪРЖАВИ</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Резерв в рамките на АКТБ</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РЕЗЕРВ В РАМКИТЕ НА АКТБ</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Резерв национални средства Пакет A STABEX</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РЕЗЕРВ НАЦИОНАЛНИ СРЕДСТВА ПАКЕТ A STABEX</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Резерв НИП/РИП</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1 270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РЕЗЕРВ НИП/РИП</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1 270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color w:val="000000"/>
                <w:sz w:val="14"/>
              </w:rPr>
              <w:t>Резерв, който не може да бъде мобилизиран</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color w:val="000000"/>
                <w:sz w:val="12"/>
              </w:rPr>
              <w:t>Резерви</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Резерв, който не може да бъде мобилизиран</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311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РЕЗЕРВ, КОЙТО НЕ МОЖЕ ДА БЪДЕ МОБИЛИЗИРАН</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311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color w:val="000000"/>
                <w:sz w:val="14"/>
              </w:rPr>
              <w:t>Вътрешни SLA на ЕК</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color w:val="000000"/>
                <w:sz w:val="12"/>
              </w:rPr>
              <w:t>Резерви</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Пакет A — Национални средства</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73%</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ПАКЕТ A — НАЦИОНАЛНИ СРЕДСТВА</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71%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100%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73%</w:t>
            </w:r>
          </w:p>
        </w:tc>
      </w:tr>
      <w:tr>
        <w:trPr>
          <w:trHeight w:hRule="exact" w:val="170"/>
        </w:trPr>
        <w:tc>
          <w:tcPr>
            <w:tcW w:w="41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color w:val="000000"/>
                <w:sz w:val="14"/>
              </w:rPr>
              <w:t>Редовни вноски на държавите членки</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color w:val="000000"/>
                <w:sz w:val="12"/>
              </w:rPr>
              <w:t>Разпределени средства</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r>
              <w:rPr>
                <w:rFonts w:ascii="Arial" w:hAnsi="Arial"/>
                <w:b/>
                <w:noProof/>
                <w:color w:val="FFFFFF"/>
                <w:sz w:val="14"/>
              </w:rPr>
              <w:t>ОСТ</w:t>
            </w: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Пакет A — Национални средства</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196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183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179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98%</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50</w:t>
            </w: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43%</w:t>
            </w:r>
          </w:p>
        </w:tc>
        <w:tc>
          <w:tcPr>
            <w:tcW w:w="69"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ОСТ</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ПАКЕТ A — НАЦИОНАЛНИ СРЕДСТВА</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196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183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92</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93%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179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97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98%</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76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50</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43%</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Пакет Б — Национални средства</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8</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Спешна помощ</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2</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68%</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Други шокове с бюджетно въздействие</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100%</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ПАКЕТ Б — НАЦИОНАЛНИ СРЕДСТВА</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8</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75%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100%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5</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85%</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Преходен инструмент </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ПРЕХОДЕН ИНСТРУМЕНТ</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Проучвания/Техническа помощ OCT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5</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5</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72%</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РАЗХОДИ ЗА ПРИЛАГАНЕ И ПРИХОДИ ОТ ЛИХВИ</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5</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90%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3</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72%</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Регионални средства</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81</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46%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37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20%</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РЕГИОНАЛНИ СРЕДСТВА</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81</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37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37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46%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37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37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99%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7</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20%</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color w:val="000000"/>
                <w:sz w:val="14"/>
              </w:rPr>
              <w:t>Съфинансиране</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color w:val="000000"/>
                <w:sz w:val="12"/>
              </w:rPr>
              <w:t>Разпределени средства</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Пакет A — Национални средства</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ПАКЕТ A — НАЦИОНАЛНИ СРЕДСТВА</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color w:val="000000"/>
                <w:sz w:val="14"/>
              </w:rPr>
              <w:t>Резерви, които могат да бъдат мобилизирани</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color w:val="000000"/>
                <w:sz w:val="12"/>
              </w:rPr>
              <w:t>Резерви</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Резерв НИП/РИП</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49</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РЕЗЕРВ НИП/РИП</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49</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color w:val="000000"/>
                <w:sz w:val="14"/>
              </w:rPr>
              <w:t>Резерв, който не може да бъде мобилизиран</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color w:val="000000"/>
                <w:sz w:val="12"/>
              </w:rPr>
              <w:t>Резерви</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Резерв, който не може да бъде мобилизиран</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РЕЗЕРВ, КОЙТО НЕ МОЖЕ ДА БЪДЕ МОБИЛИЗИРАН</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color w:val="000000"/>
                <w:sz w:val="14"/>
              </w:rPr>
              <w:t>Вътрешни SLA на ЕК</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color w:val="000000"/>
                <w:sz w:val="12"/>
              </w:rPr>
              <w:t>Резерви</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Пакет A — Национални средства</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ПАКЕТ A — НАЦИОНАЛНИ СРЕДСТВА</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tcBorders>
              <w:top w:val="nil"/>
              <w:left w:val="nil"/>
              <w:bottom w:val="nil"/>
              <w:right w:val="nil"/>
              <w:tl2br w:val="nil"/>
              <w:tr2bl w:val="nil"/>
            </w:tcBorders>
            <w:shd w:val="solid" w:color="FFFFFF"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4"/>
              </w:rPr>
            </w:pPr>
          </w:p>
        </w:tc>
        <w:tc>
          <w:tcPr>
            <w:tcW w:w="1759" w:type="pct"/>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5549BIPTable26"/>
              <w:rPr>
                <w:rFonts w:ascii="Arial" w:eastAsia="Arial" w:hAnsi="Arial" w:cs="Arial"/>
                <w:b/>
                <w:noProof/>
                <w:color w:val="000000"/>
                <w:sz w:val="14"/>
              </w:rPr>
            </w:pPr>
            <w:r>
              <w:rPr>
                <w:rFonts w:ascii="Arial" w:hAnsi="Arial"/>
                <w:b/>
                <w:noProof/>
                <w:color w:val="000000"/>
                <w:sz w:val="14"/>
              </w:rPr>
              <w:t>Редовни вноски на държавите членки</w:t>
            </w: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276" w:type="pct"/>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5549BIPTable26"/>
              <w:jc w:val="center"/>
              <w:rPr>
                <w:rFonts w:ascii="Arial" w:eastAsia="Arial" w:hAnsi="Arial" w:cs="Arial"/>
                <w:b/>
                <w:noProof/>
                <w:color w:val="000000"/>
                <w:sz w:val="14"/>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5549BIPTable26"/>
              <w:jc w:val="center"/>
              <w:rPr>
                <w:rFonts w:ascii="Arial" w:eastAsia="Arial" w:hAnsi="Arial" w:cs="Arial"/>
                <w:b/>
                <w:noProof/>
                <w:color w:val="000000"/>
                <w:sz w:val="12"/>
              </w:rPr>
            </w:pPr>
          </w:p>
        </w:tc>
        <w:tc>
          <w:tcPr>
            <w:tcW w:w="1759" w:type="pct"/>
            <w:gridSpan w:val="3"/>
            <w:tcBorders>
              <w:top w:val="nil"/>
              <w:left w:val="nil"/>
              <w:bottom w:val="nil"/>
              <w:right w:val="nil"/>
              <w:tl2br w:val="nil"/>
              <w:tr2bl w:val="nil"/>
            </w:tcBorders>
            <w:shd w:val="solid" w:color="DEDCDC" w:fill="FFFFFF"/>
            <w:tcMar>
              <w:left w:w="60" w:type="dxa"/>
              <w:right w:w="60" w:type="dxa"/>
            </w:tcMar>
            <w:vAlign w:val="bottom"/>
          </w:tcPr>
          <w:p>
            <w:pPr>
              <w:pStyle w:val="DMETW15549BIPTable26"/>
              <w:rPr>
                <w:rFonts w:ascii="Arial" w:eastAsia="Arial" w:hAnsi="Arial" w:cs="Arial"/>
                <w:b/>
                <w:noProof/>
                <w:color w:val="000000"/>
                <w:sz w:val="12"/>
              </w:rPr>
            </w:pPr>
            <w:r>
              <w:rPr>
                <w:rFonts w:ascii="Arial" w:hAnsi="Arial"/>
                <w:b/>
                <w:noProof/>
                <w:color w:val="000000"/>
                <w:sz w:val="12"/>
              </w:rPr>
              <w:t>Разпределени средства</w:t>
            </w: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276" w:type="pct"/>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5549BIPTable26"/>
              <w:jc w:val="center"/>
              <w:rPr>
                <w:rFonts w:ascii="Arial" w:eastAsia="Arial" w:hAnsi="Arial" w:cs="Arial"/>
                <w:b/>
                <w:noProof/>
                <w:color w:val="000000"/>
                <w:sz w:val="12"/>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000000"/>
                <w:sz w:val="18"/>
              </w:rPr>
            </w:pPr>
          </w:p>
        </w:tc>
      </w:tr>
      <w:tr>
        <w:trPr>
          <w:trHeight w:hRule="exact" w:val="170"/>
        </w:trPr>
        <w:tc>
          <w:tcPr>
            <w:tcW w:w="414" w:type="pct"/>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Пакет A — Национални средства</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10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60%</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FFFFFF"/>
                <w:sz w:val="12"/>
              </w:rPr>
            </w:pPr>
            <w:r>
              <w:rPr>
                <w:rFonts w:ascii="Arial" w:hAnsi="Arial"/>
                <w:noProof/>
                <w:color w:val="FFFFFF"/>
                <w:sz w:val="12"/>
              </w:rPr>
              <w:t>–</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98%</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6</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4</w:t>
            </w: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98%</w:t>
            </w:r>
          </w:p>
        </w:tc>
        <w:tc>
          <w:tcPr>
            <w:tcW w:w="69" w:type="pct"/>
            <w:vMerge w:val="restar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ПАКЕТ A — НАЦИОНАЛНИ СРЕДСТВА</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10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60%</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noProof/>
                <w:color w:val="FFFFFF"/>
                <w:sz w:val="12"/>
              </w:rPr>
            </w:pPr>
            <w:r>
              <w:rPr>
                <w:rFonts w:ascii="Arial" w:hAnsi="Arial"/>
                <w:noProof/>
                <w:color w:val="FFFFFF"/>
                <w:sz w:val="12"/>
              </w:rPr>
              <w:t>–</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98%</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6</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4</w:t>
            </w: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r>
              <w:rPr>
                <w:rFonts w:ascii="Arial" w:hAnsi="Arial"/>
                <w:noProof/>
                <w:color w:val="FFFFFF"/>
                <w:sz w:val="12"/>
              </w:rPr>
              <w:t>98%</w:t>
            </w: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bottom"/>
          </w:tcPr>
          <w:p>
            <w:pPr>
              <w:pStyle w:val="DMETW15549BIPTable26"/>
              <w:rPr>
                <w:rFonts w:ascii="Arial" w:eastAsia="Arial" w:hAnsi="Arial" w:cs="Arial"/>
                <w:noProof/>
                <w:color w:val="000000"/>
                <w:sz w:val="12"/>
              </w:rPr>
            </w:pPr>
            <w:r>
              <w:rPr>
                <w:rFonts w:ascii="Arial" w:hAnsi="Arial"/>
                <w:noProof/>
                <w:color w:val="000000"/>
                <w:sz w:val="12"/>
              </w:rPr>
              <w:t xml:space="preserve">      Пакет Б — Национални средства</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r>
              <w:rPr>
                <w:rFonts w:ascii="Arial" w:hAnsi="Arial"/>
                <w:noProof/>
                <w:color w:val="000000"/>
                <w:sz w:val="12"/>
              </w:rPr>
              <w:t>7</w:t>
            </w: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276" w:type="pct"/>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5549BIPTable26"/>
              <w:jc w:val="right"/>
              <w:rPr>
                <w:rFonts w:ascii="Arial" w:eastAsia="Arial" w:hAnsi="Arial" w:cs="Arial"/>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000000"/>
                <w:sz w:val="12"/>
              </w:rPr>
            </w:pPr>
            <w:r>
              <w:rPr>
                <w:rFonts w:ascii="Arial" w:hAnsi="Arial"/>
                <w:b/>
                <w:noProof/>
                <w:color w:val="000000"/>
                <w:sz w:val="12"/>
              </w:rPr>
              <w:t>МЕЖДИННА СУМА: ПАКЕТ Б — НАЦИОНАЛНИ СРЕДСТВА</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r>
              <w:rPr>
                <w:rFonts w:ascii="Arial" w:hAnsi="Arial"/>
                <w:b/>
                <w:noProof/>
                <w:color w:val="000000"/>
                <w:sz w:val="12"/>
              </w:rPr>
              <w:t>7</w:t>
            </w: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276" w:type="pc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5549BIPTable26"/>
              <w:jc w:val="right"/>
              <w:rPr>
                <w:rFonts w:ascii="Arial" w:eastAsia="Arial" w:hAnsi="Arial" w:cs="Arial"/>
                <w:b/>
                <w:noProof/>
                <w:color w:val="000000"/>
                <w:sz w:val="12"/>
              </w:rPr>
            </w:pPr>
          </w:p>
        </w:tc>
        <w:tc>
          <w:tcPr>
            <w:tcW w:w="69" w:type="pct"/>
            <w:vMerge/>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FFFFFF"/>
                <w:sz w:val="12"/>
              </w:rPr>
            </w:pPr>
          </w:p>
        </w:tc>
      </w:tr>
      <w:tr>
        <w:trPr>
          <w:trHeight w:hRule="exact" w:val="170"/>
        </w:trPr>
        <w:tc>
          <w:tcPr>
            <w:tcW w:w="414"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276"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b/>
                <w:noProof/>
                <w:color w:val="FFFFFF"/>
                <w:sz w:val="14"/>
              </w:rPr>
            </w:pP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2"/>
              </w:rPr>
            </w:pPr>
          </w:p>
        </w:tc>
      </w:tr>
      <w:tr>
        <w:trPr>
          <w:trHeight w:hRule="exact" w:val="170"/>
        </w:trPr>
        <w:tc>
          <w:tcPr>
            <w:tcW w:w="414"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center"/>
              <w:rPr>
                <w:rFonts w:ascii="Arial" w:eastAsia="Arial" w:hAnsi="Arial" w:cs="Arial"/>
                <w:b/>
                <w:noProof/>
                <w:color w:val="FFFFFF"/>
                <w:sz w:val="14"/>
              </w:rPr>
            </w:pPr>
          </w:p>
        </w:tc>
        <w:tc>
          <w:tcPr>
            <w:tcW w:w="1759" w:type="pct"/>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rPr>
                <w:rFonts w:ascii="Arial" w:eastAsia="Arial" w:hAnsi="Arial" w:cs="Arial"/>
                <w:b/>
                <w:noProof/>
                <w:color w:val="FFFFFF"/>
                <w:sz w:val="14"/>
              </w:rPr>
            </w:pPr>
            <w:r>
              <w:rPr>
                <w:rFonts w:ascii="Arial" w:hAnsi="Arial"/>
                <w:b/>
                <w:noProof/>
                <w:color w:val="FFFFFF"/>
                <w:sz w:val="14"/>
              </w:rPr>
              <w:t>ОБЩО: АКТБ+OCT (ВКЛ. РЕЗЕРВИ)   (A+B)</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29 747</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23 359</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4 332</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79%</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18 140</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4 687</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78%</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9 175</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2 970</w:t>
            </w:r>
          </w:p>
        </w:tc>
        <w:tc>
          <w:tcPr>
            <w:tcW w:w="276" w:type="pct"/>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5549BIPTable26"/>
              <w:jc w:val="right"/>
              <w:rPr>
                <w:rFonts w:ascii="Arial" w:eastAsia="Arial" w:hAnsi="Arial" w:cs="Arial"/>
                <w:b/>
                <w:noProof/>
                <w:color w:val="FFFFFF"/>
                <w:sz w:val="14"/>
              </w:rPr>
            </w:pPr>
            <w:r>
              <w:rPr>
                <w:rFonts w:ascii="Arial" w:hAnsi="Arial"/>
                <w:b/>
                <w:noProof/>
                <w:color w:val="FFFFFF"/>
                <w:sz w:val="14"/>
              </w:rPr>
              <w:t>51%</w:t>
            </w:r>
          </w:p>
        </w:tc>
        <w:tc>
          <w:tcPr>
            <w:tcW w:w="69" w:type="pct"/>
            <w:tcBorders>
              <w:top w:val="nil"/>
              <w:left w:val="nil"/>
              <w:bottom w:val="nil"/>
              <w:right w:val="nil"/>
              <w:tl2br w:val="nil"/>
              <w:tr2bl w:val="nil"/>
            </w:tcBorders>
            <w:shd w:val="solid" w:color="FFFFFF" w:fill="FFFFFF"/>
            <w:tcMar>
              <w:left w:w="60" w:type="dxa"/>
              <w:right w:w="60" w:type="dxa"/>
            </w:tcMar>
            <w:vAlign w:val="center"/>
          </w:tcPr>
          <w:p>
            <w:pPr>
              <w:pStyle w:val="DMETW15549BIPTable26"/>
              <w:rPr>
                <w:rFonts w:ascii="Arial" w:eastAsia="Arial" w:hAnsi="Arial" w:cs="Arial"/>
                <w:noProof/>
                <w:color w:val="000000"/>
                <w:sz w:val="12"/>
              </w:rPr>
            </w:pPr>
          </w:p>
        </w:tc>
      </w:tr>
      <w:bookmarkEnd w:id="232"/>
    </w:tbl>
    <w:p>
      <w:pPr>
        <w:rPr>
          <w:rFonts w:ascii="Arial" w:hAnsi="Arial" w:cs="Arial"/>
          <w:b/>
          <w:noProof/>
          <w:sz w:val="14"/>
          <w:szCs w:val="14"/>
        </w:rPr>
        <w:sectPr>
          <w:headerReference w:type="even" r:id="rId475"/>
          <w:headerReference w:type="default" r:id="rId476"/>
          <w:footerReference w:type="even" r:id="rId477"/>
          <w:footerReference w:type="default" r:id="rId478"/>
          <w:headerReference w:type="first" r:id="rId479"/>
          <w:footerReference w:type="first" r:id="rId480"/>
          <w:pgSz w:w="16838" w:h="11906" w:orient="landscape" w:code="9"/>
          <w:pgMar w:top="1134" w:right="1134" w:bottom="1134" w:left="1134" w:header="708" w:footer="708" w:gutter="0"/>
          <w:cols w:space="708"/>
          <w:docGrid w:linePitch="360"/>
        </w:sectPr>
      </w:pPr>
    </w:p>
    <w:p>
      <w:pPr>
        <w:pStyle w:val="FinancialYear"/>
        <w:rPr>
          <w:noProof/>
        </w:rPr>
      </w:pPr>
      <w:bookmarkStart w:id="237" w:name="_DMBM_14138"/>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238" w:name="_Toc478631948"/>
      <w:bookmarkStart w:id="239" w:name="_Toc9959667"/>
      <w:bookmarkStart w:id="240" w:name="_Toc16001699"/>
      <w:r>
        <w:rPr>
          <w:noProof/>
        </w:rPr>
        <w:t xml:space="preserve">ГОДИШЕН ДОКЛАД ЗА ИЗПЪЛНЕНИЕТО — </w:t>
      </w:r>
      <w:bookmarkStart w:id="241" w:name="_Toc478054614"/>
      <w:r>
        <w:rPr>
          <w:noProof/>
        </w:rPr>
        <w:t>ФОНДОВЕ, УПРАВЛЯВАНИ ОТ ЕВРОПЕЙСКАТА ИНВЕСТИЦИОННА БАНКА</w:t>
      </w:r>
      <w:bookmarkEnd w:id="238"/>
      <w:bookmarkEnd w:id="241"/>
      <w:bookmarkEnd w:id="239"/>
      <w:bookmarkEnd w:id="240"/>
    </w:p>
    <w:p>
      <w:pPr>
        <w:pStyle w:val="FIRSTCHAPTERPAGE"/>
        <w:rPr>
          <w:noProof/>
        </w:rPr>
      </w:pPr>
    </w:p>
    <w:p>
      <w:pPr>
        <w:pStyle w:val="FIRSTCHAPTERPAGE"/>
        <w:rPr>
          <w:noProof/>
        </w:rPr>
      </w:pPr>
    </w:p>
    <w:p>
      <w:pPr>
        <w:pStyle w:val="Textstand-alone"/>
        <w:sectPr>
          <w:headerReference w:type="even" r:id="rId481"/>
          <w:headerReference w:type="default" r:id="rId482"/>
          <w:footerReference w:type="even" r:id="rId483"/>
          <w:footerReference w:type="default" r:id="rId484"/>
          <w:headerReference w:type="first" r:id="rId485"/>
          <w:footerReference w:type="first" r:id="rId486"/>
          <w:pgSz w:w="11906" w:h="16838"/>
          <w:pgMar w:top="1134" w:right="1134" w:bottom="1134" w:left="1134" w:header="709" w:footer="709" w:gutter="0"/>
          <w:cols w:space="708"/>
          <w:docGrid w:linePitch="360"/>
        </w:sectPr>
      </w:pPr>
      <w:r>
        <w:t xml:space="preserve"> </w:t>
      </w:r>
    </w:p>
    <w:tbl>
      <w:tblPr>
        <w:tblW w:w="0" w:type="auto"/>
        <w:tblLayout w:type="fixed"/>
        <w:tblLook w:val="0000" w:firstRow="0" w:lastRow="0" w:firstColumn="0" w:lastColumn="0" w:noHBand="0" w:noVBand="0"/>
      </w:tblPr>
      <w:tblGrid>
        <w:gridCol w:w="2627"/>
        <w:gridCol w:w="2336"/>
        <w:gridCol w:w="1263"/>
        <w:gridCol w:w="1395"/>
        <w:gridCol w:w="2233"/>
      </w:tblGrid>
      <w:tr>
        <w:tc>
          <w:tcPr>
            <w:tcW w:w="6226" w:type="dxa"/>
            <w:gridSpan w:val="3"/>
            <w:shd w:val="clear" w:color="auto" w:fill="auto"/>
          </w:tcPr>
          <w:p>
            <w:pPr>
              <w:pStyle w:val="Normal0"/>
              <w:pageBreakBefore/>
              <w:snapToGrid w:val="0"/>
              <w:spacing w:before="60" w:after="60"/>
              <w:rPr>
                <w:rFonts w:ascii="Arial" w:hAnsi="Arial"/>
                <w:b/>
                <w:noProof/>
                <w:sz w:val="20"/>
                <w:szCs w:val="20"/>
                <w:u w:val="single"/>
              </w:rPr>
            </w:pPr>
            <w:r>
              <w:rPr>
                <w:rFonts w:ascii="Arial" w:hAnsi="Arial"/>
                <w:b/>
                <w:noProof/>
                <w:sz w:val="20"/>
                <w:u w:val="single"/>
              </w:rPr>
              <w:t>ЕВРОПЕЙСКА ИНВЕСТИЦИОННА БАНКА</w:t>
            </w:r>
          </w:p>
        </w:tc>
        <w:tc>
          <w:tcPr>
            <w:tcW w:w="3628" w:type="dxa"/>
            <w:gridSpan w:val="2"/>
            <w:shd w:val="clear" w:color="auto" w:fill="auto"/>
          </w:tcPr>
          <w:p>
            <w:pPr>
              <w:pStyle w:val="Normal0"/>
              <w:snapToGrid w:val="0"/>
              <w:spacing w:before="60" w:after="60"/>
              <w:rPr>
                <w:rFonts w:ascii="Arial" w:hAnsi="Arial"/>
                <w:b/>
                <w:noProof/>
                <w:sz w:val="20"/>
                <w:szCs w:val="20"/>
                <w:u w:val="single"/>
              </w:rPr>
            </w:pPr>
            <w:r>
              <w:rPr>
                <w:rFonts w:ascii="Arial" w:hAnsi="Arial"/>
                <w:b/>
                <w:noProof/>
                <w:sz w:val="20"/>
                <w:u w:val="single"/>
              </w:rPr>
              <w:t>CA/521/19</w:t>
            </w:r>
          </w:p>
        </w:tc>
      </w:tr>
      <w:tr>
        <w:tc>
          <w:tcPr>
            <w:tcW w:w="6226" w:type="dxa"/>
            <w:gridSpan w:val="3"/>
            <w:shd w:val="clear" w:color="auto" w:fill="auto"/>
          </w:tcPr>
          <w:p>
            <w:pPr>
              <w:pStyle w:val="Normal0"/>
              <w:snapToGrid w:val="0"/>
              <w:spacing w:before="60" w:after="60"/>
              <w:rPr>
                <w:rFonts w:ascii="Arial" w:hAnsi="Arial"/>
                <w:noProof/>
                <w:sz w:val="20"/>
                <w:szCs w:val="20"/>
              </w:rPr>
            </w:pPr>
          </w:p>
        </w:tc>
        <w:tc>
          <w:tcPr>
            <w:tcW w:w="3628" w:type="dxa"/>
            <w:gridSpan w:val="2"/>
            <w:shd w:val="clear" w:color="auto" w:fill="auto"/>
          </w:tcPr>
          <w:p>
            <w:pPr>
              <w:pStyle w:val="Normal0"/>
              <w:snapToGrid w:val="0"/>
              <w:spacing w:before="60" w:after="60"/>
              <w:rPr>
                <w:rFonts w:ascii="Arial" w:hAnsi="Arial"/>
                <w:b/>
                <w:noProof/>
                <w:sz w:val="20"/>
                <w:szCs w:val="20"/>
              </w:rPr>
            </w:pPr>
            <w:r>
              <w:rPr>
                <w:rFonts w:ascii="Arial" w:hAnsi="Arial"/>
                <w:noProof/>
                <w:sz w:val="20"/>
              </w:rPr>
              <w:t>14 март 2019 г.</w:t>
            </w:r>
          </w:p>
        </w:tc>
      </w:tr>
      <w:tr>
        <w:tc>
          <w:tcPr>
            <w:tcW w:w="6226" w:type="dxa"/>
            <w:gridSpan w:val="3"/>
            <w:shd w:val="clear" w:color="auto" w:fill="auto"/>
          </w:tcPr>
          <w:p>
            <w:pPr>
              <w:pStyle w:val="Normal0"/>
              <w:snapToGrid w:val="0"/>
              <w:spacing w:before="360" w:after="240"/>
              <w:rPr>
                <w:rFonts w:ascii="Arial" w:hAnsi="Arial"/>
                <w:noProof/>
                <w:sz w:val="20"/>
                <w:szCs w:val="20"/>
              </w:rPr>
            </w:pPr>
          </w:p>
        </w:tc>
        <w:tc>
          <w:tcPr>
            <w:tcW w:w="3628" w:type="dxa"/>
            <w:gridSpan w:val="2"/>
            <w:shd w:val="clear" w:color="auto" w:fill="auto"/>
          </w:tcPr>
          <w:p>
            <w:pPr>
              <w:pStyle w:val="Normal0"/>
              <w:snapToGrid w:val="0"/>
              <w:spacing w:before="360" w:after="240"/>
              <w:rPr>
                <w:rFonts w:ascii="Arial" w:hAnsi="Arial"/>
                <w:b/>
                <w:noProof/>
                <w:sz w:val="20"/>
                <w:szCs w:val="20"/>
                <w:u w:val="single"/>
              </w:rPr>
            </w:pPr>
            <w:r>
              <w:rPr>
                <w:rFonts w:ascii="Arial" w:hAnsi="Arial"/>
                <w:noProof/>
                <w:sz w:val="20"/>
                <w:u w:val="single"/>
              </w:rPr>
              <w:t>Документ 19/092</w:t>
            </w:r>
          </w:p>
        </w:tc>
      </w:tr>
      <w:tr>
        <w:tc>
          <w:tcPr>
            <w:tcW w:w="6226" w:type="dxa"/>
            <w:gridSpan w:val="3"/>
            <w:shd w:val="clear" w:color="auto" w:fill="auto"/>
          </w:tcPr>
          <w:p>
            <w:pPr>
              <w:pStyle w:val="Normal0"/>
              <w:snapToGrid w:val="0"/>
              <w:spacing w:before="60" w:after="60"/>
              <w:rPr>
                <w:rFonts w:ascii="Arial" w:hAnsi="Arial"/>
                <w:noProof/>
                <w:sz w:val="20"/>
                <w:szCs w:val="20"/>
              </w:rPr>
            </w:pPr>
          </w:p>
        </w:tc>
        <w:tc>
          <w:tcPr>
            <w:tcW w:w="3628" w:type="dxa"/>
            <w:gridSpan w:val="2"/>
            <w:shd w:val="clear" w:color="auto" w:fill="auto"/>
          </w:tcPr>
          <w:p>
            <w:pPr>
              <w:pStyle w:val="Normal0"/>
              <w:snapToGrid w:val="0"/>
              <w:spacing w:before="60" w:after="60"/>
              <w:rPr>
                <w:rFonts w:ascii="Arial" w:hAnsi="Arial"/>
                <w:noProof/>
                <w:sz w:val="20"/>
                <w:szCs w:val="20"/>
              </w:rPr>
            </w:pPr>
          </w:p>
        </w:tc>
      </w:tr>
      <w:tr>
        <w:tc>
          <w:tcPr>
            <w:tcW w:w="6226" w:type="dxa"/>
            <w:gridSpan w:val="3"/>
            <w:shd w:val="clear" w:color="auto" w:fill="auto"/>
          </w:tcPr>
          <w:p>
            <w:pPr>
              <w:pStyle w:val="Normal0"/>
              <w:snapToGrid w:val="0"/>
              <w:spacing w:before="60" w:after="60"/>
              <w:rPr>
                <w:rFonts w:ascii="Arial" w:hAnsi="Arial"/>
                <w:noProof/>
                <w:sz w:val="20"/>
                <w:szCs w:val="20"/>
              </w:rPr>
            </w:pPr>
          </w:p>
        </w:tc>
        <w:tc>
          <w:tcPr>
            <w:tcW w:w="3628" w:type="dxa"/>
            <w:gridSpan w:val="2"/>
            <w:shd w:val="clear" w:color="auto" w:fill="auto"/>
          </w:tcPr>
          <w:p>
            <w:pPr>
              <w:pStyle w:val="Normal0"/>
              <w:snapToGrid w:val="0"/>
              <w:spacing w:before="60" w:after="60"/>
              <w:rPr>
                <w:rFonts w:ascii="Arial" w:hAnsi="Arial"/>
                <w:noProof/>
                <w:sz w:val="20"/>
                <w:szCs w:val="20"/>
              </w:rPr>
            </w:pPr>
          </w:p>
        </w:tc>
      </w:tr>
      <w:tr>
        <w:trPr>
          <w:trHeight w:val="3026"/>
        </w:trPr>
        <w:tc>
          <w:tcPr>
            <w:tcW w:w="9854" w:type="dxa"/>
            <w:gridSpan w:val="5"/>
            <w:shd w:val="clear" w:color="auto" w:fill="auto"/>
            <w:vAlign w:val="center"/>
          </w:tcPr>
          <w:p>
            <w:pPr>
              <w:pStyle w:val="Normal0"/>
              <w:snapToGrid w:val="0"/>
              <w:spacing w:before="2760" w:after="360"/>
              <w:jc w:val="center"/>
              <w:rPr>
                <w:rFonts w:ascii="Arial" w:hAnsi="Arial"/>
                <w:caps/>
                <w:noProof/>
                <w:spacing w:val="80"/>
                <w:sz w:val="20"/>
                <w:szCs w:val="20"/>
                <w:u w:val="single"/>
              </w:rPr>
            </w:pPr>
            <w:r>
              <w:rPr>
                <w:rFonts w:ascii="Arial" w:hAnsi="Arial"/>
                <w:caps/>
                <w:noProof/>
                <w:spacing w:val="80"/>
                <w:sz w:val="20"/>
                <w:u w:val="single"/>
              </w:rPr>
              <w:t>СЪВЕТ НА ДИРЕКТОРИТЕ</w:t>
            </w:r>
          </w:p>
        </w:tc>
      </w:tr>
      <w:tr>
        <w:tc>
          <w:tcPr>
            <w:tcW w:w="9854" w:type="dxa"/>
            <w:gridSpan w:val="5"/>
            <w:shd w:val="clear" w:color="auto" w:fill="auto"/>
            <w:vAlign w:val="center"/>
          </w:tcPr>
          <w:p>
            <w:pPr>
              <w:pStyle w:val="Normal0"/>
              <w:snapToGrid w:val="0"/>
              <w:spacing w:before="240" w:after="120"/>
              <w:jc w:val="center"/>
              <w:rPr>
                <w:rFonts w:ascii="Arial" w:hAnsi="Arial"/>
                <w:b/>
                <w:caps/>
                <w:noProof/>
                <w:spacing w:val="20"/>
                <w:sz w:val="20"/>
                <w:szCs w:val="20"/>
              </w:rPr>
            </w:pPr>
            <w:r>
              <w:rPr>
                <w:rFonts w:ascii="Arial" w:hAnsi="Arial"/>
                <w:b/>
                <w:caps/>
                <w:noProof/>
                <w:spacing w:val="20"/>
                <w:sz w:val="20"/>
              </w:rPr>
              <w:t>Инвестиционен механизъм</w:t>
            </w:r>
          </w:p>
        </w:tc>
      </w:tr>
      <w:tr>
        <w:tc>
          <w:tcPr>
            <w:tcW w:w="9854" w:type="dxa"/>
            <w:gridSpan w:val="5"/>
            <w:shd w:val="clear" w:color="auto" w:fill="auto"/>
            <w:vAlign w:val="center"/>
          </w:tcPr>
          <w:p>
            <w:pPr>
              <w:pStyle w:val="Normal0"/>
              <w:snapToGrid w:val="0"/>
              <w:spacing w:before="60" w:after="60"/>
              <w:jc w:val="center"/>
              <w:rPr>
                <w:rFonts w:ascii="Arial" w:hAnsi="Arial"/>
                <w:b/>
                <w:caps/>
                <w:noProof/>
                <w:sz w:val="20"/>
                <w:szCs w:val="20"/>
              </w:rPr>
            </w:pPr>
            <w:r>
              <w:rPr>
                <w:rFonts w:ascii="Arial" w:hAnsi="Arial"/>
                <w:b/>
                <w:caps/>
                <w:noProof/>
                <w:sz w:val="20"/>
              </w:rPr>
              <w:t>финансови отчети</w:t>
            </w:r>
          </w:p>
        </w:tc>
      </w:tr>
      <w:tr>
        <w:tc>
          <w:tcPr>
            <w:tcW w:w="9854" w:type="dxa"/>
            <w:gridSpan w:val="5"/>
            <w:shd w:val="clear" w:color="auto" w:fill="auto"/>
            <w:vAlign w:val="center"/>
          </w:tcPr>
          <w:p>
            <w:pPr>
              <w:pStyle w:val="Normal0"/>
              <w:snapToGrid w:val="0"/>
              <w:spacing w:before="60" w:after="60"/>
              <w:jc w:val="center"/>
              <w:rPr>
                <w:rFonts w:ascii="Arial" w:hAnsi="Arial"/>
                <w:b/>
                <w:caps/>
                <w:noProof/>
                <w:sz w:val="20"/>
                <w:szCs w:val="20"/>
              </w:rPr>
            </w:pPr>
            <w:r>
              <w:rPr>
                <w:rFonts w:ascii="Arial" w:hAnsi="Arial"/>
                <w:b/>
                <w:caps/>
                <w:noProof/>
                <w:sz w:val="20"/>
              </w:rPr>
              <w:t>към 31 декември 2018 г.</w:t>
            </w:r>
          </w:p>
        </w:tc>
      </w:tr>
      <w:tr>
        <w:trPr>
          <w:trHeight w:val="786"/>
        </w:trPr>
        <w:tc>
          <w:tcPr>
            <w:tcW w:w="2627" w:type="dxa"/>
            <w:shd w:val="clear" w:color="auto" w:fill="auto"/>
            <w:vAlign w:val="center"/>
          </w:tcPr>
          <w:p>
            <w:pPr>
              <w:pStyle w:val="Normal0"/>
              <w:snapToGrid w:val="0"/>
              <w:spacing w:before="360" w:after="480"/>
              <w:jc w:val="center"/>
              <w:rPr>
                <w:rFonts w:ascii="Arial" w:hAnsi="Arial"/>
                <w:noProof/>
                <w:sz w:val="20"/>
                <w:szCs w:val="20"/>
              </w:rPr>
            </w:pPr>
          </w:p>
        </w:tc>
        <w:tc>
          <w:tcPr>
            <w:tcW w:w="4994" w:type="dxa"/>
            <w:gridSpan w:val="3"/>
            <w:tcBorders>
              <w:top w:val="single" w:sz="4" w:space="0" w:color="000000"/>
            </w:tcBorders>
            <w:shd w:val="clear" w:color="auto" w:fill="auto"/>
            <w:vAlign w:val="center"/>
          </w:tcPr>
          <w:p>
            <w:pPr>
              <w:pStyle w:val="Normal0"/>
              <w:snapToGrid w:val="0"/>
              <w:spacing w:before="360" w:after="480"/>
              <w:jc w:val="center"/>
              <w:rPr>
                <w:rFonts w:ascii="Arial" w:hAnsi="Arial"/>
                <w:noProof/>
                <w:sz w:val="20"/>
                <w:szCs w:val="20"/>
              </w:rPr>
            </w:pPr>
          </w:p>
        </w:tc>
        <w:tc>
          <w:tcPr>
            <w:tcW w:w="2233" w:type="dxa"/>
            <w:shd w:val="clear" w:color="auto" w:fill="auto"/>
            <w:vAlign w:val="center"/>
          </w:tcPr>
          <w:p>
            <w:pPr>
              <w:pStyle w:val="Normal0"/>
              <w:snapToGrid w:val="0"/>
              <w:spacing w:before="360" w:after="480"/>
              <w:jc w:val="center"/>
              <w:rPr>
                <w:rFonts w:ascii="Arial" w:hAnsi="Arial"/>
                <w:noProof/>
                <w:sz w:val="20"/>
                <w:szCs w:val="20"/>
              </w:rPr>
            </w:pPr>
          </w:p>
        </w:tc>
      </w:tr>
      <w:tr>
        <w:trPr>
          <w:trHeight w:val="3816"/>
        </w:trPr>
        <w:tc>
          <w:tcPr>
            <w:tcW w:w="2627" w:type="dxa"/>
            <w:shd w:val="clear" w:color="auto" w:fill="auto"/>
            <w:vAlign w:val="center"/>
          </w:tcPr>
          <w:p>
            <w:pPr>
              <w:pStyle w:val="Normal0"/>
              <w:snapToGrid w:val="0"/>
              <w:spacing w:before="120" w:after="120"/>
              <w:jc w:val="center"/>
              <w:rPr>
                <w:rFonts w:ascii="Arial" w:hAnsi="Arial"/>
                <w:noProof/>
                <w:sz w:val="20"/>
                <w:szCs w:val="20"/>
              </w:rPr>
            </w:pPr>
          </w:p>
        </w:tc>
        <w:tc>
          <w:tcPr>
            <w:tcW w:w="4994" w:type="dxa"/>
            <w:gridSpan w:val="3"/>
            <w:shd w:val="clear" w:color="auto" w:fill="auto"/>
            <w:vAlign w:val="center"/>
          </w:tcPr>
          <w:p>
            <w:pPr>
              <w:pStyle w:val="Normal0"/>
              <w:numPr>
                <w:ilvl w:val="0"/>
                <w:numId w:val="115"/>
              </w:numPr>
              <w:tabs>
                <w:tab w:val="left" w:pos="432"/>
              </w:tabs>
              <w:snapToGrid w:val="0"/>
              <w:spacing w:before="120" w:after="120"/>
              <w:rPr>
                <w:rFonts w:ascii="Arial" w:hAnsi="Arial"/>
                <w:noProof/>
                <w:sz w:val="20"/>
                <w:szCs w:val="20"/>
              </w:rPr>
            </w:pPr>
            <w:r>
              <w:rPr>
                <w:rFonts w:ascii="Arial" w:hAnsi="Arial"/>
                <w:noProof/>
                <w:sz w:val="20"/>
              </w:rPr>
              <w:t>Отчет за финансовото състояние</w:t>
            </w:r>
          </w:p>
          <w:p>
            <w:pPr>
              <w:pStyle w:val="Normal0"/>
              <w:numPr>
                <w:ilvl w:val="0"/>
                <w:numId w:val="115"/>
              </w:numPr>
              <w:tabs>
                <w:tab w:val="left" w:pos="432"/>
              </w:tabs>
              <w:spacing w:before="120" w:after="120"/>
              <w:rPr>
                <w:rFonts w:ascii="Arial" w:hAnsi="Arial"/>
                <w:noProof/>
                <w:sz w:val="20"/>
                <w:szCs w:val="20"/>
              </w:rPr>
            </w:pPr>
            <w:r>
              <w:rPr>
                <w:rFonts w:ascii="Arial" w:hAnsi="Arial"/>
                <w:noProof/>
                <w:sz w:val="20"/>
              </w:rPr>
              <w:t>Отчет за печалбата или загубата и другия всеобхватен доход</w:t>
            </w:r>
          </w:p>
          <w:p>
            <w:pPr>
              <w:pStyle w:val="Normal0"/>
              <w:numPr>
                <w:ilvl w:val="0"/>
                <w:numId w:val="115"/>
              </w:numPr>
              <w:tabs>
                <w:tab w:val="left" w:pos="432"/>
              </w:tabs>
              <w:spacing w:before="120" w:after="120"/>
              <w:rPr>
                <w:rFonts w:ascii="Arial" w:hAnsi="Arial"/>
                <w:noProof/>
                <w:sz w:val="20"/>
                <w:szCs w:val="20"/>
              </w:rPr>
            </w:pPr>
            <w:r>
              <w:rPr>
                <w:rFonts w:ascii="Arial" w:hAnsi="Arial"/>
                <w:noProof/>
                <w:sz w:val="20"/>
              </w:rPr>
              <w:t>Отчет за промените в ресурсите на вносителите</w:t>
            </w:r>
          </w:p>
          <w:p>
            <w:pPr>
              <w:pStyle w:val="Normal0"/>
              <w:numPr>
                <w:ilvl w:val="0"/>
                <w:numId w:val="115"/>
              </w:numPr>
              <w:tabs>
                <w:tab w:val="left" w:pos="432"/>
              </w:tabs>
              <w:spacing w:before="120" w:after="120"/>
              <w:rPr>
                <w:rFonts w:ascii="Arial" w:hAnsi="Arial"/>
                <w:noProof/>
                <w:sz w:val="20"/>
                <w:szCs w:val="20"/>
              </w:rPr>
            </w:pPr>
            <w:r>
              <w:rPr>
                <w:rFonts w:ascii="Arial" w:hAnsi="Arial"/>
                <w:noProof/>
                <w:sz w:val="20"/>
              </w:rPr>
              <w:t>Отчет за паричните потоци</w:t>
            </w:r>
          </w:p>
          <w:p>
            <w:pPr>
              <w:pStyle w:val="Normal0"/>
              <w:numPr>
                <w:ilvl w:val="0"/>
                <w:numId w:val="115"/>
              </w:numPr>
              <w:tabs>
                <w:tab w:val="left" w:pos="432"/>
              </w:tabs>
              <w:spacing w:before="120" w:after="120"/>
              <w:rPr>
                <w:rFonts w:ascii="Arial" w:hAnsi="Arial"/>
                <w:noProof/>
                <w:sz w:val="20"/>
                <w:szCs w:val="20"/>
              </w:rPr>
            </w:pPr>
            <w:r>
              <w:rPr>
                <w:rFonts w:ascii="Arial" w:hAnsi="Arial"/>
                <w:noProof/>
                <w:sz w:val="20"/>
              </w:rPr>
              <w:t>Бележки към финансовите отчети</w:t>
            </w:r>
          </w:p>
          <w:p>
            <w:pPr>
              <w:pStyle w:val="Normal0"/>
              <w:tabs>
                <w:tab w:val="left" w:pos="432"/>
              </w:tabs>
              <w:spacing w:before="120" w:after="120"/>
              <w:ind w:left="720"/>
              <w:rPr>
                <w:rFonts w:ascii="Arial" w:hAnsi="Arial"/>
                <w:noProof/>
                <w:sz w:val="20"/>
                <w:szCs w:val="20"/>
              </w:rPr>
            </w:pPr>
          </w:p>
        </w:tc>
        <w:tc>
          <w:tcPr>
            <w:tcW w:w="2233" w:type="dxa"/>
            <w:shd w:val="clear" w:color="auto" w:fill="auto"/>
            <w:vAlign w:val="center"/>
          </w:tcPr>
          <w:p>
            <w:pPr>
              <w:pStyle w:val="Normal0"/>
              <w:snapToGrid w:val="0"/>
              <w:spacing w:before="120" w:after="120"/>
              <w:jc w:val="center"/>
              <w:rPr>
                <w:rFonts w:ascii="Arial" w:hAnsi="Arial"/>
                <w:noProof/>
                <w:sz w:val="20"/>
                <w:szCs w:val="20"/>
              </w:rPr>
            </w:pPr>
          </w:p>
        </w:tc>
      </w:tr>
      <w:tr>
        <w:tc>
          <w:tcPr>
            <w:tcW w:w="4963" w:type="dxa"/>
            <w:gridSpan w:val="2"/>
            <w:shd w:val="clear" w:color="auto" w:fill="auto"/>
          </w:tcPr>
          <w:p>
            <w:pPr>
              <w:pStyle w:val="Normal0"/>
              <w:snapToGrid w:val="0"/>
              <w:spacing w:before="60" w:after="60"/>
              <w:rPr>
                <w:rFonts w:ascii="Arial" w:hAnsi="Arial"/>
                <w:noProof/>
                <w:sz w:val="20"/>
                <w:szCs w:val="20"/>
              </w:rPr>
            </w:pPr>
          </w:p>
        </w:tc>
        <w:tc>
          <w:tcPr>
            <w:tcW w:w="4891" w:type="dxa"/>
            <w:gridSpan w:val="3"/>
            <w:shd w:val="clear" w:color="auto" w:fill="auto"/>
            <w:vAlign w:val="center"/>
          </w:tcPr>
          <w:p>
            <w:pPr>
              <w:pStyle w:val="Normal0"/>
              <w:snapToGrid w:val="0"/>
              <w:spacing w:before="60" w:after="60"/>
              <w:jc w:val="right"/>
              <w:rPr>
                <w:rFonts w:ascii="Arial" w:hAnsi="Arial"/>
                <w:noProof/>
                <w:sz w:val="20"/>
                <w:szCs w:val="20"/>
                <w:u w:val="single"/>
              </w:rPr>
            </w:pPr>
          </w:p>
        </w:tc>
      </w:tr>
      <w:tr>
        <w:tc>
          <w:tcPr>
            <w:tcW w:w="4963" w:type="dxa"/>
            <w:gridSpan w:val="2"/>
            <w:shd w:val="clear" w:color="auto" w:fill="auto"/>
          </w:tcPr>
          <w:p>
            <w:pPr>
              <w:pStyle w:val="Normal0"/>
              <w:snapToGrid w:val="0"/>
              <w:spacing w:before="60" w:after="60"/>
              <w:rPr>
                <w:rFonts w:ascii="Arial" w:hAnsi="Arial"/>
                <w:noProof/>
                <w:sz w:val="20"/>
                <w:szCs w:val="20"/>
              </w:rPr>
            </w:pPr>
          </w:p>
        </w:tc>
        <w:tc>
          <w:tcPr>
            <w:tcW w:w="4891" w:type="dxa"/>
            <w:gridSpan w:val="3"/>
            <w:shd w:val="clear" w:color="auto" w:fill="auto"/>
            <w:vAlign w:val="center"/>
          </w:tcPr>
          <w:p>
            <w:pPr>
              <w:pStyle w:val="Normal0"/>
              <w:snapToGrid w:val="0"/>
              <w:spacing w:before="60" w:after="60"/>
              <w:jc w:val="right"/>
              <w:rPr>
                <w:rFonts w:ascii="Arial" w:hAnsi="Arial"/>
                <w:noProof/>
                <w:sz w:val="20"/>
                <w:szCs w:val="20"/>
                <w:u w:val="single"/>
              </w:rPr>
            </w:pPr>
          </w:p>
        </w:tc>
      </w:tr>
      <w:tr>
        <w:tc>
          <w:tcPr>
            <w:tcW w:w="4963" w:type="dxa"/>
            <w:gridSpan w:val="2"/>
            <w:shd w:val="clear" w:color="auto" w:fill="auto"/>
          </w:tcPr>
          <w:p>
            <w:pPr>
              <w:pStyle w:val="Normal0"/>
              <w:snapToGrid w:val="0"/>
              <w:spacing w:before="60" w:after="60"/>
              <w:rPr>
                <w:rFonts w:ascii="Arial" w:hAnsi="Arial"/>
                <w:noProof/>
                <w:sz w:val="20"/>
                <w:szCs w:val="20"/>
              </w:rPr>
            </w:pPr>
          </w:p>
        </w:tc>
        <w:tc>
          <w:tcPr>
            <w:tcW w:w="4891" w:type="dxa"/>
            <w:gridSpan w:val="3"/>
            <w:shd w:val="clear" w:color="auto" w:fill="auto"/>
            <w:vAlign w:val="center"/>
          </w:tcPr>
          <w:p>
            <w:pPr>
              <w:pStyle w:val="Normal0"/>
              <w:snapToGrid w:val="0"/>
              <w:spacing w:before="60" w:after="60"/>
              <w:jc w:val="right"/>
              <w:rPr>
                <w:rFonts w:ascii="Arial" w:hAnsi="Arial"/>
                <w:noProof/>
                <w:sz w:val="20"/>
                <w:szCs w:val="20"/>
                <w:u w:val="single"/>
              </w:rPr>
            </w:pPr>
          </w:p>
        </w:tc>
      </w:tr>
      <w:tr>
        <w:tc>
          <w:tcPr>
            <w:tcW w:w="4963" w:type="dxa"/>
            <w:gridSpan w:val="2"/>
            <w:shd w:val="clear" w:color="auto" w:fill="auto"/>
          </w:tcPr>
          <w:p>
            <w:pPr>
              <w:pStyle w:val="Normal0"/>
              <w:snapToGrid w:val="0"/>
              <w:spacing w:before="60" w:after="60"/>
              <w:rPr>
                <w:rFonts w:ascii="Arial" w:hAnsi="Arial"/>
                <w:noProof/>
                <w:sz w:val="20"/>
                <w:szCs w:val="20"/>
              </w:rPr>
            </w:pPr>
          </w:p>
        </w:tc>
        <w:tc>
          <w:tcPr>
            <w:tcW w:w="4891" w:type="dxa"/>
            <w:gridSpan w:val="3"/>
            <w:shd w:val="clear" w:color="auto" w:fill="auto"/>
            <w:vAlign w:val="center"/>
          </w:tcPr>
          <w:p>
            <w:pPr>
              <w:pStyle w:val="Normal0"/>
              <w:snapToGrid w:val="0"/>
              <w:spacing w:before="60" w:after="60"/>
              <w:jc w:val="right"/>
              <w:rPr>
                <w:rFonts w:ascii="Arial" w:hAnsi="Arial"/>
                <w:noProof/>
                <w:sz w:val="20"/>
                <w:szCs w:val="20"/>
                <w:u w:val="single"/>
              </w:rPr>
            </w:pPr>
          </w:p>
        </w:tc>
      </w:tr>
    </w:tbl>
    <w:p>
      <w:pPr>
        <w:rPr>
          <w:noProof/>
        </w:rPr>
        <w:sectPr>
          <w:headerReference w:type="even" r:id="rId487"/>
          <w:headerReference w:type="default" r:id="rId488"/>
          <w:footerReference w:type="even" r:id="rId489"/>
          <w:footerReference w:type="default" r:id="rId490"/>
          <w:headerReference w:type="first" r:id="rId491"/>
          <w:footerReference w:type="first" r:id="rId492"/>
          <w:pgSz w:w="12240" w:h="15840"/>
          <w:pgMar w:top="765" w:right="1134" w:bottom="765" w:left="1134" w:header="709" w:footer="709" w:gutter="0"/>
          <w:cols w:space="720"/>
          <w:docGrid w:linePitch="360"/>
        </w:sectPr>
      </w:pPr>
    </w:p>
    <w:p>
      <w:pPr>
        <w:pageBreakBefore/>
        <w:pBdr>
          <w:top w:val="nil"/>
          <w:left w:val="nil"/>
          <w:bottom w:val="nil"/>
          <w:right w:val="nil"/>
          <w:between w:val="nil"/>
          <w:bar w:val="nil"/>
        </w:pBdr>
        <w:jc w:val="center"/>
        <w:rPr>
          <w:rFonts w:ascii="Arial" w:hAnsi="Arial"/>
          <w:b/>
          <w:noProof/>
          <w:sz w:val="20"/>
          <w:szCs w:val="16"/>
          <w:bdr w:val="nil"/>
        </w:rPr>
      </w:pPr>
      <w:r>
        <w:rPr>
          <w:rFonts w:ascii="Arial" w:hAnsi="Arial"/>
          <w:b/>
          <w:noProof/>
          <w:sz w:val="20"/>
          <w:bdr w:val="nil"/>
        </w:rPr>
        <w:t>ОТЧЕТ ЗА ФИНАНСОВОТО СЪСТОЯНИЕ</w:t>
      </w:r>
    </w:p>
    <w:p>
      <w:pPr>
        <w:pBdr>
          <w:top w:val="nil"/>
          <w:left w:val="nil"/>
          <w:bottom w:val="nil"/>
          <w:right w:val="nil"/>
          <w:between w:val="nil"/>
          <w:bar w:val="nil"/>
        </w:pBdr>
        <w:jc w:val="center"/>
        <w:rPr>
          <w:rFonts w:ascii="Arial" w:hAnsi="Arial"/>
          <w:b/>
          <w:noProof/>
          <w:sz w:val="20"/>
          <w:szCs w:val="16"/>
          <w:bdr w:val="nil"/>
        </w:rPr>
      </w:pPr>
      <w:r>
        <w:rPr>
          <w:rFonts w:ascii="Arial" w:hAnsi="Arial"/>
          <w:b/>
          <w:caps/>
          <w:noProof/>
          <w:sz w:val="20"/>
          <w:bdr w:val="nil"/>
        </w:rPr>
        <w:t xml:space="preserve">към 31 декември </w:t>
      </w:r>
      <w:r>
        <w:rPr>
          <w:rFonts w:ascii="Arial" w:hAnsi="Arial"/>
          <w:b/>
          <w:noProof/>
          <w:sz w:val="20"/>
          <w:bdr w:val="nil"/>
        </w:rPr>
        <w:t>2018 г.</w:t>
      </w:r>
    </w:p>
    <w:p>
      <w:pPr>
        <w:pBdr>
          <w:top w:val="nil"/>
          <w:left w:val="nil"/>
          <w:bottom w:val="nil"/>
          <w:right w:val="nil"/>
          <w:between w:val="nil"/>
          <w:bar w:val="nil"/>
        </w:pBdr>
        <w:jc w:val="center"/>
        <w:rPr>
          <w:rFonts w:ascii="Arial" w:hAnsi="Arial"/>
          <w:noProof/>
          <w:sz w:val="16"/>
          <w:szCs w:val="16"/>
          <w:bdr w:val="nil"/>
        </w:rPr>
      </w:pPr>
      <w:r>
        <w:rPr>
          <w:rFonts w:ascii="Arial" w:hAnsi="Arial"/>
          <w:noProof/>
          <w:sz w:val="16"/>
          <w:bdr w:val="nil"/>
        </w:rPr>
        <w:t>(хиляди евро)</w:t>
      </w:r>
    </w:p>
    <w:tbl>
      <w:tblPr>
        <w:tblStyle w:val="CDMRange1"/>
        <w:tblW w:w="9975" w:type="dxa"/>
        <w:tblLayout w:type="fixed"/>
        <w:tblLook w:val="0600" w:firstRow="0" w:lastRow="0" w:firstColumn="0" w:lastColumn="0" w:noHBand="1" w:noVBand="1"/>
      </w:tblPr>
      <w:tblGrid>
        <w:gridCol w:w="6000"/>
        <w:gridCol w:w="975"/>
        <w:gridCol w:w="1500"/>
        <w:gridCol w:w="1500"/>
      </w:tblGrid>
      <w:tr>
        <w:trPr>
          <w:trHeight w:val="270"/>
        </w:trPr>
        <w:tc>
          <w:tcPr>
            <w:tcW w:w="60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1"/>
              <w:rPr>
                <w:rFonts w:ascii="Arial" w:eastAsia="Arial" w:hAnsi="Arial" w:cs="Arial"/>
                <w:b/>
                <w:noProof/>
                <w:color w:val="000000"/>
                <w:sz w:val="16"/>
              </w:rPr>
            </w:pPr>
            <w:r>
              <w:rPr>
                <w:noProof/>
              </w:rPr>
              <w:t xml:space="preserve">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center"/>
              <w:rPr>
                <w:rFonts w:ascii="Arial" w:eastAsia="Arial" w:hAnsi="Arial" w:cs="Arial"/>
                <w:b/>
                <w:noProof/>
                <w:color w:val="000000"/>
                <w:sz w:val="16"/>
              </w:rPr>
            </w:pPr>
            <w:r>
              <w:rPr>
                <w:rFonts w:ascii="Arial" w:hAnsi="Arial"/>
                <w:b/>
                <w:noProof/>
                <w:color w:val="000000"/>
                <w:sz w:val="16"/>
              </w:rPr>
              <w:t>Забележки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color w:val="000000"/>
                <w:sz w:val="16"/>
              </w:rPr>
              <w:t>31.12.2018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color w:val="000000"/>
                <w:sz w:val="16"/>
              </w:rPr>
              <w:t>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hAnsi="Arial"/>
                <w:b/>
                <w:noProof/>
                <w:color w:val="000000"/>
                <w:sz w:val="16"/>
              </w:rPr>
              <w:t>АКТИВИ</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Пари и парични еквиваленти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color w:val="000000"/>
                <w:sz w:val="16"/>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573 708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549 101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Вземания от вносителите</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color w:val="000000"/>
                <w:sz w:val="16"/>
              </w:rPr>
              <w:t>9/17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100 000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150 000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Касови финансови активи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335 140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144 382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Дериватни финансови инструменти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9 873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12 521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Заеми и аванси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1 540 991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1 666 725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Акции и други ценни книжа с променлива доходност</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567 292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497 539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Други активи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color w:val="000000"/>
                <w:sz w:val="16"/>
              </w:rPr>
              <w:t>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171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4 385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1"/>
              <w:rPr>
                <w:rFonts w:ascii="Arial" w:eastAsia="Arial" w:hAnsi="Arial" w:cs="Arial"/>
                <w:b/>
                <w:noProof/>
                <w:color w:val="000000"/>
                <w:sz w:val="16"/>
              </w:rPr>
            </w:pPr>
            <w:r>
              <w:rPr>
                <w:rFonts w:ascii="Arial" w:hAnsi="Arial"/>
                <w:b/>
                <w:noProof/>
                <w:color w:val="000000"/>
                <w:sz w:val="16"/>
              </w:rPr>
              <w:t>Общо активи</w:t>
            </w:r>
          </w:p>
        </w:tc>
        <w:tc>
          <w:tcPr>
            <w:tcW w:w="975" w:type="dxa"/>
            <w:tcBorders>
              <w:top w:val="nil"/>
              <w:left w:val="nil"/>
              <w:bottom w:val="nil"/>
              <w:right w:val="nil"/>
              <w:tl2br w:val="nil"/>
              <w:tr2bl w:val="nil"/>
            </w:tcBorders>
            <w:shd w:val="clear" w:color="FFFFFF" w:fill="C0C0C0"/>
            <w:noWrap/>
            <w:tcMar>
              <w:left w:w="40" w:type="dxa"/>
              <w:right w:w="40" w:type="dxa"/>
            </w:tcMar>
            <w:vAlign w:val="center"/>
          </w:tcPr>
          <w:p>
            <w:pPr>
              <w:pStyle w:val="Normal1"/>
              <w:jc w:val="center"/>
              <w:rPr>
                <w:rFonts w:ascii="Arial" w:eastAsia="Arial" w:hAnsi="Arial" w:cs="Arial"/>
                <w:b/>
                <w:noProof/>
                <w:color w:val="000000"/>
                <w:sz w:val="16"/>
              </w:rPr>
            </w:pPr>
            <w:r>
              <w:rPr>
                <w:rFonts w:ascii="Arial" w:hAnsi="Arial"/>
                <w:b/>
                <w:noProof/>
                <w:color w:val="000000"/>
                <w:sz w:val="16"/>
              </w:rPr>
              <w:t xml:space="preserve">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color w:val="000000"/>
                <w:sz w:val="16"/>
              </w:rPr>
              <w:t>3 127 175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color w:val="000000"/>
                <w:sz w:val="16"/>
              </w:rPr>
              <w:t>3 024 653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hAnsi="Arial"/>
                <w:b/>
                <w:noProof/>
                <w:color w:val="000000"/>
                <w:sz w:val="16"/>
              </w:rPr>
              <w:t>ПАСИВИ И РЕСУРСИ НА ВНОСИТЕЛИТЕ</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hAnsi="Arial"/>
                <w:b/>
                <w:noProof/>
                <w:color w:val="000000"/>
                <w:sz w:val="16"/>
              </w:rPr>
              <w:t>ПАСИВИ</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Дериватни финансови инструменти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8 493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1 153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Приходи за бъдещи периоди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color w:val="000000"/>
                <w:sz w:val="16"/>
              </w:rPr>
              <w:t>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33 764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25 802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Провизии за издадени гаранции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793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484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Провизии за кредитни ангажименти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23 822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Сума, дължима на трети страни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color w:val="000000"/>
                <w:sz w:val="16"/>
              </w:rPr>
              <w:t>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143 813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157 285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Други пасиви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color w:val="000000"/>
                <w:sz w:val="16"/>
              </w:rPr>
              <w:t>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2 493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2 462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hAnsi="Arial"/>
                <w:b/>
                <w:noProof/>
                <w:color w:val="000000"/>
                <w:sz w:val="16"/>
              </w:rPr>
              <w:t>Общо пасиви</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color w:val="000000"/>
                <w:sz w:val="16"/>
              </w:rPr>
              <w:t>213 178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color w:val="000000"/>
                <w:sz w:val="16"/>
              </w:rPr>
              <w:t>187 186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hAnsi="Arial"/>
                <w:b/>
                <w:noProof/>
                <w:color w:val="000000"/>
                <w:sz w:val="16"/>
              </w:rPr>
              <w:t>РЕСУРСИ НА ВНОСИТЕЛИТЕ</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Поискана вноска за механизма от държавите членки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1"/>
              <w:jc w:val="center"/>
              <w:rPr>
                <w:rFonts w:ascii="Arial" w:eastAsia="Arial" w:hAnsi="Arial" w:cs="Arial"/>
                <w:noProof/>
                <w:color w:val="000000"/>
                <w:sz w:val="16"/>
              </w:rPr>
            </w:pPr>
            <w:r>
              <w:rPr>
                <w:rFonts w:ascii="Arial" w:hAnsi="Arial"/>
                <w:noProof/>
                <w:color w:val="000000"/>
                <w:sz w:val="16"/>
              </w:rPr>
              <w:t>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2 697 000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2 517 000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Резерв на справедливата стойност (МСС 39)</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125 816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noProof/>
                <w:color w:val="000000"/>
                <w:sz w:val="16"/>
              </w:rPr>
            </w:pPr>
            <w:r>
              <w:rPr>
                <w:rFonts w:ascii="Arial" w:hAnsi="Arial"/>
                <w:noProof/>
                <w:color w:val="000000"/>
                <w:sz w:val="16"/>
              </w:rPr>
              <w:t>Неразпределена печалба</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216 997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
              <w:jc w:val="right"/>
              <w:rPr>
                <w:rFonts w:ascii="Arial" w:eastAsia="Arial" w:hAnsi="Arial" w:cs="Arial"/>
                <w:noProof/>
                <w:color w:val="000000"/>
                <w:sz w:val="16"/>
              </w:rPr>
            </w:pPr>
            <w:r>
              <w:rPr>
                <w:rFonts w:ascii="Arial" w:hAnsi="Arial"/>
                <w:noProof/>
                <w:color w:val="000000"/>
                <w:sz w:val="16"/>
              </w:rPr>
              <w:t>194 651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1"/>
              <w:rPr>
                <w:rFonts w:ascii="Arial" w:eastAsia="Arial" w:hAnsi="Arial" w:cs="Arial"/>
                <w:b/>
                <w:noProof/>
                <w:color w:val="000000"/>
                <w:sz w:val="16"/>
              </w:rPr>
            </w:pPr>
            <w:r>
              <w:rPr>
                <w:rFonts w:ascii="Arial" w:hAnsi="Arial"/>
                <w:b/>
                <w:noProof/>
                <w:color w:val="000000"/>
                <w:sz w:val="16"/>
              </w:rPr>
              <w:t>Общо ресурси на вносителите</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color w:val="000000"/>
                <w:sz w:val="16"/>
              </w:rPr>
              <w:t>2 913 997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color w:val="000000"/>
                <w:sz w:val="16"/>
              </w:rPr>
              <w:t>2 837 467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1"/>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1"/>
              <w:jc w:val="center"/>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1"/>
              <w:rPr>
                <w:rFonts w:ascii="Arial" w:eastAsia="Arial" w:hAnsi="Arial" w:cs="Arial"/>
                <w:b/>
                <w:noProof/>
                <w:color w:val="000000"/>
                <w:sz w:val="16"/>
              </w:rPr>
            </w:pPr>
            <w:r>
              <w:rPr>
                <w:rFonts w:ascii="Arial" w:hAnsi="Arial"/>
                <w:b/>
                <w:noProof/>
                <w:color w:val="000000"/>
                <w:sz w:val="16"/>
              </w:rPr>
              <w:t>Общо пасиви и ресурси на вносителите</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1"/>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color w:val="000000"/>
                <w:sz w:val="16"/>
              </w:rPr>
              <w:t>3 127 175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
              <w:jc w:val="right"/>
              <w:rPr>
                <w:rFonts w:ascii="Arial" w:eastAsia="Arial" w:hAnsi="Arial" w:cs="Arial"/>
                <w:b/>
                <w:noProof/>
                <w:color w:val="000000"/>
                <w:sz w:val="16"/>
              </w:rPr>
            </w:pPr>
            <w:r>
              <w:rPr>
                <w:rFonts w:ascii="Arial" w:hAnsi="Arial"/>
                <w:b/>
                <w:noProof/>
                <w:color w:val="000000"/>
                <w:sz w:val="16"/>
              </w:rPr>
              <w:t>3 024 653</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 xml:space="preserve">ОТЧЕТ ЗА печалбата или загубата и другия ВСЕОБХВАТЕН ДОХОД </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За годината, ПРИКЛЮЧИЛА НА 31 декември 2018 г.</w:t>
      </w:r>
    </w:p>
    <w:p>
      <w:pP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bdr w:val="nil"/>
        </w:rPr>
        <w:t>(хиляди евро)</w:t>
      </w:r>
    </w:p>
    <w:p>
      <w:pPr>
        <w:pBdr>
          <w:top w:val="nil"/>
          <w:left w:val="nil"/>
          <w:bottom w:val="nil"/>
          <w:right w:val="nil"/>
          <w:between w:val="nil"/>
          <w:bar w:val="nil"/>
        </w:pBdr>
        <w:spacing w:before="60" w:after="60"/>
        <w:rPr>
          <w:rFonts w:ascii="Arial" w:hAnsi="Arial"/>
          <w:noProof/>
          <w:sz w:val="16"/>
          <w:szCs w:val="16"/>
          <w:bdr w:val="nil"/>
        </w:rPr>
      </w:pPr>
      <w:r>
        <w:rPr>
          <w:noProof/>
        </w:rPr>
        <w:t xml:space="preserve"> </w:t>
      </w:r>
    </w:p>
    <w:tbl>
      <w:tblPr>
        <w:tblStyle w:val="CDMRange2"/>
        <w:tblW w:w="9975" w:type="dxa"/>
        <w:tblLayout w:type="fixed"/>
        <w:tblLook w:val="0600" w:firstRow="0" w:lastRow="0" w:firstColumn="0" w:lastColumn="0" w:noHBand="1" w:noVBand="1"/>
      </w:tblPr>
      <w:tblGrid>
        <w:gridCol w:w="6000"/>
        <w:gridCol w:w="975"/>
        <w:gridCol w:w="1500"/>
        <w:gridCol w:w="1500"/>
      </w:tblGrid>
      <w:tr>
        <w:trPr>
          <w:trHeight w:val="255"/>
        </w:trPr>
        <w:tc>
          <w:tcPr>
            <w:tcW w:w="60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
              <w:jc w:val="center"/>
              <w:rPr>
                <w:rFonts w:ascii="Arial" w:eastAsia="Arial" w:hAnsi="Arial" w:cs="Arial"/>
                <w:b/>
                <w:noProof/>
                <w:color w:val="000000"/>
                <w:sz w:val="16"/>
              </w:rPr>
            </w:pPr>
            <w:r>
              <w:rPr>
                <w:rFonts w:ascii="Arial" w:hAnsi="Arial"/>
                <w:b/>
                <w:noProof/>
                <w:color w:val="000000"/>
                <w:sz w:val="16"/>
              </w:rPr>
              <w:t>Забележки</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От 1.1.2018 г.</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От 1.1.2017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rPr>
                <w:noProof/>
                <w:color w:val="000000"/>
                <w:sz w:val="20"/>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jc w:val="center"/>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до 31.12.2018 г.</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до 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Приходи от лихви и други подобни приходи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96 730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101 406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Разходи за лихви и други подобни разходи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-2 539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-2 671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hAnsi="Arial"/>
                <w:b/>
                <w:noProof/>
                <w:color w:val="000000"/>
                <w:sz w:val="16"/>
              </w:rPr>
              <w:t>Нетни лихви и други подобни приходи</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94 191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98,735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Приходи от такси и комисионни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color w:val="000000"/>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284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Разходи за такси и комисионни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color w:val="000000"/>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-106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hAnsi="Arial"/>
                <w:b/>
                <w:noProof/>
                <w:color w:val="000000"/>
                <w:sz w:val="16"/>
              </w:rPr>
              <w:t>Нетни приходи от такси и комисионни</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178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150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 xml:space="preserve">Промяна на справедливата стойност на дериватни финансови инструменти </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-9 987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29,637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Нетен резултат от акции и други ценни книжа с променлива доходност (на разположение за продажба за 2017 г.)</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color w:val="000000"/>
                <w:sz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-10 179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2 711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Нетен резултат от кредити и аванси по FVTPL</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5"/>
              <w:jc w:val="center"/>
              <w:rPr>
                <w:rFonts w:ascii="Arial" w:eastAsia="Arial" w:hAnsi="Arial" w:cs="Arial"/>
                <w:noProof/>
                <w:color w:val="000000"/>
                <w:sz w:val="16"/>
              </w:rPr>
            </w:pPr>
            <w:r>
              <w:rPr>
                <w:rFonts w:ascii="Arial" w:hAnsi="Arial"/>
                <w:noProof/>
                <w:color w:val="000000"/>
                <w:sz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-702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Нетни валутно-курсови загуби</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-32 436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-38,165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hAnsi="Arial"/>
                <w:b/>
                <w:noProof/>
                <w:color w:val="000000"/>
                <w:sz w:val="16"/>
              </w:rPr>
              <w:t>Нетен резултат от финансови операции</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-53 304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-5 817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Промяна в обезценката по заемите и авансите, без корекция</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-22 771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-10 721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Промени в провизиите за гаранции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-485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Изменение в провизиите за кредитни ангажименти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-19 612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Обезценка на финансови активи на разположение за продажба (МСС 39)</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-22 024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Общи административни разходи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color w:val="000000"/>
                <w:sz w:val="16"/>
              </w:rPr>
              <w:t>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-47 799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-45 105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5"/>
              <w:rPr>
                <w:rFonts w:ascii="Arial" w:eastAsia="Arial" w:hAnsi="Arial" w:cs="Arial"/>
                <w:b/>
                <w:noProof/>
                <w:color w:val="000000"/>
                <w:sz w:val="16"/>
              </w:rPr>
            </w:pPr>
            <w:r>
              <w:rPr>
                <w:rFonts w:ascii="Arial" w:hAnsi="Arial"/>
                <w:b/>
                <w:noProof/>
                <w:color w:val="000000"/>
                <w:sz w:val="16"/>
              </w:rPr>
              <w:t>(Загуба)/печалба за годината</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5"/>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-49 602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15 153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hAnsi="Arial"/>
                <w:b/>
                <w:noProof/>
                <w:color w:val="000000"/>
                <w:sz w:val="16"/>
              </w:rPr>
              <w:t>Друг всеобхватен доход:</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jc w:val="both"/>
              <w:rPr>
                <w:rFonts w:ascii="Arial" w:eastAsia="Arial" w:hAnsi="Arial" w:cs="Arial"/>
                <w:i/>
                <w:noProof/>
                <w:color w:val="000000"/>
                <w:sz w:val="16"/>
              </w:rPr>
            </w:pPr>
            <w:r>
              <w:rPr>
                <w:rFonts w:ascii="Arial" w:hAnsi="Arial"/>
                <w:i/>
                <w:noProof/>
                <w:color w:val="000000"/>
                <w:sz w:val="16"/>
              </w:rPr>
              <w:t>Позиции, които са или могат да бъдат преквалифицирани като печалба или загуба:</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Финансови активи на разположение за продажба — резерв на справедливата стойност (МСС 39)</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5"/>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1. Нетна промяна в справедливата стойност на финансовите активи на разположение за продажба</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-31 034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2. Нетна сума, прехвърлена към печалбата или загубата</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noProof/>
                <w:color w:val="000000"/>
                <w:sz w:val="16"/>
              </w:rPr>
            </w:pPr>
            <w:r>
              <w:rPr>
                <w:rFonts w:ascii="Arial" w:hAnsi="Arial"/>
                <w:noProof/>
                <w:color w:val="000000"/>
                <w:sz w:val="16"/>
              </w:rPr>
              <w:t>13 966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b/>
                <w:noProof/>
                <w:color w:val="000000"/>
                <w:sz w:val="16"/>
              </w:rPr>
            </w:pPr>
            <w:r>
              <w:rPr>
                <w:rFonts w:ascii="Arial" w:hAnsi="Arial"/>
                <w:b/>
                <w:noProof/>
                <w:color w:val="000000"/>
                <w:sz w:val="16"/>
              </w:rPr>
              <w:t>Общо финансови активи на разположение за продажба</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-17 068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0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noWrap/>
            <w:tcMar>
              <w:left w:w="40" w:type="dxa"/>
              <w:right w:w="40" w:type="dxa"/>
            </w:tcMar>
            <w:vAlign w:val="bottom"/>
          </w:tcPr>
          <w:p>
            <w:pPr>
              <w:pStyle w:val="Normal5"/>
              <w:rPr>
                <w:rFonts w:ascii="Arial" w:eastAsia="Arial" w:hAnsi="Arial" w:cs="Arial"/>
                <w:b/>
                <w:noProof/>
                <w:color w:val="000000"/>
                <w:sz w:val="16"/>
              </w:rPr>
            </w:pPr>
            <w:r>
              <w:rPr>
                <w:rFonts w:ascii="Arial" w:hAnsi="Arial"/>
                <w:b/>
                <w:noProof/>
                <w:color w:val="000000"/>
                <w:sz w:val="16"/>
              </w:rPr>
              <w:t>Общ друг всеобхватен доход (загуба)</w:t>
            </w: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-17 068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5"/>
              <w:rPr>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5"/>
              <w:rPr>
                <w:rFonts w:ascii="Arial" w:eastAsia="Arial" w:hAnsi="Arial" w:cs="Arial"/>
                <w:b/>
                <w:noProof/>
                <w:color w:val="000000"/>
                <w:sz w:val="16"/>
              </w:rPr>
            </w:pPr>
            <w:r>
              <w:rPr>
                <w:rFonts w:ascii="Arial" w:hAnsi="Arial"/>
                <w:b/>
                <w:noProof/>
                <w:color w:val="000000"/>
                <w:sz w:val="16"/>
              </w:rPr>
              <w:t>Общ всеобхватен доход (загуба) за годината</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5"/>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-49 602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
              <w:jc w:val="right"/>
              <w:rPr>
                <w:rFonts w:ascii="Arial" w:eastAsia="Arial" w:hAnsi="Arial" w:cs="Arial"/>
                <w:b/>
                <w:noProof/>
                <w:color w:val="000000"/>
                <w:sz w:val="16"/>
              </w:rPr>
            </w:pPr>
            <w:r>
              <w:rPr>
                <w:rFonts w:ascii="Arial" w:hAnsi="Arial"/>
                <w:b/>
                <w:noProof/>
                <w:color w:val="000000"/>
                <w:sz w:val="16"/>
              </w:rPr>
              <w:t>-1 915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9975" w:type="dxa"/>
            <w:gridSpan w:val="4"/>
            <w:tcBorders>
              <w:top w:val="nil"/>
              <w:left w:val="nil"/>
              <w:bottom w:val="nil"/>
              <w:right w:val="nil"/>
              <w:tl2br w:val="nil"/>
              <w:tr2bl w:val="nil"/>
            </w:tcBorders>
            <w:shd w:val="clear" w:color="auto" w:fill="auto"/>
            <w:tcMar>
              <w:left w:w="40" w:type="dxa"/>
              <w:right w:w="40" w:type="dxa"/>
            </w:tcMar>
            <w:vAlign w:val="center"/>
          </w:tcPr>
          <w:p>
            <w:pPr>
              <w:pStyle w:val="Normal5"/>
              <w:rPr>
                <w:rFonts w:ascii="Arial" w:eastAsia="Arial" w:hAnsi="Arial" w:cs="Arial"/>
                <w:noProof/>
                <w:color w:val="000000"/>
                <w:sz w:val="16"/>
              </w:rPr>
            </w:pPr>
            <w:r>
              <w:rPr>
                <w:rFonts w:ascii="Arial" w:hAnsi="Arial"/>
                <w:noProof/>
                <w:color w:val="000000"/>
                <w:sz w:val="16"/>
              </w:rPr>
              <w:t>(1) За годината, приключила на 31 декември 2018 г., лихвите и подобните приходи включват 96,7 милиона евро, изчислени за активите, държани по амортизирана стойност, въз основа на метода на ефективния лихвен процент.</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ОТЧЕТ ЗА ПРОМЕНИТЕ В РЕСУРСИ НА ВНОСИТЕЛИТЕ</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ЗА ГОДИНАТА, ПРИКЛЮЧИЛА НА 31 декември 2018 г.</w:t>
      </w:r>
    </w:p>
    <w:p>
      <w:pPr>
        <w:pStyle w:val="Header"/>
        <w:pBdr>
          <w:top w:val="nil"/>
          <w:left w:val="nil"/>
          <w:bottom w:val="nil"/>
          <w:right w:val="nil"/>
          <w:between w:val="nil"/>
          <w:bar w:val="nil"/>
        </w:pBdr>
        <w:suppressAutoHyphens/>
        <w:spacing w:before="60" w:after="60"/>
        <w:jc w:val="center"/>
        <w:rPr>
          <w:rFonts w:ascii="Arial" w:hAnsi="Arial"/>
          <w:noProof/>
          <w:sz w:val="16"/>
          <w:szCs w:val="16"/>
          <w:bdr w:val="nil"/>
        </w:rPr>
      </w:pPr>
      <w:r>
        <w:rPr>
          <w:rFonts w:ascii="Arial" w:hAnsi="Arial"/>
          <w:noProof/>
          <w:sz w:val="16"/>
          <w:bdr w:val="nil"/>
        </w:rPr>
        <w:t>(хиляди евро)</w:t>
      </w:r>
    </w:p>
    <w:p>
      <w:pPr>
        <w:pBdr>
          <w:top w:val="nil"/>
          <w:left w:val="nil"/>
          <w:bottom w:val="nil"/>
          <w:right w:val="nil"/>
          <w:between w:val="nil"/>
          <w:bar w:val="nil"/>
        </w:pBdr>
        <w:rPr>
          <w:rFonts w:ascii="Arial" w:hAnsi="Arial"/>
          <w:noProof/>
          <w:sz w:val="16"/>
          <w:szCs w:val="16"/>
          <w:bdr w:val="nil"/>
        </w:rPr>
      </w:pPr>
      <w:r>
        <w:rPr>
          <w:noProof/>
        </w:rPr>
        <w:t xml:space="preserve"> </w:t>
      </w:r>
    </w:p>
    <w:tbl>
      <w:tblPr>
        <w:tblStyle w:val="CDMRange10"/>
        <w:tblW w:w="9975" w:type="dxa"/>
        <w:tblLayout w:type="fixed"/>
        <w:tblLook w:val="0600" w:firstRow="0" w:lastRow="0" w:firstColumn="0" w:lastColumn="0" w:noHBand="1" w:noVBand="1"/>
      </w:tblPr>
      <w:tblGrid>
        <w:gridCol w:w="4350"/>
        <w:gridCol w:w="1125"/>
        <w:gridCol w:w="1125"/>
        <w:gridCol w:w="1125"/>
        <w:gridCol w:w="1125"/>
        <w:gridCol w:w="1125"/>
      </w:tblGrid>
      <w:tr>
        <w:trPr>
          <w:trHeight w:val="465"/>
        </w:trPr>
        <w:tc>
          <w:tcPr>
            <w:tcW w:w="43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Поискани вноски</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Резерв на справедливата стойност *</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Неразпределена печалба *</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 xml:space="preserve">Общо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rPr>
                <w:rFonts w:ascii="Arial" w:eastAsia="Arial" w:hAnsi="Arial" w:cs="Arial"/>
                <w:b/>
                <w:noProof/>
                <w:color w:val="000000"/>
                <w:sz w:val="16"/>
              </w:rPr>
            </w:pPr>
            <w:r>
              <w:rPr>
                <w:rFonts w:ascii="Arial" w:hAnsi="Arial"/>
                <w:b/>
                <w:noProof/>
                <w:color w:val="000000"/>
                <w:sz w:val="16"/>
              </w:rPr>
              <w:t>Към 1 януари 2018 г.</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center"/>
              <w:rPr>
                <w:rFonts w:ascii="Arial" w:eastAsia="Arial" w:hAnsi="Arial" w:cs="Arial"/>
                <w:b/>
                <w:noProof/>
                <w:color w:val="000000"/>
                <w:sz w:val="16"/>
              </w:rPr>
            </w:pPr>
            <w:r>
              <w:rPr>
                <w:rFonts w:ascii="Arial" w:hAnsi="Arial"/>
                <w:b/>
                <w:noProof/>
                <w:color w:val="000000"/>
                <w:sz w:val="16"/>
              </w:rPr>
              <w:t>Забележки</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2 517 000</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266 599</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2 783 599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bottom"/>
          </w:tcPr>
          <w:p>
            <w:pPr>
              <w:pStyle w:val="Normal6"/>
              <w:rPr>
                <w:rFonts w:ascii="Arial" w:eastAsia="Arial" w:hAnsi="Arial" w:cs="Arial"/>
                <w:noProof/>
                <w:color w:val="000000"/>
                <w:sz w:val="16"/>
              </w:rPr>
            </w:pPr>
            <w:r>
              <w:rPr>
                <w:rFonts w:ascii="Arial" w:hAnsi="Arial"/>
                <w:noProof/>
                <w:color w:val="000000"/>
                <w:sz w:val="16"/>
              </w:rPr>
              <w:t>Вноска на държавите членки, поискана през годината</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center"/>
              <w:rPr>
                <w:rFonts w:ascii="Arial" w:eastAsia="Arial" w:hAnsi="Arial" w:cs="Arial"/>
                <w:noProof/>
                <w:color w:val="000000"/>
                <w:sz w:val="16"/>
              </w:rPr>
            </w:pPr>
            <w:r>
              <w:rPr>
                <w:rFonts w:ascii="Arial" w:hAnsi="Arial"/>
                <w:noProof/>
                <w:color w:val="000000"/>
                <w:sz w:val="16"/>
              </w:rPr>
              <w:t>17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180 000</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right"/>
              <w:rPr>
                <w:rFonts w:ascii="Arial" w:eastAsia="Arial" w:hAnsi="Arial" w:cs="Arial"/>
                <w:noProof/>
                <w:color w:val="000000"/>
                <w:sz w:val="16"/>
              </w:rPr>
            </w:pPr>
            <w:r>
              <w:rPr>
                <w:rFonts w:ascii="Arial" w:hAnsi="Arial"/>
                <w:noProof/>
                <w:color w:val="000000"/>
                <w:sz w:val="16"/>
              </w:rPr>
              <w:t>180 000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noProof/>
                <w:color w:val="000000"/>
                <w:sz w:val="16"/>
              </w:rPr>
            </w:pPr>
            <w:r>
              <w:rPr>
                <w:rFonts w:ascii="Arial" w:hAnsi="Arial"/>
                <w:noProof/>
                <w:color w:val="000000"/>
                <w:sz w:val="16"/>
              </w:rPr>
              <w:t>Загуба за 2018 г.</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-49 602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-49 602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b/>
                <w:noProof/>
                <w:color w:val="000000"/>
                <w:sz w:val="16"/>
              </w:rPr>
            </w:pPr>
            <w:r>
              <w:rPr>
                <w:rFonts w:ascii="Arial" w:hAnsi="Arial"/>
                <w:b/>
                <w:noProof/>
                <w:color w:val="000000"/>
                <w:sz w:val="16"/>
              </w:rPr>
              <w:t>Промени в ресурсите на вносителите</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180 000</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-49 602</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130 398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pPr>
              <w:pStyle w:val="Normal6"/>
              <w:rPr>
                <w:rFonts w:ascii="Arial" w:eastAsia="Arial" w:hAnsi="Arial" w:cs="Arial"/>
                <w:b/>
                <w:noProof/>
                <w:color w:val="000000"/>
                <w:sz w:val="16"/>
              </w:rPr>
            </w:pPr>
            <w:r>
              <w:rPr>
                <w:rFonts w:ascii="Arial" w:hAnsi="Arial"/>
                <w:b/>
                <w:noProof/>
                <w:color w:val="000000"/>
                <w:sz w:val="16"/>
              </w:rPr>
              <w:t>Към 31 декември 2018 г.</w:t>
            </w:r>
          </w:p>
        </w:tc>
        <w:tc>
          <w:tcPr>
            <w:tcW w:w="1125" w:type="dxa"/>
            <w:tcBorders>
              <w:top w:val="nil"/>
              <w:left w:val="nil"/>
              <w:bottom w:val="nil"/>
              <w:right w:val="nil"/>
              <w:tl2br w:val="nil"/>
              <w:tr2bl w:val="nil"/>
            </w:tcBorders>
            <w:shd w:val="clear" w:color="FFFFFF" w:fill="BFBFBF"/>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2 697 000</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216 997</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2 913 997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3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Поискани вноски</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 xml:space="preserve">Резерв на справедливата стойност </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 xml:space="preserve">Неразпределена печалба </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 xml:space="preserve">Общо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rPr>
                <w:rFonts w:ascii="Arial" w:eastAsia="Arial" w:hAnsi="Arial" w:cs="Arial"/>
                <w:b/>
                <w:noProof/>
                <w:color w:val="000000"/>
                <w:sz w:val="16"/>
              </w:rPr>
            </w:pPr>
            <w:r>
              <w:rPr>
                <w:rFonts w:ascii="Arial" w:hAnsi="Arial"/>
                <w:b/>
                <w:noProof/>
                <w:color w:val="000000"/>
                <w:sz w:val="16"/>
              </w:rPr>
              <w:t>Към 1 януари 2017 г.</w:t>
            </w: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2 377 000</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142 884</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179 498</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2 699 382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noProof/>
                <w:color w:val="000000"/>
                <w:sz w:val="16"/>
              </w:rPr>
            </w:pPr>
            <w:r>
              <w:rPr>
                <w:rFonts w:ascii="Arial" w:hAnsi="Arial"/>
                <w:noProof/>
                <w:color w:val="000000"/>
                <w:sz w:val="16"/>
              </w:rPr>
              <w:t>Вноска на държавите членки, поискана през годината</w:t>
            </w:r>
          </w:p>
        </w:tc>
        <w:tc>
          <w:tcPr>
            <w:tcW w:w="1125" w:type="dxa"/>
            <w:tcBorders>
              <w:top w:val="nil"/>
              <w:left w:val="nil"/>
              <w:bottom w:val="nil"/>
              <w:right w:val="nil"/>
              <w:tl2br w:val="nil"/>
              <w:tr2bl w:val="nil"/>
            </w:tcBorders>
            <w:shd w:val="clear" w:color="auto" w:fill="auto"/>
            <w:tcMar>
              <w:left w:w="40" w:type="dxa"/>
              <w:right w:w="40" w:type="dxa"/>
            </w:tcMar>
            <w:vAlign w:val="bottom"/>
          </w:tcPr>
          <w:p>
            <w:pPr>
              <w:pStyle w:val="Normal6"/>
              <w:jc w:val="center"/>
              <w:rPr>
                <w:rFonts w:ascii="Arial" w:eastAsia="Arial" w:hAnsi="Arial" w:cs="Arial"/>
                <w:noProof/>
                <w:color w:val="000000"/>
                <w:sz w:val="16"/>
              </w:rPr>
            </w:pPr>
            <w:r>
              <w:rPr>
                <w:rFonts w:ascii="Arial" w:hAnsi="Arial"/>
                <w:noProof/>
                <w:color w:val="000000"/>
                <w:sz w:val="16"/>
              </w:rPr>
              <w:t>17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140 000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140 000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noProof/>
                <w:color w:val="000000"/>
                <w:sz w:val="16"/>
              </w:rPr>
            </w:pPr>
            <w:r>
              <w:rPr>
                <w:rFonts w:ascii="Arial" w:hAnsi="Arial"/>
                <w:noProof/>
                <w:color w:val="000000"/>
                <w:sz w:val="16"/>
              </w:rPr>
              <w:t>Печалба за 2017 г.</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15 153</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15 153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noProof/>
                <w:color w:val="000000"/>
                <w:sz w:val="16"/>
              </w:rPr>
            </w:pPr>
            <w:r>
              <w:rPr>
                <w:rFonts w:ascii="Arial" w:hAnsi="Arial"/>
                <w:noProof/>
                <w:color w:val="000000"/>
                <w:sz w:val="16"/>
              </w:rPr>
              <w:t>Общ друг всеобхватен доход за годината*</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-17 068</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6"/>
              <w:jc w:val="right"/>
              <w:rPr>
                <w:rFonts w:ascii="Arial" w:eastAsia="Arial" w:hAnsi="Arial" w:cs="Arial"/>
                <w:noProof/>
                <w:color w:val="000000"/>
                <w:sz w:val="16"/>
              </w:rPr>
            </w:pPr>
            <w:r>
              <w:rPr>
                <w:rFonts w:ascii="Arial" w:hAnsi="Arial"/>
                <w:noProof/>
                <w:color w:val="000000"/>
                <w:sz w:val="16"/>
              </w:rPr>
              <w:t>-17 068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350" w:type="dxa"/>
            <w:tcBorders>
              <w:top w:val="nil"/>
              <w:left w:val="nil"/>
              <w:bottom w:val="nil"/>
              <w:right w:val="nil"/>
              <w:tl2br w:val="nil"/>
              <w:tr2bl w:val="nil"/>
            </w:tcBorders>
            <w:shd w:val="clear" w:color="auto" w:fill="auto"/>
            <w:tcMar>
              <w:left w:w="40" w:type="dxa"/>
              <w:right w:w="40" w:type="dxa"/>
            </w:tcMar>
            <w:vAlign w:val="center"/>
          </w:tcPr>
          <w:p>
            <w:pPr>
              <w:pStyle w:val="Normal6"/>
              <w:rPr>
                <w:rFonts w:ascii="Arial" w:eastAsia="Arial" w:hAnsi="Arial" w:cs="Arial"/>
                <w:b/>
                <w:noProof/>
                <w:color w:val="000000"/>
                <w:sz w:val="16"/>
              </w:rPr>
            </w:pPr>
            <w:r>
              <w:rPr>
                <w:rFonts w:ascii="Arial" w:hAnsi="Arial"/>
                <w:b/>
                <w:noProof/>
                <w:color w:val="000000"/>
                <w:sz w:val="16"/>
              </w:rPr>
              <w:t>Промени в ресурсите на вносителите</w:t>
            </w: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140 000</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-17 068</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15 153</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138 085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auto" w:fill="auto"/>
            <w:tcMar>
              <w:left w:w="0" w:type="dxa"/>
              <w:right w:w="0" w:type="dxa"/>
            </w:tcMar>
            <w:vAlign w:val="center"/>
          </w:tcPr>
          <w:p>
            <w:pPr>
              <w:pStyle w:val="Normal6"/>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6"/>
              <w:jc w:val="center"/>
              <w:rPr>
                <w:rFonts w:ascii="Arial" w:eastAsia="Arial" w:hAnsi="Arial" w:cs="Arial"/>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pPr>
              <w:pStyle w:val="Normal6"/>
              <w:rPr>
                <w:rFonts w:ascii="Arial" w:eastAsia="Arial" w:hAnsi="Arial" w:cs="Arial"/>
                <w:b/>
                <w:noProof/>
                <w:color w:val="000000"/>
                <w:sz w:val="16"/>
              </w:rPr>
            </w:pPr>
            <w:r>
              <w:rPr>
                <w:rFonts w:ascii="Arial" w:hAnsi="Arial"/>
                <w:b/>
                <w:noProof/>
                <w:color w:val="000000"/>
                <w:sz w:val="16"/>
              </w:rPr>
              <w:t>Към 31 декември 2017 г.</w:t>
            </w:r>
          </w:p>
        </w:tc>
        <w:tc>
          <w:tcPr>
            <w:tcW w:w="1125" w:type="dxa"/>
            <w:tcBorders>
              <w:top w:val="nil"/>
              <w:left w:val="nil"/>
              <w:bottom w:val="nil"/>
              <w:right w:val="nil"/>
              <w:tl2br w:val="nil"/>
              <w:tr2bl w:val="nil"/>
            </w:tcBorders>
            <w:shd w:val="clear" w:color="FFFFFF" w:fill="BFBFBF"/>
            <w:tcMar>
              <w:left w:w="0" w:type="dxa"/>
              <w:right w:w="0" w:type="dxa"/>
            </w:tcMar>
            <w:vAlign w:val="center"/>
          </w:tcPr>
          <w:p>
            <w:pPr>
              <w:pStyle w:val="Normal6"/>
              <w:jc w:val="center"/>
              <w:rPr>
                <w:rFonts w:ascii="Arial" w:eastAsia="Arial" w:hAnsi="Arial" w:cs="Arial"/>
                <w:b/>
                <w:noProof/>
                <w:color w:val="000000"/>
                <w:sz w:val="16"/>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2 517 000</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125 816</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194 651</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pStyle w:val="Normal6"/>
              <w:jc w:val="right"/>
              <w:rPr>
                <w:rFonts w:ascii="Arial" w:eastAsia="Arial" w:hAnsi="Arial" w:cs="Arial"/>
                <w:b/>
                <w:noProof/>
                <w:color w:val="000000"/>
                <w:sz w:val="16"/>
              </w:rPr>
            </w:pPr>
            <w:r>
              <w:rPr>
                <w:rFonts w:ascii="Arial" w:hAnsi="Arial"/>
                <w:b/>
                <w:noProof/>
                <w:color w:val="000000"/>
                <w:sz w:val="16"/>
              </w:rPr>
              <w:t>2 837 467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3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975" w:type="dxa"/>
            <w:gridSpan w:val="6"/>
            <w:vMerge w:val="restart"/>
            <w:tcBorders>
              <w:top w:val="nil"/>
              <w:left w:val="nil"/>
              <w:bottom w:val="nil"/>
              <w:right w:val="nil"/>
              <w:tl2br w:val="nil"/>
              <w:tr2bl w:val="nil"/>
            </w:tcBorders>
            <w:shd w:val="clear" w:color="auto" w:fill="auto"/>
            <w:tcMar>
              <w:left w:w="40" w:type="dxa"/>
              <w:right w:w="40" w:type="dxa"/>
            </w:tcMar>
          </w:tcPr>
          <w:p>
            <w:pPr>
              <w:pStyle w:val="Normal6"/>
              <w:jc w:val="both"/>
              <w:rPr>
                <w:rFonts w:ascii="Arial" w:eastAsia="Arial" w:hAnsi="Arial" w:cs="Arial"/>
                <w:noProof/>
                <w:color w:val="000000"/>
                <w:sz w:val="16"/>
              </w:rPr>
            </w:pPr>
            <w:r>
              <w:rPr>
                <w:rFonts w:ascii="Arial" w:hAnsi="Arial"/>
                <w:noProof/>
                <w:color w:val="000000"/>
                <w:sz w:val="16"/>
              </w:rPr>
              <w:t>*Към 31 декември 2017 г. механизмът бе класифицирал капиталовите инвестиции като налични за продажба, а от 1 януари 2018 г. — с приемането на МСФО 9, механизмът прекласифицира капиталовите инвестиции като акции и други ценни книжа с променлива доходност, измерени по FVTPL. Свързаният с това резерв на справедливата стойност от 125 816 000 EUR към 31 декември 2017 г. бе освободен срещу неразпределената печалба на механизма като корекция на началното салдо (бележка 2.5). Освен това в началното салдо на неразпределената печалба за 2018 г. бяха включени 49 712 000 EUR, представляващи обезценката на ОКЗ, призната за изпълнението на етапи 1 и 2 от операциите по дълговия портфейл, както и 4 156 000 EUR провизия за ОКЗ, свързана с непредоставени експозиции за изпълнението на етапи 1 и 2 от операциите по дълговия портфейл. За подробно равнение вж. бележка 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975" w:type="dxa"/>
            <w:gridSpan w:val="6"/>
            <w:vMerge/>
            <w:tcBorders>
              <w:top w:val="nil"/>
              <w:left w:val="nil"/>
              <w:bottom w:val="nil"/>
              <w:right w:val="nil"/>
              <w:tl2br w:val="nil"/>
              <w:tr2bl w:val="nil"/>
            </w:tcBorders>
            <w:shd w:val="clear" w:color="auto" w:fill="auto"/>
            <w:tcMar>
              <w:left w:w="0" w:type="dxa"/>
              <w:right w:w="0" w:type="dxa"/>
            </w:tcMar>
          </w:tcPr>
          <w:p>
            <w:pPr>
              <w:pStyle w:val="Normal6"/>
              <w:jc w:val="both"/>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975" w:type="dxa"/>
            <w:gridSpan w:val="6"/>
            <w:vMerge/>
            <w:tcBorders>
              <w:top w:val="nil"/>
              <w:left w:val="nil"/>
              <w:bottom w:val="nil"/>
              <w:right w:val="nil"/>
              <w:tl2br w:val="nil"/>
              <w:tr2bl w:val="nil"/>
            </w:tcBorders>
            <w:shd w:val="clear" w:color="auto" w:fill="auto"/>
            <w:tcMar>
              <w:left w:w="0" w:type="dxa"/>
              <w:right w:w="0" w:type="dxa"/>
            </w:tcMar>
          </w:tcPr>
          <w:p>
            <w:pPr>
              <w:pStyle w:val="Normal6"/>
              <w:jc w:val="both"/>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9975" w:type="dxa"/>
            <w:gridSpan w:val="6"/>
            <w:vMerge/>
            <w:tcBorders>
              <w:top w:val="nil"/>
              <w:left w:val="nil"/>
              <w:bottom w:val="nil"/>
              <w:right w:val="nil"/>
              <w:tl2br w:val="nil"/>
              <w:tr2bl w:val="nil"/>
            </w:tcBorders>
            <w:shd w:val="clear" w:color="auto" w:fill="auto"/>
            <w:tcMar>
              <w:left w:w="0" w:type="dxa"/>
              <w:right w:w="0" w:type="dxa"/>
            </w:tcMar>
          </w:tcPr>
          <w:p>
            <w:pPr>
              <w:pStyle w:val="Normal6"/>
              <w:jc w:val="both"/>
              <w:rPr>
                <w:rFonts w:ascii="Arial" w:eastAsia="Arial" w:hAnsi="Arial" w:cs="Arial"/>
                <w:noProof/>
                <w:color w:val="000000"/>
                <w:sz w:val="16"/>
              </w:rPr>
            </w:pP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ОТЧЕТИ ЗА ПАРИЧНИТЕ ПОТОЦИ</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ЗА ГОДИНАТА, ПРИКЛЮЧИЛА НА 31 декември 2018 г.</w:t>
      </w:r>
    </w:p>
    <w:p>
      <w:pPr>
        <w:pStyle w:val="Header"/>
        <w:pBdr>
          <w:top w:val="nil"/>
          <w:left w:val="nil"/>
          <w:bottom w:val="nil"/>
          <w:right w:val="nil"/>
          <w:between w:val="nil"/>
          <w:bar w:val="nil"/>
        </w:pBdr>
        <w:suppressAutoHyphens/>
        <w:spacing w:before="60" w:after="60"/>
        <w:jc w:val="center"/>
        <w:rPr>
          <w:rFonts w:ascii="Arial" w:hAnsi="Arial"/>
          <w:noProof/>
          <w:sz w:val="16"/>
          <w:szCs w:val="16"/>
          <w:bdr w:val="nil"/>
        </w:rPr>
      </w:pPr>
      <w:r>
        <w:rPr>
          <w:rFonts w:ascii="Arial" w:hAnsi="Arial"/>
          <w:noProof/>
          <w:sz w:val="16"/>
          <w:bdr w:val="nil"/>
        </w:rPr>
        <w:t>(хиляди евро)</w:t>
      </w:r>
    </w:p>
    <w:p>
      <w:pPr>
        <w:pBdr>
          <w:top w:val="nil"/>
          <w:left w:val="nil"/>
          <w:bottom w:val="nil"/>
          <w:right w:val="nil"/>
          <w:between w:val="nil"/>
          <w:bar w:val="nil"/>
        </w:pBdr>
        <w:jc w:val="center"/>
        <w:rPr>
          <w:rFonts w:ascii="Arial" w:hAnsi="Arial"/>
          <w:noProof/>
          <w:sz w:val="16"/>
          <w:szCs w:val="16"/>
          <w:bdr w:val="nil"/>
        </w:rPr>
      </w:pPr>
      <w:r>
        <w:rPr>
          <w:noProof/>
        </w:rPr>
        <w:t xml:space="preserve"> </w:t>
      </w:r>
    </w:p>
    <w:tbl>
      <w:tblPr>
        <w:tblStyle w:val="CDMRange20"/>
        <w:tblW w:w="9975" w:type="dxa"/>
        <w:tblLayout w:type="fixed"/>
        <w:tblLook w:val="0600" w:firstRow="0" w:lastRow="0" w:firstColumn="0" w:lastColumn="0" w:noHBand="1" w:noVBand="1"/>
      </w:tblPr>
      <w:tblGrid>
        <w:gridCol w:w="7125"/>
        <w:gridCol w:w="600"/>
        <w:gridCol w:w="1125"/>
        <w:gridCol w:w="1125"/>
      </w:tblGrid>
      <w:tr>
        <w:trPr>
          <w:trHeight w:val="660"/>
        </w:trPr>
        <w:tc>
          <w:tcPr>
            <w:tcW w:w="7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rPr>
                <w:noProof/>
                <w:color w:val="000000"/>
                <w:sz w:val="20"/>
              </w:rPr>
            </w:pPr>
          </w:p>
        </w:tc>
        <w:tc>
          <w:tcPr>
            <w:tcW w:w="6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center"/>
              <w:rPr>
                <w:rFonts w:ascii="Arial" w:eastAsia="Arial" w:hAnsi="Arial" w:cs="Arial"/>
                <w:b/>
                <w:noProof/>
                <w:color w:val="000000"/>
                <w:sz w:val="16"/>
              </w:rPr>
            </w:pPr>
            <w:r>
              <w:rPr>
                <w:rFonts w:ascii="Arial" w:hAnsi="Arial"/>
                <w:b/>
                <w:noProof/>
                <w:color w:val="000000"/>
                <w:sz w:val="16"/>
              </w:rPr>
              <w:t>Забележки</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От 1.1.2018 г. до 31.12.2018 г.</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От 1.1.2017 г. до 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7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hAnsi="Arial"/>
                <w:b/>
                <w:noProof/>
                <w:color w:val="000000"/>
                <w:sz w:val="16"/>
              </w:rPr>
              <w:t>ОПЕРАТИВНИ ДЕЙНОСТИ</w:t>
            </w:r>
          </w:p>
        </w:tc>
        <w:tc>
          <w:tcPr>
            <w:tcW w:w="6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(Загуба)/Печалба за финансовата година</w:t>
            </w:r>
          </w:p>
        </w:tc>
        <w:tc>
          <w:tcPr>
            <w:tcW w:w="6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-49 602</w:t>
            </w: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15 153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 xml:space="preserve">Корекции, направени за: </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Обезценка на финансови активи на разположение за продажба (МСС 39)</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8</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22 024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Нетен резултат по справедлива стойност от акции и други ценни книжа с променлива доходност</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20 665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Промяна в обезценката по заемите и авансите, без корекция</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22 771</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10 721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noWrap/>
            <w:tcMar>
              <w:left w:w="40" w:type="dxa"/>
              <w:right w:w="40" w:type="dxa"/>
            </w:tcMar>
            <w:vAlign w:val="bottom"/>
          </w:tcPr>
          <w:p>
            <w:pPr>
              <w:pStyle w:val="Normal7"/>
              <w:rPr>
                <w:rFonts w:ascii="Arial" w:eastAsia="Arial" w:hAnsi="Arial" w:cs="Arial"/>
                <w:noProof/>
                <w:color w:val="000000"/>
                <w:sz w:val="16"/>
              </w:rPr>
            </w:pPr>
            <w:r>
              <w:rPr>
                <w:rFonts w:ascii="Arial" w:hAnsi="Arial"/>
                <w:noProof/>
                <w:color w:val="000000"/>
                <w:sz w:val="16"/>
              </w:rPr>
              <w:t>Нетен резултат от кредити и аванси по FVTPL</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702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Промяна в начислената лихва и амортизираната стойност на заеми и аванси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-1 833</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-1 198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Нетна промяна в провизиите за издадени гаранции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13</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309</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-141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Нетно изменение в провизиите за кредитни ангажименти</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19 666</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Промяна в начислената лихва и амортизираната стойност на касовите финансови активи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10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-1 645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-398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Промяна в приходите за бъдещи периоди</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7 962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-481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 xml:space="preserve">Въздействие на промените във валутния курс върху заемите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-44 927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168 304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Влияние на промените във валутния курс върху акциите и другите ценни книжа с променлива доходност</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-17 300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-1 655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 xml:space="preserve">Въздействие на промените във валутния курс върху касовите наличности </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2 561</w:t>
            </w: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-6 473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hAnsi="Arial"/>
                <w:b/>
                <w:noProof/>
                <w:color w:val="000000"/>
                <w:sz w:val="16"/>
              </w:rPr>
              <w:t>Загуба от оперативни дейности преди промените в оперативните активи и пасиви</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-40 671</w:t>
            </w: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205 856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Отпускане на заеми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-259 214</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-368 662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Изплащане на заеми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354 855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253 486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Промяна в начислените лихви по пари и парични еквиваленти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5</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-178</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 xml:space="preserve">Промени в справедливата стойност на деривати </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9 987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-29 637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(Намаление) на касовите финансови активи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10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-2 219 062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-1 084 149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Падежи на касовите финансови активи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10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2 026 659</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1 109 563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(Увеличение) на акциите и другите ценни книжа с променлива доходност</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8</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-95 434</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-62 660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Възстановявания/продажби на акции и други ценни книжа с променлива доходност</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32 802</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44 568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(Увеличение) на други активи</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-4 214</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-4 040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(Намаление)/увеличение на други пасиви</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31</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Увеличение на суми, платими на Европейската инвестиционна банка</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2 168</w:t>
            </w: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2 202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hAnsi="Arial"/>
                <w:b/>
                <w:noProof/>
                <w:color w:val="000000"/>
                <w:sz w:val="16"/>
              </w:rPr>
              <w:t>Нетни парични потоци, използвани в/от оперативни дейности</w:t>
            </w:r>
          </w:p>
        </w:tc>
        <w:tc>
          <w:tcPr>
            <w:tcW w:w="6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-192 271</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66 506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hAnsi="Arial"/>
                <w:b/>
                <w:noProof/>
                <w:color w:val="000000"/>
                <w:sz w:val="16"/>
              </w:rPr>
              <w:t>ФИНАНСОВИ ДЕЙНОСТИ</w:t>
            </w:r>
          </w:p>
        </w:tc>
        <w:tc>
          <w:tcPr>
            <w:tcW w:w="6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jc w:val="right"/>
              <w:rPr>
                <w:rFonts w:ascii="Arial" w:eastAsia="Arial" w:hAnsi="Arial" w:cs="Arial"/>
                <w:b/>
                <w:noProof/>
                <w:color w:val="000000"/>
                <w:sz w:val="16"/>
              </w:rPr>
            </w:pPr>
          </w:p>
        </w:tc>
        <w:tc>
          <w:tcPr>
            <w:tcW w:w="1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 xml:space="preserve">Вноски, получени от държавите членки </w:t>
            </w:r>
          </w:p>
        </w:tc>
        <w:tc>
          <w:tcPr>
            <w:tcW w:w="6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17</w:t>
            </w: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230 000</w:t>
            </w:r>
          </w:p>
        </w:tc>
        <w:tc>
          <w:tcPr>
            <w:tcW w:w="1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76 395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Суми, получени от държавите членки, за лихвени субсидии и техническа помощ</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20 000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60 000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Суми, платени от името на държавите членки, за лихвени субсидии и техническа помощ</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-35 641</w:t>
            </w: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-21 026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hAnsi="Arial"/>
                <w:b/>
                <w:noProof/>
                <w:color w:val="000000"/>
                <w:sz w:val="16"/>
              </w:rPr>
              <w:t>Нетни парични потоци от финансови дейности</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214 359</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115 369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FFFFFF" w:fill="C0C0C0"/>
            <w:tcMar>
              <w:left w:w="40" w:type="dxa"/>
              <w:right w:w="40" w:type="dxa"/>
            </w:tcMar>
            <w:vAlign w:val="center"/>
          </w:tcPr>
          <w:p>
            <w:pPr>
              <w:pStyle w:val="Normal7"/>
              <w:rPr>
                <w:rFonts w:ascii="Arial" w:eastAsia="Arial" w:hAnsi="Arial" w:cs="Arial"/>
                <w:b/>
                <w:noProof/>
                <w:color w:val="000000"/>
                <w:sz w:val="16"/>
              </w:rPr>
            </w:pPr>
            <w:r>
              <w:rPr>
                <w:rFonts w:ascii="Arial" w:hAnsi="Arial"/>
                <w:b/>
                <w:noProof/>
                <w:color w:val="000000"/>
                <w:sz w:val="16"/>
              </w:rPr>
              <w:t>Нетно увеличение на парите и паричните еквиваленти</w:t>
            </w:r>
          </w:p>
        </w:tc>
        <w:tc>
          <w:tcPr>
            <w:tcW w:w="600" w:type="dxa"/>
            <w:tcBorders>
              <w:top w:val="nil"/>
              <w:left w:val="nil"/>
              <w:bottom w:val="nil"/>
              <w:right w:val="nil"/>
              <w:tl2br w:val="nil"/>
              <w:tr2bl w:val="nil"/>
            </w:tcBorders>
            <w:shd w:val="clear" w:color="FFFFFF" w:fill="C0C0C0"/>
            <w:tcMar>
              <w:left w:w="0" w:type="dxa"/>
              <w:right w:w="0" w:type="dxa"/>
            </w:tcMar>
            <w:vAlign w:val="center"/>
          </w:tcPr>
          <w:p>
            <w:pPr>
              <w:pStyle w:val="Normal7"/>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22 088</w:t>
            </w:r>
          </w:p>
        </w:tc>
        <w:tc>
          <w:tcPr>
            <w:tcW w:w="112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181 875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hAnsi="Arial"/>
                <w:b/>
                <w:noProof/>
                <w:color w:val="000000"/>
                <w:sz w:val="16"/>
              </w:rPr>
              <w:t>Обобщен отчет за паричните потоци:</w:t>
            </w:r>
          </w:p>
        </w:tc>
        <w:tc>
          <w:tcPr>
            <w:tcW w:w="600" w:type="dxa"/>
            <w:tcBorders>
              <w:top w:val="nil"/>
              <w:left w:val="nil"/>
              <w:bottom w:val="nil"/>
              <w:right w:val="nil"/>
              <w:tl2br w:val="nil"/>
              <w:tr2bl w:val="nil"/>
            </w:tcBorders>
            <w:shd w:val="clear" w:color="auto" w:fill="auto"/>
            <w:noWrap/>
            <w:tcMar>
              <w:left w:w="0" w:type="dxa"/>
              <w:right w:w="0" w:type="dxa"/>
            </w:tcMar>
            <w:vAlign w:val="bottom"/>
          </w:tcPr>
          <w:p>
            <w:pPr>
              <w:pStyle w:val="Normal7"/>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7"/>
              <w:rPr>
                <w:rFonts w:ascii="Arial" w:eastAsia="Arial" w:hAnsi="Arial" w:cs="Arial"/>
                <w:noProof/>
                <w:color w:val="000000"/>
                <w:sz w:val="20"/>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pPr>
              <w:pStyle w:val="Normal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b/>
                <w:noProof/>
                <w:color w:val="000000"/>
                <w:sz w:val="16"/>
              </w:rPr>
            </w:pPr>
            <w:r>
              <w:rPr>
                <w:rFonts w:ascii="Arial" w:hAnsi="Arial"/>
                <w:b/>
                <w:noProof/>
                <w:color w:val="000000"/>
                <w:sz w:val="16"/>
              </w:rPr>
              <w:t>Пари и парични еквиваленти в началото на финансовата година</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549 169</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360 821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Нетни парични средства от:</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Оперативни дейности</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-192 271</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66 506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Дейности по финансиране</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214 359</w:t>
            </w:r>
          </w:p>
        </w:tc>
        <w:tc>
          <w:tcPr>
            <w:tcW w:w="1125" w:type="dxa"/>
            <w:tcBorders>
              <w:top w:val="nil"/>
              <w:left w:val="nil"/>
              <w:bottom w:val="nil"/>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115 369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Въздействия на промените във валутния курс върху парите и паричните еквиваленти</w:t>
            </w:r>
          </w:p>
        </w:tc>
        <w:tc>
          <w:tcPr>
            <w:tcW w:w="600" w:type="dxa"/>
            <w:tcBorders>
              <w:top w:val="nil"/>
              <w:left w:val="nil"/>
              <w:bottom w:val="nil"/>
              <w:right w:val="nil"/>
              <w:tl2br w:val="nil"/>
              <w:tr2bl w:val="nil"/>
            </w:tcBorders>
            <w:shd w:val="clear" w:color="auto" w:fill="auto"/>
            <w:tcMar>
              <w:left w:w="0" w:type="dxa"/>
              <w:right w:w="0" w:type="dxa"/>
            </w:tcMar>
            <w:vAlign w:val="center"/>
          </w:tcPr>
          <w:p>
            <w:pPr>
              <w:pStyle w:val="Normal7"/>
              <w:jc w:val="center"/>
              <w:rPr>
                <w:rFonts w:ascii="Arial" w:eastAsia="Arial" w:hAnsi="Arial" w:cs="Arial"/>
                <w:noProof/>
                <w:color w:val="000000"/>
                <w:sz w:val="16"/>
              </w:rPr>
            </w:pP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2 561</w:t>
            </w:r>
          </w:p>
        </w:tc>
        <w:tc>
          <w:tcPr>
            <w:tcW w:w="11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6 473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FFFFFF" w:fill="C0C0C0"/>
            <w:tcMar>
              <w:left w:w="40" w:type="dxa"/>
              <w:right w:w="40" w:type="dxa"/>
            </w:tcMar>
            <w:vAlign w:val="center"/>
          </w:tcPr>
          <w:p>
            <w:pPr>
              <w:pStyle w:val="Normal7"/>
              <w:rPr>
                <w:rFonts w:ascii="Arial" w:eastAsia="Arial" w:hAnsi="Arial" w:cs="Arial"/>
                <w:b/>
                <w:noProof/>
                <w:color w:val="000000"/>
                <w:sz w:val="16"/>
              </w:rPr>
            </w:pPr>
            <w:r>
              <w:rPr>
                <w:rFonts w:ascii="Arial" w:hAnsi="Arial"/>
                <w:b/>
                <w:noProof/>
                <w:color w:val="000000"/>
                <w:sz w:val="16"/>
              </w:rPr>
              <w:t>Пари и парични еквиваленти в края на финансовата година</w:t>
            </w:r>
          </w:p>
        </w:tc>
        <w:tc>
          <w:tcPr>
            <w:tcW w:w="600" w:type="dxa"/>
            <w:tcBorders>
              <w:top w:val="nil"/>
              <w:left w:val="nil"/>
              <w:bottom w:val="nil"/>
              <w:right w:val="nil"/>
              <w:tl2br w:val="nil"/>
              <w:tr2bl w:val="nil"/>
            </w:tcBorders>
            <w:shd w:val="clear" w:color="FFFFFF" w:fill="C0C0C0"/>
            <w:tcMar>
              <w:left w:w="0" w:type="dxa"/>
              <w:right w:w="0" w:type="dxa"/>
            </w:tcMar>
            <w:vAlign w:val="center"/>
          </w:tcPr>
          <w:p>
            <w:pPr>
              <w:pStyle w:val="Normal7"/>
              <w:rPr>
                <w:rFonts w:ascii="Arial" w:eastAsia="Arial" w:hAnsi="Arial" w:cs="Arial"/>
                <w:b/>
                <w:noProof/>
                <w:color w:val="000000"/>
                <w:sz w:val="16"/>
              </w:rPr>
            </w:pPr>
          </w:p>
        </w:tc>
        <w:tc>
          <w:tcPr>
            <w:tcW w:w="112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573 818</w:t>
            </w:r>
          </w:p>
        </w:tc>
        <w:tc>
          <w:tcPr>
            <w:tcW w:w="112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549 169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jc w:val="both"/>
              <w:rPr>
                <w:rFonts w:ascii="Arial" w:eastAsia="Arial" w:hAnsi="Arial" w:cs="Arial"/>
                <w:b/>
                <w:noProof/>
                <w:color w:val="000000"/>
                <w:sz w:val="16"/>
              </w:rPr>
            </w:pPr>
            <w:r>
              <w:rPr>
                <w:rFonts w:ascii="Arial" w:hAnsi="Arial"/>
                <w:b/>
                <w:noProof/>
                <w:color w:val="000000"/>
                <w:sz w:val="16"/>
              </w:rPr>
              <w:t>Парите и паричните еквиваленти се състоят от:</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pPr>
              <w:pStyle w:val="Normal7"/>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0" w:type="dxa"/>
              <w:right w:w="0" w:type="dxa"/>
            </w:tcMar>
            <w:vAlign w:val="center"/>
          </w:tcPr>
          <w:p>
            <w:pPr>
              <w:pStyle w:val="Normal7"/>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jc w:val="both"/>
              <w:rPr>
                <w:rFonts w:ascii="Arial" w:eastAsia="Arial" w:hAnsi="Arial" w:cs="Arial"/>
                <w:noProof/>
                <w:color w:val="000000"/>
                <w:sz w:val="16"/>
              </w:rPr>
            </w:pPr>
            <w:r>
              <w:rPr>
                <w:rFonts w:ascii="Arial" w:hAnsi="Arial"/>
                <w:noProof/>
                <w:color w:val="000000"/>
                <w:sz w:val="16"/>
              </w:rPr>
              <w:t xml:space="preserve">Касова наличност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5</w:t>
            </w:r>
          </w:p>
        </w:tc>
        <w:tc>
          <w:tcPr>
            <w:tcW w:w="1125"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51 936</w:t>
            </w:r>
          </w:p>
        </w:tc>
        <w:tc>
          <w:tcPr>
            <w:tcW w:w="1125"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166 445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Срочни депозити (без начислената лихва)</w:t>
            </w:r>
          </w:p>
        </w:tc>
        <w:tc>
          <w:tcPr>
            <w:tcW w:w="600" w:type="dxa"/>
            <w:tcBorders>
              <w:top w:val="nil"/>
              <w:left w:val="nil"/>
              <w:bottom w:val="nil"/>
              <w:right w:val="nil"/>
              <w:tl2br w:val="nil"/>
              <w:tr2bl w:val="nil"/>
            </w:tcBorders>
            <w:shd w:val="clear" w:color="auto" w:fill="auto"/>
            <w:noWrap/>
            <w:tcMar>
              <w:left w:w="0" w:type="dxa"/>
              <w:right w:w="0" w:type="dxa"/>
            </w:tcMar>
            <w:vAlign w:val="center"/>
          </w:tcPr>
          <w:p>
            <w:pPr>
              <w:pStyle w:val="Normal7"/>
              <w:jc w:val="center"/>
              <w:rPr>
                <w:noProof/>
                <w:color w:val="000000"/>
                <w:sz w:val="20"/>
              </w:rPr>
            </w:pPr>
            <w:r>
              <w:rPr>
                <w:rFonts w:ascii="Arial" w:hAnsi="Arial"/>
                <w:noProof/>
                <w:color w:val="000000"/>
                <w:sz w:val="16"/>
              </w:rPr>
              <w:t>5</w:t>
            </w:r>
          </w:p>
        </w:tc>
        <w:tc>
          <w:tcPr>
            <w:tcW w:w="1125"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521 882</w:t>
            </w:r>
          </w:p>
        </w:tc>
        <w:tc>
          <w:tcPr>
            <w:tcW w:w="1125"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367 721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40" w:type="dxa"/>
              <w:right w:w="40" w:type="dxa"/>
            </w:tcMar>
            <w:vAlign w:val="center"/>
          </w:tcPr>
          <w:p>
            <w:pPr>
              <w:pStyle w:val="Normal7"/>
              <w:rPr>
                <w:rFonts w:ascii="Arial" w:eastAsia="Arial" w:hAnsi="Arial" w:cs="Arial"/>
                <w:noProof/>
                <w:color w:val="000000"/>
                <w:sz w:val="16"/>
              </w:rPr>
            </w:pPr>
            <w:r>
              <w:rPr>
                <w:rFonts w:ascii="Arial" w:hAnsi="Arial"/>
                <w:noProof/>
                <w:color w:val="000000"/>
                <w:sz w:val="16"/>
              </w:rPr>
              <w:t>Търговски ценни книжа</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pStyle w:val="Normal7"/>
              <w:jc w:val="center"/>
              <w:rPr>
                <w:rFonts w:ascii="Arial" w:eastAsia="Arial" w:hAnsi="Arial" w:cs="Arial"/>
                <w:noProof/>
                <w:color w:val="000000"/>
                <w:sz w:val="16"/>
              </w:rPr>
            </w:pPr>
            <w:r>
              <w:rPr>
                <w:rFonts w:ascii="Arial" w:hAnsi="Arial"/>
                <w:noProof/>
                <w:color w:val="000000"/>
                <w:sz w:val="16"/>
              </w:rPr>
              <w:t>5</w:t>
            </w:r>
          </w:p>
        </w:tc>
        <w:tc>
          <w:tcPr>
            <w:tcW w:w="112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7"/>
              <w:jc w:val="right"/>
              <w:rPr>
                <w:rFonts w:ascii="Arial" w:eastAsia="Arial" w:hAnsi="Arial" w:cs="Arial"/>
                <w:noProof/>
                <w:color w:val="000000"/>
                <w:sz w:val="16"/>
              </w:rPr>
            </w:pPr>
            <w:r>
              <w:rPr>
                <w:rFonts w:ascii="Arial" w:hAnsi="Arial"/>
                <w:noProof/>
                <w:color w:val="000000"/>
                <w:sz w:val="16"/>
              </w:rPr>
              <w:t>15 003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7125" w:type="dxa"/>
            <w:tcBorders>
              <w:top w:val="nil"/>
              <w:left w:val="nil"/>
              <w:bottom w:val="nil"/>
              <w:right w:val="nil"/>
              <w:tl2br w:val="nil"/>
              <w:tr2bl w:val="nil"/>
            </w:tcBorders>
            <w:shd w:val="clear" w:color="auto" w:fill="auto"/>
            <w:tcMar>
              <w:left w:w="0" w:type="dxa"/>
              <w:right w:w="0" w:type="dxa"/>
            </w:tcMar>
            <w:vAlign w:val="center"/>
          </w:tcPr>
          <w:p>
            <w:pPr>
              <w:pStyle w:val="Normal7"/>
              <w:rPr>
                <w:noProof/>
                <w:color w:val="000000"/>
                <w:sz w:val="20"/>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pPr>
              <w:pStyle w:val="Normal7"/>
              <w:rPr>
                <w:noProof/>
                <w:color w:val="000000"/>
                <w:sz w:val="20"/>
              </w:rPr>
            </w:pP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573 818</w:t>
            </w:r>
          </w:p>
        </w:tc>
        <w:tc>
          <w:tcPr>
            <w:tcW w:w="11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
              <w:jc w:val="right"/>
              <w:rPr>
                <w:rFonts w:ascii="Arial" w:eastAsia="Arial" w:hAnsi="Arial" w:cs="Arial"/>
                <w:b/>
                <w:noProof/>
                <w:color w:val="000000"/>
                <w:sz w:val="16"/>
              </w:rPr>
            </w:pPr>
            <w:r>
              <w:rPr>
                <w:rFonts w:ascii="Arial" w:hAnsi="Arial"/>
                <w:b/>
                <w:noProof/>
                <w:color w:val="000000"/>
                <w:sz w:val="16"/>
              </w:rPr>
              <w:t>549 169</w:t>
            </w:r>
          </w:p>
        </w:tc>
      </w:tr>
    </w:tbl>
    <w:p>
      <w:pPr>
        <w:rPr>
          <w:noProof/>
        </w:rPr>
        <w:sectPr>
          <w:headerReference w:type="even" r:id="rId493"/>
          <w:headerReference w:type="default" r:id="rId494"/>
          <w:footerReference w:type="even" r:id="rId495"/>
          <w:footerReference w:type="default" r:id="rId496"/>
          <w:headerReference w:type="first" r:id="rId497"/>
          <w:footerReference w:type="first" r:id="rId498"/>
          <w:type w:val="continuous"/>
          <w:pgSz w:w="12240" w:h="15840"/>
          <w:pgMar w:top="765" w:right="1134" w:bottom="765" w:left="1134" w:header="709" w:footer="709" w:gutter="0"/>
          <w:cols w:space="720"/>
          <w:docGrid w:linePitch="360"/>
        </w:sectPr>
      </w:pPr>
    </w:p>
    <w:p>
      <w:pPr>
        <w:pStyle w:val="Notes"/>
        <w:pageBreakBefore/>
        <w:numPr>
          <w:ilvl w:val="0"/>
          <w:numId w:val="0"/>
        </w:numPr>
        <w:tabs>
          <w:tab w:val="clear" w:pos="4320"/>
          <w:tab w:val="clear" w:pos="8640"/>
        </w:tabs>
        <w:spacing w:before="140" w:after="320"/>
        <w:rPr>
          <w:noProof/>
          <w:sz w:val="24"/>
        </w:rPr>
      </w:pPr>
      <w:r>
        <w:rPr>
          <w:noProof/>
          <w:sz w:val="24"/>
        </w:rPr>
        <w:t>Бележки към финансовите отчети към 31 декември 2018 г.</w:t>
      </w:r>
    </w:p>
    <w:p>
      <w:pPr>
        <w:pStyle w:val="Title1"/>
        <w:numPr>
          <w:ilvl w:val="0"/>
          <w:numId w:val="119"/>
        </w:numPr>
        <w:rPr>
          <w:noProof/>
        </w:rPr>
      </w:pPr>
      <w:r>
        <w:rPr>
          <w:noProof/>
        </w:rPr>
        <w:t>Обща информация</w:t>
      </w:r>
    </w:p>
    <w:p>
      <w:pPr>
        <w:pStyle w:val="Normal8"/>
        <w:spacing w:before="60" w:after="60"/>
        <w:jc w:val="both"/>
        <w:rPr>
          <w:rFonts w:ascii="Arial" w:hAnsi="Arial"/>
          <w:noProof/>
          <w:sz w:val="16"/>
          <w:szCs w:val="16"/>
        </w:rPr>
      </w:pPr>
    </w:p>
    <w:p>
      <w:pPr>
        <w:pStyle w:val="Normal8"/>
        <w:spacing w:before="60" w:after="60"/>
        <w:jc w:val="both"/>
        <w:rPr>
          <w:rFonts w:ascii="Arial" w:hAnsi="Arial"/>
          <w:noProof/>
          <w:sz w:val="16"/>
          <w:szCs w:val="16"/>
        </w:rPr>
      </w:pPr>
      <w:r>
        <w:rPr>
          <w:rFonts w:ascii="Arial" w:hAnsi="Arial"/>
          <w:noProof/>
          <w:sz w:val="16"/>
        </w:rPr>
        <w:t>Инвестиционният механизъм („механизмът“ или ИМ) е създаден в рамките на Споразумението от Котону („Споразумението“) за сътрудничество и помощ за развитие, сключено между групата от държави от Африка, Карибите и Тихоокеанския басейн („държавите от АКТБ“) и Европейския съюз и неговите държави членки на 23 юни 2000 г., преразгледано на 25 юни 2005 г. и 22 юни 2010 г.</w:t>
      </w:r>
    </w:p>
    <w:p>
      <w:pPr>
        <w:pStyle w:val="Normal8"/>
        <w:spacing w:before="60" w:after="60"/>
        <w:jc w:val="both"/>
        <w:rPr>
          <w:rFonts w:ascii="Arial" w:hAnsi="Arial"/>
          <w:noProof/>
          <w:sz w:val="16"/>
          <w:szCs w:val="16"/>
        </w:rPr>
      </w:pPr>
    </w:p>
    <w:p>
      <w:pPr>
        <w:pStyle w:val="Normal8"/>
        <w:spacing w:before="60" w:after="60"/>
        <w:jc w:val="both"/>
        <w:rPr>
          <w:rFonts w:ascii="Arial" w:hAnsi="Arial"/>
          <w:noProof/>
          <w:sz w:val="16"/>
          <w:szCs w:val="16"/>
        </w:rPr>
      </w:pPr>
      <w:r>
        <w:rPr>
          <w:rFonts w:ascii="Arial" w:hAnsi="Arial"/>
          <w:noProof/>
          <w:sz w:val="16"/>
        </w:rPr>
        <w:t>Механизмът не е отделно юридическо лице и Европейската инвестиционна банка („ЕИБ“ или „банката“) управлява вноските от името на държавите членки („дарители“) в съответствие с разпоредбите на Споразумението и действа като администратор на механизма.</w:t>
      </w:r>
    </w:p>
    <w:p>
      <w:pPr>
        <w:pStyle w:val="Normal8"/>
        <w:tabs>
          <w:tab w:val="left" w:pos="1800"/>
        </w:tabs>
        <w:spacing w:before="60" w:after="60"/>
        <w:jc w:val="both"/>
        <w:rPr>
          <w:rFonts w:ascii="Arial" w:hAnsi="Arial"/>
          <w:noProof/>
          <w:sz w:val="16"/>
          <w:szCs w:val="16"/>
        </w:rPr>
      </w:pPr>
    </w:p>
    <w:p>
      <w:pPr>
        <w:pStyle w:val="Normal8"/>
        <w:tabs>
          <w:tab w:val="left" w:pos="1800"/>
        </w:tabs>
        <w:spacing w:before="60" w:after="60"/>
        <w:jc w:val="both"/>
        <w:rPr>
          <w:rFonts w:ascii="Arial" w:hAnsi="Arial"/>
          <w:noProof/>
          <w:sz w:val="16"/>
          <w:szCs w:val="16"/>
        </w:rPr>
      </w:pPr>
      <w:r>
        <w:rPr>
          <w:rFonts w:ascii="Arial" w:hAnsi="Arial"/>
          <w:noProof/>
          <w:sz w:val="16"/>
        </w:rPr>
        <w:t>Финансирането по Споразумението се осигурява от бюджетите на държавите — членки на ЕС. Държавите — членки на ЕС, допринасят със суми, разпределени за финансирането на ИМ и за безвъзмездните средства за финансиране на лихвените субсидии, както е предвидено в многогодишните финансови рамки (първи финансов протокол, обхващащ периода 2000—2007 г. и наричан 9-и Европейски фонд за развитие (ЕФР), втори финансов протокол, обхващащ периода 2008—2013 г. и наричан 10-и ЕФР и трети финансов протокол, обхващащ периода 2014—2020 г., наричан 11-и ЕФР). На ЕИБ е поверено управлението на:</w:t>
      </w:r>
    </w:p>
    <w:p>
      <w:pPr>
        <w:pStyle w:val="Normal8"/>
        <w:tabs>
          <w:tab w:val="left" w:pos="1800"/>
        </w:tabs>
        <w:spacing w:before="60" w:after="60"/>
        <w:jc w:val="both"/>
        <w:rPr>
          <w:rFonts w:ascii="Arial" w:hAnsi="Arial"/>
          <w:noProof/>
          <w:sz w:val="16"/>
          <w:szCs w:val="16"/>
        </w:rPr>
      </w:pPr>
    </w:p>
    <w:p>
      <w:pPr>
        <w:pStyle w:val="Normal8"/>
        <w:numPr>
          <w:ilvl w:val="0"/>
          <w:numId w:val="117"/>
        </w:numPr>
        <w:tabs>
          <w:tab w:val="left" w:pos="1800"/>
        </w:tabs>
        <w:spacing w:before="60" w:after="60"/>
        <w:jc w:val="both"/>
        <w:rPr>
          <w:rFonts w:ascii="Arial" w:hAnsi="Arial"/>
          <w:noProof/>
          <w:sz w:val="16"/>
          <w:szCs w:val="16"/>
        </w:rPr>
      </w:pPr>
      <w:r>
        <w:rPr>
          <w:rFonts w:ascii="Arial" w:hAnsi="Arial"/>
          <w:noProof/>
          <w:sz w:val="16"/>
        </w:rPr>
        <w:t>механизма, който представлява рисков револвиращ фонд от 3 685,5 милиона евро, насочен към насърчаване на инвестициите в частния сектор в страните от АКТБ, от които 48,5 милиона евро са разпределени за отвъдморските страни и територии („страните от ОСТ“);</w:t>
      </w:r>
    </w:p>
    <w:p>
      <w:pPr>
        <w:pStyle w:val="Normal8"/>
        <w:numPr>
          <w:ilvl w:val="0"/>
          <w:numId w:val="117"/>
        </w:numPr>
        <w:tabs>
          <w:tab w:val="left" w:pos="1800"/>
        </w:tabs>
        <w:spacing w:before="60" w:after="60"/>
        <w:jc w:val="both"/>
        <w:rPr>
          <w:rFonts w:ascii="Arial" w:hAnsi="Arial"/>
          <w:noProof/>
          <w:sz w:val="16"/>
          <w:szCs w:val="16"/>
        </w:rPr>
      </w:pPr>
      <w:r>
        <w:rPr>
          <w:rFonts w:ascii="Arial" w:hAnsi="Arial"/>
          <w:noProof/>
          <w:sz w:val="16"/>
        </w:rPr>
        <w:t>безвъзмездните средства за финансиране на лихвени субсидии на стойност до 1 220,85 милиона евро за страните от АКТБ и до 8,5 милиона евро за страните от ОСТ. До 15 % от тези субсидии могат да се използват за финансиране на техническа помощ, свързана с проекти.</w:t>
      </w:r>
    </w:p>
    <w:p>
      <w:pPr>
        <w:pStyle w:val="Normal8"/>
        <w:tabs>
          <w:tab w:val="left" w:pos="1800"/>
        </w:tabs>
        <w:spacing w:before="60" w:after="60"/>
        <w:jc w:val="both"/>
        <w:rPr>
          <w:rFonts w:ascii="Arial" w:hAnsi="Arial"/>
          <w:noProof/>
          <w:sz w:val="16"/>
          <w:szCs w:val="16"/>
        </w:rPr>
      </w:pPr>
    </w:p>
    <w:p>
      <w:pPr>
        <w:pStyle w:val="Normal8"/>
        <w:tabs>
          <w:tab w:val="left" w:pos="1800"/>
        </w:tabs>
        <w:spacing w:before="60" w:after="60"/>
        <w:jc w:val="both"/>
        <w:rPr>
          <w:rFonts w:ascii="Arial" w:hAnsi="Arial"/>
          <w:noProof/>
          <w:sz w:val="16"/>
          <w:szCs w:val="16"/>
        </w:rPr>
      </w:pPr>
      <w:r>
        <w:rPr>
          <w:rFonts w:ascii="Arial" w:hAnsi="Arial"/>
          <w:noProof/>
          <w:sz w:val="16"/>
        </w:rPr>
        <w:t>Настоящите финансови отчети обхващат периода от 1 януари 2018 г. до 31 декември 2018 г.</w:t>
      </w:r>
    </w:p>
    <w:p>
      <w:pPr>
        <w:pStyle w:val="Normal8"/>
        <w:tabs>
          <w:tab w:val="left" w:pos="1800"/>
        </w:tabs>
        <w:spacing w:before="60" w:after="60"/>
        <w:jc w:val="both"/>
        <w:rPr>
          <w:rFonts w:ascii="Arial" w:hAnsi="Arial"/>
          <w:noProof/>
          <w:sz w:val="16"/>
          <w:szCs w:val="16"/>
        </w:rPr>
      </w:pPr>
      <w:r>
        <w:rPr>
          <w:rFonts w:ascii="Arial" w:hAnsi="Arial"/>
          <w:noProof/>
          <w:sz w:val="16"/>
        </w:rPr>
        <w:t xml:space="preserve"> </w:t>
      </w:r>
    </w:p>
    <w:p>
      <w:pPr>
        <w:pStyle w:val="Normal8"/>
        <w:spacing w:before="60" w:after="60"/>
        <w:jc w:val="both"/>
        <w:rPr>
          <w:rFonts w:ascii="Arial" w:hAnsi="Arial"/>
          <w:noProof/>
          <w:sz w:val="16"/>
          <w:szCs w:val="16"/>
        </w:rPr>
      </w:pPr>
      <w:r>
        <w:rPr>
          <w:rFonts w:ascii="Arial" w:hAnsi="Arial"/>
          <w:noProof/>
          <w:sz w:val="16"/>
        </w:rPr>
        <w:t>По предложение на Управителния комитет на ЕИБ Съветът на директорите на ЕИБ прие финансовите отчети на 14 март 2019 г. и разреши тяхното представяне за одобрение на Съвета на гуверньорите до 26 април 2019 г.</w:t>
      </w:r>
    </w:p>
    <w:p>
      <w:pPr>
        <w:pStyle w:val="Normal8"/>
        <w:spacing w:before="60" w:after="60"/>
        <w:jc w:val="both"/>
        <w:rPr>
          <w:rFonts w:ascii="Arial" w:hAnsi="Arial"/>
          <w:noProof/>
          <w:sz w:val="16"/>
          <w:szCs w:val="16"/>
        </w:rPr>
      </w:pPr>
      <w:r>
        <w:rPr>
          <w:noProof/>
        </w:rPr>
        <w:t xml:space="preserve"> </w:t>
      </w:r>
    </w:p>
    <w:p>
      <w:pPr>
        <w:pStyle w:val="Notes0"/>
        <w:numPr>
          <w:ilvl w:val="0"/>
          <w:numId w:val="119"/>
        </w:numPr>
        <w:rPr>
          <w:noProof/>
        </w:rPr>
      </w:pPr>
      <w:r>
        <w:rPr>
          <w:noProof/>
        </w:rPr>
        <w:t>Важни счетоводни политики</w:t>
      </w:r>
    </w:p>
    <w:p>
      <w:pPr>
        <w:pStyle w:val="Title10"/>
        <w:numPr>
          <w:ilvl w:val="0"/>
          <w:numId w:val="0"/>
        </w:numPr>
        <w:ind w:left="432"/>
        <w:rPr>
          <w:noProof/>
          <w:sz w:val="16"/>
          <w:szCs w:val="16"/>
        </w:rPr>
      </w:pPr>
    </w:p>
    <w:p>
      <w:pPr>
        <w:pStyle w:val="Title11"/>
        <w:numPr>
          <w:ilvl w:val="1"/>
          <w:numId w:val="120"/>
        </w:numPr>
        <w:spacing w:before="60" w:after="60"/>
        <w:rPr>
          <w:b/>
          <w:noProof/>
          <w:sz w:val="16"/>
          <w:szCs w:val="16"/>
        </w:rPr>
      </w:pPr>
      <w:r>
        <w:rPr>
          <w:b/>
          <w:noProof/>
          <w:sz w:val="16"/>
        </w:rPr>
        <w:t>Основа за подготовка — декларация за съответствие</w:t>
      </w:r>
    </w:p>
    <w:p>
      <w:pPr>
        <w:pStyle w:val="Title11"/>
        <w:numPr>
          <w:ilvl w:val="0"/>
          <w:numId w:val="0"/>
        </w:numPr>
        <w:spacing w:before="60" w:after="60"/>
        <w:rPr>
          <w:noProof/>
          <w:sz w:val="16"/>
          <w:szCs w:val="16"/>
        </w:rPr>
      </w:pPr>
    </w:p>
    <w:p>
      <w:pPr>
        <w:pStyle w:val="Normal9"/>
        <w:spacing w:before="60" w:after="60"/>
        <w:jc w:val="both"/>
        <w:rPr>
          <w:rFonts w:ascii="Arial" w:hAnsi="Arial"/>
          <w:noProof/>
          <w:sz w:val="16"/>
          <w:szCs w:val="16"/>
        </w:rPr>
      </w:pPr>
      <w:r>
        <w:rPr>
          <w:rFonts w:ascii="Arial" w:hAnsi="Arial"/>
          <w:noProof/>
          <w:sz w:val="16"/>
        </w:rPr>
        <w:t xml:space="preserve">Финансовите отчети на механизма се изготвят в съответствие с международните стандарти за финансова отчетност (МСФО), приети от Европейския съюз. </w:t>
      </w:r>
    </w:p>
    <w:p>
      <w:pPr>
        <w:pStyle w:val="Title11"/>
        <w:numPr>
          <w:ilvl w:val="0"/>
          <w:numId w:val="0"/>
        </w:numPr>
        <w:spacing w:before="60" w:after="60"/>
        <w:ind w:left="431" w:hanging="431"/>
        <w:rPr>
          <w:noProof/>
          <w:sz w:val="16"/>
          <w:szCs w:val="16"/>
        </w:rPr>
      </w:pPr>
    </w:p>
    <w:p>
      <w:pPr>
        <w:pStyle w:val="Title11"/>
        <w:numPr>
          <w:ilvl w:val="1"/>
          <w:numId w:val="120"/>
        </w:numPr>
        <w:spacing w:before="60" w:after="60"/>
        <w:rPr>
          <w:b/>
          <w:noProof/>
          <w:sz w:val="16"/>
          <w:szCs w:val="16"/>
        </w:rPr>
      </w:pPr>
      <w:r>
        <w:rPr>
          <w:b/>
          <w:noProof/>
          <w:sz w:val="16"/>
        </w:rPr>
        <w:t>Важни счетоводни оценки и прогнози</w:t>
      </w:r>
    </w:p>
    <w:p>
      <w:pPr>
        <w:pStyle w:val="Title11"/>
        <w:numPr>
          <w:ilvl w:val="0"/>
          <w:numId w:val="0"/>
        </w:numPr>
        <w:spacing w:before="60" w:after="60"/>
        <w:rPr>
          <w:noProof/>
          <w:sz w:val="16"/>
          <w:szCs w:val="16"/>
        </w:rPr>
      </w:pPr>
    </w:p>
    <w:p>
      <w:pPr>
        <w:pStyle w:val="Normal9"/>
        <w:spacing w:before="60" w:after="60"/>
        <w:jc w:val="both"/>
        <w:rPr>
          <w:rFonts w:ascii="Arial" w:hAnsi="Arial"/>
          <w:noProof/>
          <w:sz w:val="16"/>
          <w:szCs w:val="16"/>
        </w:rPr>
      </w:pPr>
      <w:r>
        <w:rPr>
          <w:rFonts w:ascii="Arial" w:hAnsi="Arial"/>
          <w:noProof/>
          <w:sz w:val="16"/>
        </w:rPr>
        <w:t>Изготвянето на финансовите отчети налага използването на счетоводни прогнози. Необходимо е още ръководството на Европейската инвестиционна банка да даде своята оценка в процеса на прилагане на счетоводните политики на Инвестиционния механизъм. По-долу се посочват областите, при които има по-висока степен на прогнозиране и сложност, или областите, при които допусканията и приблизителните оценки са важни за финансовите отчети.</w:t>
      </w:r>
    </w:p>
    <w:p>
      <w:pPr>
        <w:pStyle w:val="NotesText"/>
        <w:spacing w:before="60" w:line="240" w:lineRule="auto"/>
        <w:rPr>
          <w:rFonts w:cs="Times New Roman"/>
          <w:noProof/>
          <w:sz w:val="16"/>
          <w:szCs w:val="16"/>
        </w:rPr>
      </w:pPr>
      <w:r>
        <w:rPr>
          <w:noProof/>
          <w:sz w:val="16"/>
        </w:rPr>
        <w:t>Прогнози и приблизителни оценки се използват най-много в следните случаи:</w:t>
      </w:r>
    </w:p>
    <w:p>
      <w:pPr>
        <w:pStyle w:val="NotesText"/>
        <w:spacing w:before="60" w:line="240" w:lineRule="auto"/>
        <w:rPr>
          <w:rFonts w:cs="Times New Roman"/>
          <w:noProof/>
          <w:sz w:val="16"/>
          <w:szCs w:val="16"/>
        </w:rPr>
      </w:pPr>
    </w:p>
    <w:p>
      <w:pPr>
        <w:pStyle w:val="Normal9"/>
        <w:numPr>
          <w:ilvl w:val="0"/>
          <w:numId w:val="112"/>
        </w:numPr>
        <w:spacing w:before="60" w:after="60"/>
        <w:jc w:val="both"/>
        <w:rPr>
          <w:b/>
          <w:noProof/>
          <w:sz w:val="16"/>
          <w:szCs w:val="16"/>
        </w:rPr>
      </w:pPr>
      <w:r>
        <w:rPr>
          <w:rFonts w:ascii="Arial" w:hAnsi="Arial"/>
          <w:b/>
          <w:noProof/>
          <w:sz w:val="16"/>
        </w:rPr>
        <w:t>Измерване на справедливата стойност на финансовите инструменти</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rPr>
        <w:t>Справедливата стойност на финансовите активи и пасиви, които се търгуват на действащите пазари, се основава на котираните пазарни цени или на брокерските ценови котировки. Когато справедливата стойност не може да бъде установена от действащите пазари, тя се определя с помощта на редица техники за оценка, в това число чрез използване на математически модели. При възможност данните за тези модели се вземат от наблюдаваните пазари, но ако това не е осъществимо, се налага определена степен на преценяване при установяване на справедливите стойности. Оценките се категоризират в различни нива в йерархията на справедливите стойности въз основа на данните, използвани при методите за остойностяване, описани в бележки 2.4.2 и 4.</w:t>
      </w:r>
    </w:p>
    <w:p>
      <w:pPr>
        <w:pStyle w:val="Normal9"/>
        <w:widowControl w:val="0"/>
        <w:autoSpaceDE w:val="0"/>
        <w:spacing w:before="60" w:after="60"/>
        <w:jc w:val="both"/>
        <w:rPr>
          <w:rFonts w:ascii="Arial" w:hAnsi="Arial"/>
          <w:noProof/>
          <w:sz w:val="16"/>
          <w:szCs w:val="16"/>
        </w:rPr>
      </w:pPr>
    </w:p>
    <w:p>
      <w:pPr>
        <w:pStyle w:val="Normal9"/>
        <w:numPr>
          <w:ilvl w:val="0"/>
          <w:numId w:val="113"/>
        </w:numPr>
        <w:spacing w:before="60" w:after="60"/>
        <w:jc w:val="both"/>
        <w:rPr>
          <w:rFonts w:ascii="Arial" w:hAnsi="Arial"/>
          <w:b/>
          <w:noProof/>
          <w:sz w:val="16"/>
          <w:szCs w:val="16"/>
        </w:rPr>
      </w:pPr>
      <w:r>
        <w:rPr>
          <w:rFonts w:ascii="Arial" w:hAnsi="Arial"/>
          <w:b/>
          <w:noProof/>
          <w:sz w:val="16"/>
        </w:rPr>
        <w:t>Загуби от обезценка на заеми и аванси</w:t>
      </w:r>
    </w:p>
    <w:p>
      <w:pPr>
        <w:pStyle w:val="Normal9"/>
        <w:spacing w:before="60" w:after="60"/>
        <w:ind w:left="431"/>
        <w:jc w:val="both"/>
        <w:rPr>
          <w:rFonts w:ascii="Arial" w:hAnsi="Arial"/>
          <w:b/>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rPr>
        <w:t>Измерването на очакваните кредитни загуби („ОКЗ“) изисква от ръководството да прави доста преценки, по-специално оценка на значителното увеличение на кредитния риск след първоначалното вписване, включване на информация за бъдещето, а след това и прогноза за размера и графика на бъдещите парични потоци и стойността на обезпеченията при определяне на загубите от обезценка. Тези оценки зависят от редица фактори, промените в които могат да доведат до значителни промени в сроковете и коректива за загуби, който да бъде признат (бележка 2.4.2).</w:t>
      </w:r>
    </w:p>
    <w:p>
      <w:pPr>
        <w:pStyle w:val="Normal9"/>
        <w:suppressAutoHyphens w:val="0"/>
        <w:rPr>
          <w:rFonts w:ascii="Arial" w:hAnsi="Arial"/>
          <w:b/>
          <w:noProof/>
          <w:sz w:val="16"/>
          <w:szCs w:val="16"/>
        </w:rPr>
      </w:pPr>
    </w:p>
    <w:p>
      <w:pPr>
        <w:pStyle w:val="Normal9"/>
        <w:numPr>
          <w:ilvl w:val="0"/>
          <w:numId w:val="114"/>
        </w:numPr>
        <w:spacing w:before="60" w:after="60"/>
        <w:jc w:val="both"/>
        <w:rPr>
          <w:rFonts w:ascii="Arial" w:hAnsi="Arial"/>
          <w:b/>
          <w:noProof/>
          <w:sz w:val="16"/>
          <w:szCs w:val="16"/>
        </w:rPr>
      </w:pPr>
      <w:r>
        <w:rPr>
          <w:rFonts w:ascii="Arial" w:hAnsi="Arial"/>
          <w:b/>
          <w:noProof/>
          <w:sz w:val="16"/>
        </w:rPr>
        <w:t>Оценка на некотирани капиталови инвестиции</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rPr>
        <w:t xml:space="preserve">Оценката на некотираните капиталови инвестиции обикновено се основава на следното: </w:t>
      </w:r>
    </w:p>
    <w:p>
      <w:pPr>
        <w:pStyle w:val="Normal9"/>
        <w:widowControl w:val="0"/>
        <w:autoSpaceDE w:val="0"/>
        <w:spacing w:before="60" w:after="60"/>
        <w:jc w:val="both"/>
        <w:rPr>
          <w:rFonts w:ascii="Arial" w:hAnsi="Arial"/>
          <w:noProof/>
          <w:sz w:val="16"/>
          <w:szCs w:val="16"/>
        </w:rPr>
      </w:pP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rPr>
        <w:t xml:space="preserve">скорошни пазарни операции при справедливи условия между независими страни, </w:t>
      </w: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rPr>
        <w:t xml:space="preserve">текуща справедлива стойност на друг инструмент, който в основата си е същият, </w:t>
      </w: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rPr>
        <w:t xml:space="preserve">очаквани парични потоци, сконтирани при текущи ставки, приложими за инструменти със същите условия и рискове, </w:t>
      </w: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rPr>
        <w:t xml:space="preserve">метод на коригираните нетни активи, или </w:t>
      </w:r>
    </w:p>
    <w:p>
      <w:pPr>
        <w:pStyle w:val="Normal9"/>
        <w:widowControl w:val="0"/>
        <w:numPr>
          <w:ilvl w:val="0"/>
          <w:numId w:val="116"/>
        </w:numPr>
        <w:autoSpaceDE w:val="0"/>
        <w:spacing w:before="60" w:after="60"/>
        <w:jc w:val="both"/>
        <w:rPr>
          <w:rFonts w:ascii="Arial" w:hAnsi="Arial"/>
          <w:noProof/>
          <w:sz w:val="16"/>
          <w:szCs w:val="16"/>
        </w:rPr>
      </w:pPr>
      <w:r>
        <w:rPr>
          <w:rFonts w:ascii="Arial" w:hAnsi="Arial"/>
          <w:noProof/>
          <w:sz w:val="16"/>
        </w:rPr>
        <w:t>други модели за оценка.</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rPr>
        <w:t>Определянето на паричните потоци и дисконтовите фактори за некотираните капиталови инвестиции налага значително използване на приблизителни оценки. Механизмът редовно коригира техниките за оценка и ги изпитва за валидност с цени от наблюдавани текущи пазарни операции на същия инструмент или с други съществуващи наблюдавани пазарни данни.</w:t>
      </w:r>
    </w:p>
    <w:p>
      <w:pPr>
        <w:pStyle w:val="Normal9"/>
        <w:widowControl w:val="0"/>
        <w:autoSpaceDE w:val="0"/>
        <w:spacing w:before="60" w:after="60"/>
        <w:jc w:val="both"/>
        <w:rPr>
          <w:rFonts w:ascii="Arial" w:hAnsi="Arial"/>
          <w:noProof/>
          <w:sz w:val="16"/>
          <w:szCs w:val="16"/>
        </w:rPr>
      </w:pPr>
    </w:p>
    <w:p>
      <w:pPr>
        <w:pStyle w:val="Normal9"/>
        <w:numPr>
          <w:ilvl w:val="0"/>
          <w:numId w:val="114"/>
        </w:numPr>
        <w:spacing w:before="60" w:after="60"/>
        <w:jc w:val="both"/>
        <w:rPr>
          <w:rFonts w:ascii="Arial" w:hAnsi="Arial"/>
          <w:b/>
          <w:noProof/>
          <w:sz w:val="16"/>
          <w:szCs w:val="16"/>
        </w:rPr>
      </w:pPr>
      <w:r>
        <w:rPr>
          <w:rFonts w:ascii="Arial" w:hAnsi="Arial"/>
          <w:b/>
          <w:noProof/>
          <w:sz w:val="16"/>
        </w:rPr>
        <w:t>Обезценка на капиталови инвестиции на разположение за продажба (приложима преди 1 януари 2018 г.)</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rPr>
        <w:t>Механизмът третира капиталовите инвестиции на разположение за продажба като обезценени, когато е налице голям или продължителен спад на справедливата стойност под тяхната себестойност или когато съществуват други обективни доказателства за обезценка. Определянето на „голям“ и „продължителен“ изисква преценка. Според механизма „голям“ означава обикновено 30 % или повече, а „продължителен“ — над 12 месеца. В допълнение механизмът прави оценка на други фактори, включително нормалната изменчивост на цените на акциите за котираните ценни книжа, бъдещите парични потоци и дисконтовите фактори за некотираните ценни книжа.</w:t>
      </w:r>
    </w:p>
    <w:p>
      <w:pPr>
        <w:pStyle w:val="Normal9"/>
        <w:widowControl w:val="0"/>
        <w:autoSpaceDE w:val="0"/>
        <w:spacing w:before="60" w:after="60"/>
        <w:jc w:val="both"/>
        <w:rPr>
          <w:rFonts w:ascii="Arial" w:hAnsi="Arial"/>
          <w:noProof/>
          <w:sz w:val="16"/>
          <w:szCs w:val="16"/>
        </w:rPr>
      </w:pPr>
    </w:p>
    <w:p>
      <w:pPr>
        <w:pStyle w:val="Normal9"/>
        <w:numPr>
          <w:ilvl w:val="0"/>
          <w:numId w:val="114"/>
        </w:numPr>
        <w:spacing w:before="60" w:after="60"/>
        <w:jc w:val="both"/>
        <w:rPr>
          <w:rFonts w:ascii="Arial" w:hAnsi="Arial"/>
          <w:b/>
          <w:noProof/>
          <w:sz w:val="16"/>
          <w:szCs w:val="16"/>
        </w:rPr>
      </w:pPr>
      <w:r>
        <w:rPr>
          <w:rFonts w:ascii="Arial" w:hAnsi="Arial"/>
          <w:b/>
          <w:noProof/>
          <w:sz w:val="16"/>
        </w:rPr>
        <w:t xml:space="preserve">Консолидиране на субекти, в които механизмът има участия </w:t>
      </w:r>
    </w:p>
    <w:p>
      <w:pPr>
        <w:pStyle w:val="Normal9"/>
        <w:widowControl w:val="0"/>
        <w:autoSpaceDE w:val="0"/>
        <w:spacing w:before="60" w:after="60"/>
        <w:jc w:val="both"/>
        <w:rPr>
          <w:rFonts w:ascii="Arial" w:hAnsi="Arial"/>
          <w:noProof/>
          <w:sz w:val="16"/>
          <w:szCs w:val="16"/>
        </w:rPr>
      </w:pPr>
    </w:p>
    <w:p>
      <w:pPr>
        <w:pStyle w:val="Normal9"/>
        <w:widowControl w:val="0"/>
        <w:autoSpaceDE w:val="0"/>
        <w:spacing w:before="60" w:after="60"/>
        <w:jc w:val="both"/>
        <w:rPr>
          <w:rFonts w:ascii="Arial" w:hAnsi="Arial"/>
          <w:noProof/>
          <w:sz w:val="16"/>
          <w:szCs w:val="16"/>
        </w:rPr>
      </w:pPr>
      <w:r>
        <w:rPr>
          <w:rFonts w:ascii="Arial" w:hAnsi="Arial"/>
          <w:noProof/>
          <w:sz w:val="16"/>
        </w:rPr>
        <w:t>Механизмът направи важни заключения, според които никой от субектите, в които има участия, не е контролирано от механизма. Това се дължи на факта, че във всички тези субекти главният партньор, управителят на фонда или управителният съвет носят цялата отговорност за управлението и контрола на дейностите и операциите на партньорството и са компетентни и оправомощени да направят всичко необходимо, за да изпълнят предназначението и целите на партньорството в съответствие с инвестиционните насоки и насоките на политиката.</w:t>
      </w:r>
    </w:p>
    <w:p>
      <w:pPr>
        <w:pStyle w:val="Normal9"/>
        <w:widowControl w:val="0"/>
        <w:autoSpaceDE w:val="0"/>
        <w:spacing w:before="60" w:after="60"/>
        <w:jc w:val="both"/>
        <w:rPr>
          <w:rFonts w:ascii="Arial" w:hAnsi="Arial"/>
          <w:noProof/>
          <w:sz w:val="16"/>
          <w:szCs w:val="16"/>
        </w:rPr>
      </w:pPr>
    </w:p>
    <w:p>
      <w:pPr>
        <w:pStyle w:val="Title11"/>
        <w:numPr>
          <w:ilvl w:val="1"/>
          <w:numId w:val="118"/>
        </w:numPr>
        <w:rPr>
          <w:b/>
          <w:noProof/>
          <w:sz w:val="16"/>
          <w:szCs w:val="16"/>
        </w:rPr>
      </w:pPr>
      <w:r>
        <w:rPr>
          <w:b/>
          <w:noProof/>
          <w:sz w:val="16"/>
        </w:rPr>
        <w:t>Промени в счетоводните политики</w:t>
      </w:r>
    </w:p>
    <w:p>
      <w:pPr>
        <w:pStyle w:val="Title11"/>
        <w:numPr>
          <w:ilvl w:val="0"/>
          <w:numId w:val="0"/>
        </w:numPr>
        <w:spacing w:before="60" w:after="60"/>
        <w:rPr>
          <w:noProof/>
          <w:sz w:val="16"/>
          <w:szCs w:val="16"/>
        </w:rPr>
      </w:pPr>
    </w:p>
    <w:p>
      <w:pPr>
        <w:pStyle w:val="Title11"/>
        <w:numPr>
          <w:ilvl w:val="0"/>
          <w:numId w:val="0"/>
        </w:numPr>
        <w:spacing w:before="60" w:after="60"/>
        <w:rPr>
          <w:noProof/>
          <w:sz w:val="16"/>
          <w:szCs w:val="16"/>
        </w:rPr>
      </w:pPr>
      <w:r>
        <w:rPr>
          <w:noProof/>
          <w:sz w:val="16"/>
        </w:rPr>
        <w:t>С изключение на измененията по-долу, механизмът последователно е прилагал счетоводните политики, посочени в бележка 2.4, към всички периоди, представени в настоящите финансови отчети. Механизмът прие следните нови стандарти и изменения на стандартите.</w:t>
      </w:r>
    </w:p>
    <w:p>
      <w:pPr>
        <w:pStyle w:val="Title11"/>
        <w:numPr>
          <w:ilvl w:val="0"/>
          <w:numId w:val="0"/>
        </w:numPr>
        <w:spacing w:before="60" w:after="60"/>
        <w:rPr>
          <w:noProof/>
          <w:sz w:val="16"/>
          <w:szCs w:val="16"/>
        </w:rPr>
      </w:pPr>
    </w:p>
    <w:p>
      <w:pPr>
        <w:pStyle w:val="Title11"/>
        <w:numPr>
          <w:ilvl w:val="0"/>
          <w:numId w:val="0"/>
        </w:numPr>
        <w:spacing w:before="60" w:after="60"/>
        <w:rPr>
          <w:b/>
          <w:noProof/>
          <w:sz w:val="16"/>
          <w:szCs w:val="16"/>
        </w:rPr>
      </w:pPr>
      <w:r>
        <w:rPr>
          <w:b/>
          <w:noProof/>
          <w:sz w:val="16"/>
        </w:rPr>
        <w:t>Приети стандарти</w:t>
      </w:r>
    </w:p>
    <w:p>
      <w:pPr>
        <w:pStyle w:val="Normal10"/>
        <w:keepNext/>
        <w:autoSpaceDE w:val="0"/>
        <w:autoSpaceDN w:val="0"/>
        <w:rPr>
          <w:rFonts w:cs="Arial"/>
          <w:noProof/>
          <w:bdr w:val="nil"/>
        </w:rPr>
      </w:pPr>
    </w:p>
    <w:p>
      <w:pPr>
        <w:pStyle w:val="Pa10"/>
        <w:spacing w:line="240" w:lineRule="auto"/>
        <w:rPr>
          <w:rFonts w:ascii="Arial" w:hAnsi="Arial" w:cs="Arial"/>
          <w:i/>
          <w:noProof/>
          <w:sz w:val="16"/>
          <w:szCs w:val="16"/>
        </w:rPr>
      </w:pPr>
      <w:r>
        <w:rPr>
          <w:rFonts w:ascii="Arial" w:hAnsi="Arial"/>
          <w:i/>
          <w:noProof/>
          <w:sz w:val="16"/>
        </w:rPr>
        <w:t>МСФО 9 Финансови инструменти</w:t>
      </w:r>
    </w:p>
    <w:p>
      <w:pPr>
        <w:pStyle w:val="Normal90"/>
        <w:keepNext/>
        <w:rPr>
          <w:noProof/>
        </w:rPr>
      </w:pPr>
    </w:p>
    <w:p>
      <w:pPr>
        <w:pStyle w:val="Normal1000"/>
        <w:autoSpaceDE w:val="0"/>
        <w:autoSpaceDN w:val="0"/>
        <w:adjustRightInd w:val="0"/>
        <w:spacing w:line="240" w:lineRule="auto"/>
        <w:rPr>
          <w:noProof/>
          <w:sz w:val="16"/>
          <w:szCs w:val="16"/>
        </w:rPr>
      </w:pPr>
      <w:r>
        <w:rPr>
          <w:noProof/>
          <w:sz w:val="16"/>
        </w:rPr>
        <w:t>Механизмът прие МСФО 9, издаден от СМСС през юли 2014 г. с дата на преход 1 януари 2018 г., което доведе до промени в счетоводните политики и до корекции на сумите, признати преди това във финансовите отчети. За повече подробности вж. бележка 2.5.</w:t>
      </w:r>
    </w:p>
    <w:p>
      <w:pPr>
        <w:pStyle w:val="Normal1000"/>
        <w:autoSpaceDE w:val="0"/>
        <w:autoSpaceDN w:val="0"/>
        <w:adjustRightInd w:val="0"/>
        <w:spacing w:line="240" w:lineRule="auto"/>
        <w:rPr>
          <w:noProof/>
          <w:sz w:val="16"/>
          <w:szCs w:val="16"/>
        </w:rPr>
      </w:pPr>
    </w:p>
    <w:p>
      <w:pPr>
        <w:pStyle w:val="Normal1000"/>
        <w:autoSpaceDE w:val="0"/>
        <w:autoSpaceDN w:val="0"/>
        <w:adjustRightInd w:val="0"/>
        <w:spacing w:line="240" w:lineRule="auto"/>
        <w:rPr>
          <w:noProof/>
          <w:sz w:val="16"/>
          <w:szCs w:val="16"/>
        </w:rPr>
      </w:pPr>
      <w:r>
        <w:rPr>
          <w:noProof/>
          <w:sz w:val="16"/>
        </w:rPr>
        <w:t>Механизмът избра да не преизчислява сравнителни периоди, тъй като това е позволено от преходните разпоредби на МСФО 9. Всяка корекция на балансовите стойности на финансовите активи и пасиви, произтичаща от приемането на МСФО 9, беше призната в резервния фонд и в резерва на справедливата стойност, считано от 1 януари 2018 г. Съответно информацията, представена за 2017 г. в рамките на приложимостта, не отразява изискванията на МСФО 9 и следователно не е съпоставима с информацията, представена за 2018 г. съгласно МСФО 9.</w:t>
      </w:r>
    </w:p>
    <w:p>
      <w:pPr>
        <w:pStyle w:val="Normal1000"/>
        <w:autoSpaceDE w:val="0"/>
        <w:autoSpaceDN w:val="0"/>
        <w:adjustRightInd w:val="0"/>
        <w:spacing w:line="240" w:lineRule="auto"/>
        <w:rPr>
          <w:noProof/>
          <w:sz w:val="16"/>
          <w:szCs w:val="16"/>
        </w:rPr>
      </w:pPr>
    </w:p>
    <w:p>
      <w:pPr>
        <w:pStyle w:val="Pa10"/>
        <w:spacing w:line="240" w:lineRule="auto"/>
        <w:rPr>
          <w:rFonts w:ascii="Arial" w:hAnsi="Arial"/>
          <w:i/>
          <w:noProof/>
          <w:sz w:val="16"/>
          <w:szCs w:val="16"/>
        </w:rPr>
      </w:pPr>
      <w:r>
        <w:rPr>
          <w:rFonts w:ascii="Arial" w:hAnsi="Arial"/>
          <w:i/>
          <w:noProof/>
          <w:sz w:val="16"/>
        </w:rPr>
        <w:t>МСФО 15 „Приходи от договори с клиенти“</w:t>
      </w:r>
    </w:p>
    <w:p>
      <w:pPr>
        <w:pStyle w:val="Normal400"/>
        <w:rPr>
          <w:noProof/>
          <w:sz w:val="14"/>
          <w:bdr w:val="none" w:sz="0" w:space="0" w:color="auto" w:frame="1"/>
        </w:rPr>
      </w:pPr>
    </w:p>
    <w:p>
      <w:pPr>
        <w:pStyle w:val="Normal1000"/>
        <w:autoSpaceDE w:val="0"/>
        <w:autoSpaceDN w:val="0"/>
        <w:adjustRightInd w:val="0"/>
        <w:spacing w:line="240" w:lineRule="auto"/>
        <w:rPr>
          <w:noProof/>
          <w:sz w:val="16"/>
          <w:szCs w:val="16"/>
        </w:rPr>
      </w:pPr>
      <w:r>
        <w:rPr>
          <w:noProof/>
          <w:sz w:val="16"/>
        </w:rPr>
        <w:t xml:space="preserve">МСФО 15 установява всеобхватна рамка за определяне на това дали, до каква степен и кога приходът се признава. Той замества съществуващите насоки за признаване на приходите, включени в МСС 18 „Приходи“, МСС 11 „Договори за строителство“ и КРМСФО 13 „Програми за лоялност на клиентите“. </w:t>
      </w:r>
    </w:p>
    <w:p>
      <w:pPr>
        <w:pStyle w:val="Normal1000"/>
        <w:autoSpaceDE w:val="0"/>
        <w:autoSpaceDN w:val="0"/>
        <w:adjustRightInd w:val="0"/>
        <w:spacing w:line="240" w:lineRule="auto"/>
        <w:rPr>
          <w:noProof/>
          <w:sz w:val="16"/>
          <w:szCs w:val="16"/>
        </w:rPr>
      </w:pPr>
    </w:p>
    <w:p>
      <w:pPr>
        <w:pStyle w:val="Normal1000"/>
        <w:autoSpaceDE w:val="0"/>
        <w:autoSpaceDN w:val="0"/>
        <w:adjustRightInd w:val="0"/>
        <w:spacing w:line="240" w:lineRule="auto"/>
        <w:rPr>
          <w:noProof/>
          <w:sz w:val="16"/>
          <w:szCs w:val="16"/>
        </w:rPr>
      </w:pPr>
      <w:r>
        <w:rPr>
          <w:noProof/>
          <w:sz w:val="16"/>
        </w:rPr>
        <w:t>Механизмът прие стандарта, като използва изменения ретроспективен подход, което означава, че кумулативното въздействие от приемането е признато в неразпределената печалба от 1 януари 2018 г. и сравнителните данни не бяха преизчислявани.</w:t>
      </w:r>
    </w:p>
    <w:p>
      <w:pPr>
        <w:pStyle w:val="Normal1000"/>
        <w:autoSpaceDE w:val="0"/>
        <w:autoSpaceDN w:val="0"/>
        <w:adjustRightInd w:val="0"/>
        <w:spacing w:line="240" w:lineRule="auto"/>
        <w:rPr>
          <w:noProof/>
          <w:sz w:val="16"/>
          <w:szCs w:val="16"/>
        </w:rPr>
      </w:pPr>
    </w:p>
    <w:p>
      <w:pPr>
        <w:pStyle w:val="Normal1000"/>
        <w:autoSpaceDE w:val="0"/>
        <w:autoSpaceDN w:val="0"/>
        <w:adjustRightInd w:val="0"/>
        <w:spacing w:line="240" w:lineRule="auto"/>
        <w:rPr>
          <w:noProof/>
          <w:sz w:val="16"/>
          <w:szCs w:val="16"/>
        </w:rPr>
      </w:pPr>
      <w:r>
        <w:rPr>
          <w:noProof/>
          <w:sz w:val="16"/>
        </w:rPr>
        <w:t>Прилагането на МСФО 15 не е оказало значително въздействие върху финансовите отчети на механизма.</w:t>
      </w:r>
    </w:p>
    <w:p>
      <w:pPr>
        <w:pStyle w:val="Normal1000"/>
        <w:autoSpaceDE w:val="0"/>
        <w:autoSpaceDN w:val="0"/>
        <w:adjustRightInd w:val="0"/>
        <w:spacing w:line="240" w:lineRule="auto"/>
        <w:rPr>
          <w:noProof/>
          <w:sz w:val="16"/>
          <w:szCs w:val="16"/>
        </w:rPr>
      </w:pPr>
    </w:p>
    <w:p>
      <w:pPr>
        <w:pStyle w:val="Normal1000"/>
        <w:spacing w:before="60" w:after="60"/>
        <w:rPr>
          <w:rFonts w:cs="Arial"/>
          <w:i/>
          <w:noProof/>
          <w:sz w:val="16"/>
          <w:szCs w:val="16"/>
          <w:bdr w:val="none" w:sz="0" w:space="0" w:color="auto" w:frame="1"/>
        </w:rPr>
      </w:pPr>
      <w:r>
        <w:rPr>
          <w:i/>
          <w:noProof/>
          <w:sz w:val="16"/>
          <w:bdr w:val="none" w:sz="0" w:space="0" w:color="auto" w:frame="1"/>
        </w:rPr>
        <w:t>МСФО 22 Сделки в чуждестранна валута и авансово възнаграждение</w:t>
      </w:r>
    </w:p>
    <w:p>
      <w:pPr>
        <w:pStyle w:val="Normal9"/>
        <w:suppressAutoHyphens w:val="0"/>
        <w:rPr>
          <w:rFonts w:ascii="Arial" w:hAnsi="Arial"/>
          <w:noProof/>
          <w:sz w:val="16"/>
          <w:szCs w:val="16"/>
        </w:rPr>
      </w:pPr>
    </w:p>
    <w:p>
      <w:pPr>
        <w:pStyle w:val="Normal9"/>
        <w:suppressAutoHyphens w:val="0"/>
        <w:jc w:val="both"/>
        <w:rPr>
          <w:rFonts w:ascii="Arial" w:hAnsi="Arial"/>
          <w:noProof/>
          <w:sz w:val="16"/>
          <w:szCs w:val="16"/>
        </w:rPr>
      </w:pPr>
      <w:r>
        <w:rPr>
          <w:rFonts w:ascii="Arial" w:hAnsi="Arial"/>
          <w:noProof/>
          <w:sz w:val="16"/>
        </w:rPr>
        <w:t xml:space="preserve">В тълкуванието се пояснява, че при определянето на спот валутния курс, използван при първоначалното признаване на съответния актив, разход или приход (или част от него) при отписването на непаричен актив или пасив, свързан с авансово възнаграждение, датата на сделката е датата, на която субектът първоначално признава непаричния актив или пасив, произтичащ от авансовото възнаграждение. При многократни предварителни плащания или постъпления предприятието трябва да определи датата на сделките за всяко плащане или получаване на авансово възнаграждение. </w:t>
      </w:r>
    </w:p>
    <w:p>
      <w:pPr>
        <w:pStyle w:val="Normal9"/>
        <w:suppressAutoHyphens w:val="0"/>
        <w:jc w:val="both"/>
        <w:rPr>
          <w:rFonts w:ascii="Arial" w:hAnsi="Arial"/>
          <w:noProof/>
          <w:sz w:val="16"/>
          <w:szCs w:val="16"/>
        </w:rPr>
      </w:pPr>
      <w:r>
        <w:rPr>
          <w:rFonts w:ascii="Arial" w:hAnsi="Arial"/>
          <w:noProof/>
          <w:sz w:val="16"/>
        </w:rPr>
        <w:t>Приемането на настоящото тълкувание няма съществено отражение върху финансовите отчети на механизма.</w:t>
      </w:r>
    </w:p>
    <w:p>
      <w:pPr>
        <w:pStyle w:val="Normal9"/>
        <w:suppressAutoHyphens w:val="0"/>
        <w:jc w:val="both"/>
        <w:rPr>
          <w:rFonts w:ascii="Arial" w:hAnsi="Arial"/>
          <w:noProof/>
          <w:sz w:val="16"/>
          <w:szCs w:val="16"/>
        </w:rPr>
      </w:pPr>
    </w:p>
    <w:p>
      <w:pPr>
        <w:pStyle w:val="Normal9"/>
        <w:suppressAutoHyphens w:val="0"/>
        <w:jc w:val="both"/>
        <w:rPr>
          <w:rFonts w:ascii="Arial" w:hAnsi="Arial"/>
          <w:i/>
          <w:noProof/>
          <w:sz w:val="16"/>
          <w:szCs w:val="16"/>
        </w:rPr>
      </w:pPr>
      <w:r>
        <w:rPr>
          <w:rFonts w:ascii="Arial" w:hAnsi="Arial"/>
          <w:i/>
          <w:noProof/>
          <w:sz w:val="16"/>
        </w:rPr>
        <w:t>Годишни подобрения на МСФО, цикъл 2014—2016 г. (изменения на МСС 28)</w:t>
      </w:r>
    </w:p>
    <w:p>
      <w:pPr>
        <w:pStyle w:val="Normal9"/>
        <w:suppressAutoHyphens w:val="0"/>
        <w:jc w:val="both"/>
        <w:rPr>
          <w:rFonts w:ascii="Arial" w:hAnsi="Arial"/>
          <w:i/>
          <w:noProof/>
          <w:sz w:val="16"/>
          <w:szCs w:val="16"/>
        </w:rPr>
      </w:pPr>
    </w:p>
    <w:p>
      <w:pPr>
        <w:pStyle w:val="Normal9"/>
        <w:suppressAutoHyphens w:val="0"/>
        <w:jc w:val="both"/>
        <w:rPr>
          <w:rFonts w:ascii="Arial" w:hAnsi="Arial"/>
          <w:i/>
          <w:noProof/>
          <w:sz w:val="16"/>
          <w:szCs w:val="16"/>
        </w:rPr>
      </w:pPr>
      <w:r>
        <w:rPr>
          <w:rFonts w:ascii="Arial" w:hAnsi="Arial"/>
          <w:i/>
          <w:noProof/>
          <w:sz w:val="16"/>
        </w:rPr>
        <w:t>Изменения на МСС 28 „Инвестиции в асоциирани предприятия и съвместни предприятия“ — пояснение, че оценяването на дружеството, в които се инвестира, по справедлива стойност през печалбата или загубата е инвестиционен избор за всяка отделна инвестиция</w:t>
      </w:r>
    </w:p>
    <w:p>
      <w:pPr>
        <w:pStyle w:val="Normal9"/>
        <w:suppressAutoHyphens w:val="0"/>
        <w:jc w:val="both"/>
        <w:rPr>
          <w:rFonts w:ascii="Arial" w:hAnsi="Arial"/>
          <w:noProof/>
          <w:sz w:val="16"/>
          <w:szCs w:val="16"/>
        </w:rPr>
      </w:pPr>
    </w:p>
    <w:p>
      <w:pPr>
        <w:pStyle w:val="Normal9"/>
        <w:suppressAutoHyphens w:val="0"/>
        <w:jc w:val="both"/>
        <w:rPr>
          <w:rFonts w:ascii="Arial" w:hAnsi="Arial"/>
          <w:noProof/>
          <w:sz w:val="16"/>
          <w:szCs w:val="16"/>
        </w:rPr>
      </w:pPr>
      <w:r>
        <w:rPr>
          <w:rFonts w:ascii="Arial" w:hAnsi="Arial"/>
          <w:noProof/>
          <w:sz w:val="16"/>
        </w:rPr>
        <w:t xml:space="preserve">С измененията се пояснява, че субект, който е организация за рисков капитал, или друг отговарящ на условията субект, може да избере, при първоначалното признаване за всяка отделна инвестиция, да оценява своите инвестиции в асоциирани предприятия и съвместни предприятия по справедлива стойност през печалбата или загубата. Ако предприятие, което само по себе си не е инвестиционно предприятие, има дял в асоциирано предприятие или съвместно предприятие, което е инвестиционно предприятие, то може, при прилагане на метода на собствения капитал, да избере да запази оценяването по справедлива стойност, което това негово асоциирано предприятие или съвместно предприятие прилага към свои дялове в дъщерни предприятия. Този избор се прави поотделно за всяко асоциирано предприятие или съвместно предприятие на по-късната от следните дати: а) датата, на която асоциираното предприятие или съвместното предприятие е първоначално признато; б) датата, на която асоциираното предприятие или съвместното предприятие става инвестиционно предприятие; и в) датата, на която инвестиционното предприятие — асоциирано предприятие или съвместно предприятие — става за първи път предприятие майка. </w:t>
      </w:r>
    </w:p>
    <w:p>
      <w:pPr>
        <w:pStyle w:val="Normal9"/>
        <w:suppressAutoHyphens w:val="0"/>
        <w:jc w:val="both"/>
        <w:rPr>
          <w:rFonts w:ascii="Arial" w:hAnsi="Arial"/>
          <w:noProof/>
          <w:sz w:val="16"/>
          <w:szCs w:val="16"/>
          <w:highlight w:val="yellow"/>
        </w:rPr>
      </w:pPr>
      <w:r>
        <w:rPr>
          <w:rFonts w:ascii="Arial" w:hAnsi="Arial"/>
          <w:noProof/>
          <w:sz w:val="16"/>
        </w:rPr>
        <w:t>Механизмът няма инвестиции в съвместни предприятия. Следователно това няма съществено отражение върху финансовите отчети на механизма.</w:t>
      </w:r>
      <w:r>
        <w:rPr>
          <w:rFonts w:ascii="Arial" w:hAnsi="Arial"/>
          <w:noProof/>
          <w:sz w:val="16"/>
          <w:highlight w:val="yellow"/>
        </w:rPr>
        <w:t xml:space="preserve"> </w:t>
      </w:r>
    </w:p>
    <w:p>
      <w:pPr>
        <w:pStyle w:val="Normal9"/>
        <w:suppressAutoHyphens w:val="0"/>
        <w:jc w:val="both"/>
        <w:rPr>
          <w:rFonts w:ascii="Arial" w:hAnsi="Arial"/>
          <w:noProof/>
          <w:sz w:val="16"/>
          <w:szCs w:val="16"/>
          <w:highlight w:val="yellow"/>
        </w:rPr>
      </w:pPr>
    </w:p>
    <w:p>
      <w:pPr>
        <w:pStyle w:val="Normal90"/>
        <w:widowControl w:val="0"/>
        <w:autoSpaceDE w:val="0"/>
        <w:spacing w:before="60" w:after="60"/>
        <w:jc w:val="both"/>
        <w:rPr>
          <w:rFonts w:ascii="Arial" w:hAnsi="Arial"/>
          <w:noProof/>
          <w:sz w:val="16"/>
          <w:szCs w:val="16"/>
          <w:highlight w:val="yellow"/>
        </w:rPr>
      </w:pPr>
      <w:r>
        <w:rPr>
          <w:rFonts w:ascii="Arial" w:hAnsi="Arial"/>
          <w:b/>
          <w:noProof/>
          <w:sz w:val="16"/>
        </w:rPr>
        <w:t>Издадени стандарти, които още не са приети</w:t>
      </w:r>
    </w:p>
    <w:p>
      <w:pPr>
        <w:pStyle w:val="Normal10"/>
        <w:spacing w:before="60" w:after="60"/>
        <w:rPr>
          <w:rFonts w:cs="Arial"/>
          <w:noProof/>
          <w:sz w:val="16"/>
          <w:szCs w:val="16"/>
          <w:bdr w:val="nil"/>
        </w:rPr>
      </w:pPr>
    </w:p>
    <w:p>
      <w:pPr>
        <w:pStyle w:val="Normal10"/>
        <w:spacing w:line="240" w:lineRule="auto"/>
        <w:rPr>
          <w:rFonts w:cs="Arial"/>
          <w:i/>
          <w:noProof/>
          <w:sz w:val="16"/>
          <w:szCs w:val="16"/>
          <w:bdr w:val="nil"/>
        </w:rPr>
      </w:pPr>
      <w:r>
        <w:rPr>
          <w:i/>
          <w:noProof/>
          <w:sz w:val="16"/>
          <w:bdr w:val="nil"/>
        </w:rPr>
        <w:t>МСФО 16 Лизинг</w:t>
      </w:r>
    </w:p>
    <w:p>
      <w:pPr>
        <w:pStyle w:val="Normal10"/>
        <w:spacing w:line="240" w:lineRule="auto"/>
        <w:rPr>
          <w:rFonts w:cs="Arial"/>
          <w:i/>
          <w:noProof/>
          <w:sz w:val="16"/>
          <w:szCs w:val="16"/>
          <w:bdr w:val="nil"/>
        </w:rPr>
      </w:pPr>
    </w:p>
    <w:p>
      <w:pPr>
        <w:pStyle w:val="Normal10"/>
        <w:spacing w:before="60" w:after="60" w:line="240" w:lineRule="auto"/>
        <w:rPr>
          <w:rFonts w:cs="Arial"/>
          <w:noProof/>
          <w:sz w:val="16"/>
          <w:szCs w:val="16"/>
          <w:bdr w:val="nil"/>
        </w:rPr>
      </w:pPr>
      <w:r>
        <w:rPr>
          <w:noProof/>
          <w:sz w:val="16"/>
          <w:bdr w:val="nil"/>
        </w:rPr>
        <w:t xml:space="preserve">МСФО 16 бе издаден през януари 2016 г. и заменя настоящите насоки на МСС 17. В резултат на него почти всички лизинги се отбелязват в счетоводния баланс, тъй като се премахва разграничението между оперативен и финансов лизинг. Съгласно новия стандарт се признават актив (правото да се използва наета вещ) и финансов пасив за заплащане на наеми. Единствените изключения са краткосрочните лизинги и тези с ниска стойност. Счетоводството на лизингодателите няма да се промени съществено. </w:t>
      </w:r>
    </w:p>
    <w:p>
      <w:pPr>
        <w:pStyle w:val="Normal10"/>
        <w:spacing w:before="60" w:after="60" w:line="240" w:lineRule="auto"/>
        <w:rPr>
          <w:rFonts w:cs="Arial"/>
          <w:noProof/>
          <w:sz w:val="16"/>
          <w:szCs w:val="16"/>
          <w:bdr w:val="nil"/>
        </w:rPr>
      </w:pPr>
    </w:p>
    <w:p>
      <w:pPr>
        <w:pStyle w:val="Normal10"/>
        <w:spacing w:before="60" w:after="60" w:line="240" w:lineRule="auto"/>
        <w:rPr>
          <w:rFonts w:cs="Arial"/>
          <w:noProof/>
          <w:sz w:val="16"/>
          <w:szCs w:val="16"/>
          <w:bdr w:val="nil"/>
        </w:rPr>
      </w:pPr>
      <w:r>
        <w:rPr>
          <w:noProof/>
          <w:sz w:val="16"/>
          <w:bdr w:val="nil"/>
        </w:rPr>
        <w:t xml:space="preserve">МСФО 16 беше одобрен от ЕС на 31 октомври 2017 г. е в сила за годишните отчетни периоди, започващи на или след 1 януари 2019 г., с разрешено ранно приемане, ако се прилага МСФО 15. </w:t>
      </w:r>
    </w:p>
    <w:p>
      <w:pPr>
        <w:pStyle w:val="Normal10"/>
        <w:spacing w:before="60" w:after="60" w:line="240" w:lineRule="auto"/>
        <w:rPr>
          <w:rFonts w:cs="Arial"/>
          <w:noProof/>
          <w:sz w:val="16"/>
          <w:szCs w:val="16"/>
          <w:bdr w:val="nil"/>
        </w:rPr>
      </w:pPr>
    </w:p>
    <w:p>
      <w:pPr>
        <w:pStyle w:val="Normal10"/>
        <w:spacing w:before="60" w:after="60" w:line="240" w:lineRule="auto"/>
        <w:rPr>
          <w:rFonts w:cs="Arial"/>
          <w:noProof/>
          <w:sz w:val="16"/>
          <w:szCs w:val="16"/>
          <w:bdr w:val="nil"/>
        </w:rPr>
      </w:pPr>
      <w:r>
        <w:rPr>
          <w:noProof/>
          <w:sz w:val="16"/>
          <w:bdr w:val="nil"/>
        </w:rPr>
        <w:t>Механизмът очаква, че тази промяна няма да окаже съществено отражение върху финансовите отчети на механизма.</w:t>
      </w:r>
    </w:p>
    <w:p>
      <w:pPr>
        <w:pStyle w:val="Normal9"/>
        <w:rPr>
          <w:noProof/>
          <w:sz w:val="20"/>
          <w:szCs w:val="20"/>
        </w:rPr>
      </w:pPr>
    </w:p>
    <w:p>
      <w:pPr>
        <w:pStyle w:val="Title11"/>
        <w:numPr>
          <w:ilvl w:val="1"/>
          <w:numId w:val="118"/>
        </w:numPr>
        <w:rPr>
          <w:b/>
          <w:noProof/>
          <w:sz w:val="16"/>
          <w:szCs w:val="16"/>
        </w:rPr>
      </w:pPr>
      <w:r>
        <w:rPr>
          <w:b/>
          <w:noProof/>
          <w:sz w:val="16"/>
        </w:rPr>
        <w:t>Обобщение на важните счетоводни политики</w:t>
      </w:r>
    </w:p>
    <w:p>
      <w:pPr>
        <w:pStyle w:val="Title11"/>
        <w:numPr>
          <w:ilvl w:val="0"/>
          <w:numId w:val="0"/>
        </w:numPr>
        <w:spacing w:before="60" w:after="60"/>
        <w:rPr>
          <w:noProof/>
          <w:sz w:val="16"/>
          <w:szCs w:val="16"/>
        </w:rPr>
      </w:pPr>
    </w:p>
    <w:p>
      <w:pPr>
        <w:pStyle w:val="Title11"/>
        <w:numPr>
          <w:ilvl w:val="0"/>
          <w:numId w:val="0"/>
        </w:numPr>
        <w:spacing w:before="60" w:after="60"/>
        <w:rPr>
          <w:noProof/>
          <w:sz w:val="16"/>
          <w:szCs w:val="16"/>
        </w:rPr>
      </w:pPr>
      <w:r>
        <w:rPr>
          <w:noProof/>
          <w:sz w:val="16"/>
        </w:rPr>
        <w:t>Отчетът за финансовото състояние представлява активи и пасиви по ред на намаляваща ликвидност и не прави разлика между текущи и нетекущи позиции.</w:t>
      </w:r>
    </w:p>
    <w:p>
      <w:pPr>
        <w:pStyle w:val="Title11"/>
        <w:numPr>
          <w:ilvl w:val="0"/>
          <w:numId w:val="0"/>
        </w:numPr>
        <w:spacing w:before="60" w:after="60"/>
        <w:rPr>
          <w:noProof/>
          <w:sz w:val="16"/>
          <w:szCs w:val="16"/>
        </w:rPr>
      </w:pPr>
    </w:p>
    <w:p>
      <w:pPr>
        <w:pStyle w:val="Title11"/>
        <w:numPr>
          <w:ilvl w:val="2"/>
          <w:numId w:val="118"/>
        </w:numPr>
        <w:tabs>
          <w:tab w:val="right" w:pos="720"/>
        </w:tabs>
        <w:rPr>
          <w:b/>
          <w:noProof/>
          <w:sz w:val="16"/>
          <w:szCs w:val="16"/>
        </w:rPr>
      </w:pPr>
      <w:bookmarkStart w:id="242" w:name="_Ref110032770"/>
      <w:r>
        <w:rPr>
          <w:b/>
          <w:noProof/>
          <w:sz w:val="16"/>
        </w:rPr>
        <w:t xml:space="preserve"> Конвертиране на чужда валута</w:t>
      </w:r>
      <w:bookmarkEnd w:id="242"/>
    </w:p>
    <w:p>
      <w:pPr>
        <w:pStyle w:val="Title111"/>
        <w:numPr>
          <w:ilvl w:val="0"/>
          <w:numId w:val="0"/>
        </w:numPr>
        <w:spacing w:before="60" w:after="60"/>
        <w:rPr>
          <w:noProof/>
          <w:sz w:val="16"/>
          <w:szCs w:val="16"/>
        </w:rPr>
      </w:pPr>
    </w:p>
    <w:p>
      <w:pPr>
        <w:pStyle w:val="Normal9"/>
        <w:spacing w:before="60" w:after="60"/>
        <w:jc w:val="both"/>
        <w:rPr>
          <w:rFonts w:ascii="Arial" w:hAnsi="Arial"/>
          <w:noProof/>
          <w:sz w:val="16"/>
          <w:szCs w:val="16"/>
        </w:rPr>
      </w:pPr>
      <w:r>
        <w:rPr>
          <w:rFonts w:ascii="Arial" w:hAnsi="Arial"/>
          <w:noProof/>
          <w:sz w:val="16"/>
        </w:rPr>
        <w:t xml:space="preserve">Механизмът използва еврото (EUR) за представяне на своите финансови отчети, което е също така функционалната валута. Освен ако не е посочено друго, финансовата информация, представена в евро, е закръглена до най-близкото хиляда. </w:t>
      </w:r>
    </w:p>
    <w:p>
      <w:pPr>
        <w:pStyle w:val="Normal9"/>
        <w:spacing w:before="60" w:after="60"/>
        <w:jc w:val="both"/>
        <w:rPr>
          <w:rFonts w:ascii="Arial" w:hAnsi="Arial"/>
          <w:noProof/>
          <w:sz w:val="16"/>
          <w:szCs w:val="16"/>
        </w:rPr>
      </w:pPr>
    </w:p>
    <w:p>
      <w:pPr>
        <w:pStyle w:val="NotesText"/>
        <w:spacing w:before="60" w:line="240" w:lineRule="auto"/>
        <w:rPr>
          <w:rFonts w:cs="Times New Roman"/>
          <w:noProof/>
          <w:sz w:val="16"/>
          <w:szCs w:val="16"/>
        </w:rPr>
      </w:pPr>
      <w:r>
        <w:rPr>
          <w:noProof/>
          <w:sz w:val="16"/>
        </w:rPr>
        <w:t xml:space="preserve">Операциите в чужда валута се конвертират в евро по валутния курс, който е в сила към деня на операцията. </w:t>
      </w:r>
    </w:p>
    <w:p>
      <w:pPr>
        <w:pStyle w:val="NotesText"/>
        <w:spacing w:before="60" w:line="240" w:lineRule="auto"/>
        <w:rPr>
          <w:rFonts w:cs="Times New Roman"/>
          <w:noProof/>
          <w:sz w:val="16"/>
          <w:szCs w:val="16"/>
        </w:rPr>
      </w:pPr>
    </w:p>
    <w:p>
      <w:pPr>
        <w:pStyle w:val="NotesText"/>
        <w:spacing w:before="60" w:line="240" w:lineRule="auto"/>
        <w:rPr>
          <w:rFonts w:cs="Times New Roman"/>
          <w:noProof/>
          <w:sz w:val="16"/>
          <w:szCs w:val="16"/>
        </w:rPr>
      </w:pPr>
      <w:r>
        <w:rPr>
          <w:noProof/>
          <w:sz w:val="16"/>
        </w:rPr>
        <w:t>Паричните активи и пасиви, изразени във валута, различна от евро, се конвертират в евро по валутния курс, който е в сила към датата на отчета за финансовото състояние. Печалбата или загубата от такова конвертиране се записват в отчета за печалбата или загубата и другия всеобхватен доход.</w:t>
      </w:r>
    </w:p>
    <w:p>
      <w:pPr>
        <w:pStyle w:val="NotesText"/>
        <w:spacing w:before="60" w:line="240" w:lineRule="auto"/>
        <w:rPr>
          <w:rFonts w:cs="Times New Roman"/>
          <w:noProof/>
          <w:sz w:val="16"/>
          <w:szCs w:val="16"/>
        </w:rPr>
      </w:pPr>
    </w:p>
    <w:p>
      <w:pPr>
        <w:pStyle w:val="NotesText"/>
        <w:spacing w:before="60" w:line="240" w:lineRule="auto"/>
        <w:rPr>
          <w:rFonts w:cs="Times New Roman"/>
          <w:noProof/>
          <w:sz w:val="16"/>
          <w:szCs w:val="16"/>
        </w:rPr>
      </w:pPr>
      <w:r>
        <w:rPr>
          <w:noProof/>
          <w:sz w:val="16"/>
        </w:rPr>
        <w:t>Непаричните позиции, измерени по историческа стойност в чужда валута, се конвертират по валутния курс към датите на първоначалните операции. Непаричните позиции, измерени по справедлива стойност в чужда валута, се конвертират по валутния курс към датата на определяне на справедливата стойност.</w:t>
      </w:r>
    </w:p>
    <w:p>
      <w:pPr>
        <w:pStyle w:val="NotesText"/>
        <w:spacing w:before="60" w:line="240" w:lineRule="auto"/>
        <w:rPr>
          <w:rFonts w:cs="Times New Roman"/>
          <w:noProof/>
          <w:sz w:val="16"/>
          <w:szCs w:val="16"/>
        </w:rPr>
      </w:pPr>
    </w:p>
    <w:p>
      <w:pPr>
        <w:pStyle w:val="NotesText"/>
        <w:spacing w:before="60" w:line="240" w:lineRule="auto"/>
        <w:rPr>
          <w:rFonts w:cs="Times New Roman"/>
          <w:noProof/>
          <w:sz w:val="16"/>
          <w:szCs w:val="16"/>
        </w:rPr>
      </w:pPr>
      <w:r>
        <w:rPr>
          <w:noProof/>
          <w:sz w:val="16"/>
        </w:rPr>
        <w:t>Валутно-курсовите разлики, които се получават при извършване на операции по курсове, различни от курса в деня на операцията, и нереализираните валутно-курсови разлики за неизплатени парични активи и пасиви в чужда валута се признават в отчета за печалбата или загубата и другия всеобхватен доход.</w:t>
      </w:r>
    </w:p>
    <w:p>
      <w:pPr>
        <w:pStyle w:val="NotesText"/>
        <w:rPr>
          <w:noProof/>
          <w:sz w:val="16"/>
          <w:szCs w:val="16"/>
        </w:rPr>
      </w:pPr>
    </w:p>
    <w:p>
      <w:pPr>
        <w:pStyle w:val="NotesText"/>
        <w:rPr>
          <w:noProof/>
          <w:sz w:val="16"/>
          <w:szCs w:val="16"/>
        </w:rPr>
      </w:pPr>
      <w:r>
        <w:rPr>
          <w:noProof/>
          <w:sz w:val="16"/>
        </w:rPr>
        <w:t>Елементите от отчета за печалбата или загубата и другия всеобхватен доход се конвертират в евро по валутните курсове, които са в сила в деня на операцията.</w:t>
      </w:r>
    </w:p>
    <w:p>
      <w:pPr>
        <w:pStyle w:val="NotesText"/>
        <w:spacing w:before="60" w:line="240" w:lineRule="auto"/>
        <w:rPr>
          <w:rFonts w:cs="Times New Roman"/>
          <w:noProof/>
          <w:sz w:val="16"/>
          <w:szCs w:val="16"/>
        </w:rPr>
      </w:pPr>
    </w:p>
    <w:p>
      <w:pPr>
        <w:pStyle w:val="Title11"/>
        <w:numPr>
          <w:ilvl w:val="2"/>
          <w:numId w:val="118"/>
        </w:numPr>
        <w:tabs>
          <w:tab w:val="right" w:pos="720"/>
        </w:tabs>
        <w:rPr>
          <w:b/>
          <w:noProof/>
          <w:sz w:val="16"/>
          <w:szCs w:val="16"/>
        </w:rPr>
      </w:pPr>
      <w:r>
        <w:rPr>
          <w:b/>
          <w:noProof/>
          <w:sz w:val="16"/>
        </w:rPr>
        <w:t xml:space="preserve"> Финансови активи, различни от деривати</w:t>
      </w:r>
    </w:p>
    <w:p>
      <w:pPr>
        <w:pStyle w:val="Title111"/>
        <w:numPr>
          <w:ilvl w:val="0"/>
          <w:numId w:val="0"/>
        </w:numPr>
        <w:spacing w:before="60" w:after="60"/>
        <w:rPr>
          <w:rStyle w:val="Title111Char"/>
          <w:b/>
          <w:noProof/>
          <w:sz w:val="16"/>
          <w:szCs w:val="16"/>
        </w:rPr>
      </w:pPr>
    </w:p>
    <w:p>
      <w:pPr>
        <w:pStyle w:val="Normal91"/>
        <w:spacing w:line="240" w:lineRule="auto"/>
        <w:rPr>
          <w:noProof/>
        </w:rPr>
      </w:pPr>
      <w:r>
        <w:rPr>
          <w:noProof/>
          <w:sz w:val="16"/>
        </w:rPr>
        <w:t>Недериватните финансови инструменти първоначално се признават, като се използва датата на сетълмента.</w:t>
      </w:r>
    </w:p>
    <w:p>
      <w:pPr>
        <w:pStyle w:val="Title111"/>
        <w:numPr>
          <w:ilvl w:val="0"/>
          <w:numId w:val="0"/>
        </w:numPr>
        <w:spacing w:before="60" w:after="60"/>
        <w:ind w:left="680" w:hanging="680"/>
        <w:rPr>
          <w:rFonts w:cs="Arial"/>
          <w:noProof/>
          <w:sz w:val="16"/>
          <w:szCs w:val="16"/>
        </w:rPr>
      </w:pPr>
    </w:p>
    <w:p>
      <w:pPr>
        <w:pStyle w:val="Title111"/>
        <w:numPr>
          <w:ilvl w:val="0"/>
          <w:numId w:val="0"/>
        </w:numPr>
        <w:spacing w:before="60" w:after="60"/>
        <w:rPr>
          <w:rFonts w:cs="Arial"/>
          <w:b/>
          <w:noProof/>
          <w:sz w:val="16"/>
          <w:szCs w:val="16"/>
        </w:rPr>
      </w:pPr>
      <w:r>
        <w:rPr>
          <w:b/>
          <w:noProof/>
          <w:sz w:val="16"/>
        </w:rPr>
        <w:t>Класификация и оценяване</w:t>
      </w:r>
    </w:p>
    <w:p>
      <w:pPr>
        <w:pStyle w:val="Title111"/>
        <w:numPr>
          <w:ilvl w:val="0"/>
          <w:numId w:val="0"/>
        </w:numPr>
        <w:spacing w:before="60" w:after="60"/>
        <w:rPr>
          <w:rFonts w:cs="Arial"/>
          <w:noProof/>
          <w:sz w:val="16"/>
          <w:szCs w:val="16"/>
        </w:rPr>
      </w:pPr>
    </w:p>
    <w:p>
      <w:pPr>
        <w:pStyle w:val="Normal100"/>
        <w:rPr>
          <w:rFonts w:ascii="Arial" w:hAnsi="Arial" w:cs="Arial"/>
          <w:i/>
          <w:noProof/>
          <w:sz w:val="16"/>
          <w:szCs w:val="16"/>
        </w:rPr>
      </w:pPr>
      <w:r>
        <w:rPr>
          <w:rFonts w:ascii="Arial" w:hAnsi="Arial"/>
          <w:i/>
          <w:noProof/>
          <w:sz w:val="16"/>
        </w:rPr>
        <w:t>Финансови активи — Политика, приложима след 1 януари 2018 г.</w:t>
      </w:r>
    </w:p>
    <w:p>
      <w:pPr>
        <w:pStyle w:val="Normal100"/>
        <w:rPr>
          <w:rFonts w:ascii="Arial" w:hAnsi="Arial" w:cs="Arial"/>
          <w:i/>
          <w:noProof/>
          <w:sz w:val="16"/>
          <w:szCs w:val="16"/>
        </w:rPr>
      </w:pPr>
    </w:p>
    <w:p>
      <w:pPr>
        <w:pStyle w:val="NotesText"/>
        <w:spacing w:before="60" w:line="240" w:lineRule="auto"/>
        <w:rPr>
          <w:noProof/>
          <w:sz w:val="16"/>
          <w:szCs w:val="16"/>
        </w:rPr>
      </w:pPr>
      <w:r>
        <w:rPr>
          <w:noProof/>
          <w:sz w:val="16"/>
        </w:rPr>
        <w:t>При първоначалното признаване финансовите активи се класифицират като оценявани по амортизирана стойност („АС“), по справедлива стойност през друг всеобхватен доход (FVOCI) или по справедлива стойност през печалбата или загубата („FVTPL“), а финансовите пасиви се класифицират като оценявани по АС или FVTPL.</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rPr>
        <w:t>Съгласно МСФО 9 класифицирането започва с определяне дали финансовият актив се счита за дългов или капиталов инструмент. МСФО 9 се позовава на определенията в МСС 32 „Финансови инструменти: представяне“.</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rPr>
        <w:t>Дълговите инструменти са инструментите, които отговарят на определението за финансов пасив от гледна точка на контрагента, като например заеми, държавни и корпоративни облигации.</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rPr>
        <w:t>Дългов инструмент се класифицира по AC, ако отговаря на следните две условия и не е посочен по FVTPL:</w:t>
      </w:r>
    </w:p>
    <w:p>
      <w:pPr>
        <w:pStyle w:val="NotesText"/>
        <w:numPr>
          <w:ilvl w:val="0"/>
          <w:numId w:val="63"/>
        </w:numPr>
        <w:spacing w:before="60" w:line="240" w:lineRule="auto"/>
        <w:rPr>
          <w:noProof/>
          <w:sz w:val="16"/>
          <w:szCs w:val="16"/>
        </w:rPr>
      </w:pPr>
      <w:r>
        <w:rPr>
          <w:noProof/>
          <w:sz w:val="16"/>
        </w:rPr>
        <w:t>активът се държи в рамките на бизнес модел, чиято цел е активите да бъдат държани, за да се съберат договорните парични потоци; и</w:t>
      </w:r>
    </w:p>
    <w:p>
      <w:pPr>
        <w:pStyle w:val="NotesText"/>
        <w:numPr>
          <w:ilvl w:val="0"/>
          <w:numId w:val="63"/>
        </w:numPr>
        <w:spacing w:before="60" w:line="240" w:lineRule="auto"/>
        <w:rPr>
          <w:noProof/>
          <w:sz w:val="16"/>
          <w:szCs w:val="16"/>
        </w:rPr>
      </w:pPr>
      <w:r>
        <w:rPr>
          <w:noProof/>
          <w:sz w:val="16"/>
        </w:rPr>
        <w:t>съгласно договорните условия на финансовия актив на конкретни дати възникват парични потоци, които са единствено плащания по главница и лихва (критерий SPPI).</w:t>
      </w:r>
    </w:p>
    <w:p>
      <w:pPr>
        <w:pStyle w:val="NotesText"/>
        <w:spacing w:before="60" w:line="240" w:lineRule="auto"/>
        <w:ind w:firstLine="720"/>
        <w:rPr>
          <w:noProof/>
          <w:sz w:val="16"/>
          <w:szCs w:val="16"/>
        </w:rPr>
      </w:pPr>
    </w:p>
    <w:p>
      <w:pPr>
        <w:pStyle w:val="NotesText"/>
        <w:spacing w:before="60" w:line="240" w:lineRule="auto"/>
        <w:rPr>
          <w:noProof/>
          <w:sz w:val="16"/>
          <w:szCs w:val="16"/>
        </w:rPr>
      </w:pPr>
      <w:r>
        <w:rPr>
          <w:noProof/>
          <w:sz w:val="16"/>
        </w:rPr>
        <w:t>Дългов инструмент се класифицира по FVOCI само ако отговаря на следните две условия и не е посочен по FVTPL:</w:t>
      </w:r>
    </w:p>
    <w:p>
      <w:pPr>
        <w:pStyle w:val="NotesText"/>
        <w:numPr>
          <w:ilvl w:val="0"/>
          <w:numId w:val="64"/>
        </w:numPr>
        <w:spacing w:before="60" w:line="240" w:lineRule="auto"/>
        <w:rPr>
          <w:noProof/>
          <w:sz w:val="16"/>
          <w:szCs w:val="16"/>
        </w:rPr>
      </w:pPr>
      <w:r>
        <w:rPr>
          <w:noProof/>
          <w:sz w:val="16"/>
        </w:rPr>
        <w:t>активът се държи в рамките на бизнес модел, чиято цел е както събиране на договорни парични потоци, така и продажби на финансови активи, и</w:t>
      </w:r>
    </w:p>
    <w:p>
      <w:pPr>
        <w:pStyle w:val="NotesText"/>
        <w:numPr>
          <w:ilvl w:val="0"/>
          <w:numId w:val="64"/>
        </w:numPr>
        <w:spacing w:before="60" w:line="240" w:lineRule="auto"/>
        <w:rPr>
          <w:noProof/>
          <w:sz w:val="16"/>
          <w:szCs w:val="16"/>
        </w:rPr>
      </w:pPr>
      <w:r>
        <w:rPr>
          <w:noProof/>
          <w:sz w:val="16"/>
        </w:rPr>
        <w:t>съгласно договорните условия на финансовия актив на конкретни дати възникват парични потоци, които изпълняват критерия SPPI.</w:t>
      </w:r>
    </w:p>
    <w:p>
      <w:pPr>
        <w:pStyle w:val="NotesText"/>
        <w:spacing w:before="60" w:line="240" w:lineRule="auto"/>
        <w:ind w:firstLine="720"/>
        <w:rPr>
          <w:noProof/>
          <w:sz w:val="16"/>
          <w:szCs w:val="16"/>
        </w:rPr>
      </w:pPr>
    </w:p>
    <w:p>
      <w:pPr>
        <w:pStyle w:val="NotesText"/>
        <w:spacing w:before="60" w:line="240" w:lineRule="auto"/>
        <w:rPr>
          <w:noProof/>
          <w:sz w:val="16"/>
          <w:szCs w:val="16"/>
        </w:rPr>
      </w:pPr>
      <w:r>
        <w:rPr>
          <w:noProof/>
          <w:sz w:val="16"/>
        </w:rPr>
        <w:t>Горепосочените изисквания следва да се прилагат за цял финансов актив, дори ако съдържа внедрен дериват.</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rPr>
        <w:t>Капиталовите инструменти са инструменти, които отговарят на определението за собствен капитал от гледна точка на емитента, т.е. инструменти, които не съдържат договорно задължение за плащане и които доказват остатъчен дял в нетните активи на емитента. Капиталовите инструменти се оценяват по FVTPL.</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rPr>
        <w:t xml:space="preserve">При първоначалното признаване на капиталова инвестиция, която не е държана за търгуване, механизмът може неотменимо да избере да представи последващите промени в друг всеобхватен доход. Този избор се прави за всяка отделна инвестиция. </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rPr>
        <w:t xml:space="preserve">Всички други финансови активи се класифицират като оценявани по FVTPL. </w:t>
      </w:r>
    </w:p>
    <w:p>
      <w:pPr>
        <w:pStyle w:val="NotesText"/>
        <w:spacing w:before="60" w:line="240" w:lineRule="auto"/>
        <w:rPr>
          <w:noProof/>
          <w:sz w:val="16"/>
          <w:szCs w:val="16"/>
        </w:rPr>
      </w:pPr>
    </w:p>
    <w:p>
      <w:pPr>
        <w:pStyle w:val="NotesText"/>
        <w:spacing w:before="60" w:line="240" w:lineRule="auto"/>
        <w:rPr>
          <w:i/>
          <w:noProof/>
          <w:sz w:val="16"/>
          <w:szCs w:val="16"/>
        </w:rPr>
      </w:pPr>
      <w:r>
        <w:rPr>
          <w:i/>
          <w:noProof/>
          <w:sz w:val="16"/>
        </w:rPr>
        <w:t>Оценка на бизнес модела</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rPr>
        <w:t>Като ръководител на механизма, ЕИБ извършва оценка на целта на бизнес модела, при който дългов инструмент се държи на равнище портфейл, тъй като това най-добре отразява начина, по който бизнесът се управлява, а на управлението се предоставя информация. Разглежданата информация включва:</w:t>
      </w:r>
    </w:p>
    <w:p>
      <w:pPr>
        <w:pStyle w:val="NotesText"/>
        <w:numPr>
          <w:ilvl w:val="0"/>
          <w:numId w:val="65"/>
        </w:numPr>
        <w:spacing w:before="60" w:line="240" w:lineRule="auto"/>
        <w:rPr>
          <w:noProof/>
          <w:sz w:val="16"/>
          <w:szCs w:val="16"/>
        </w:rPr>
      </w:pPr>
      <w:r>
        <w:rPr>
          <w:noProof/>
          <w:sz w:val="16"/>
        </w:rPr>
        <w:t>обявените политики и цели за портфейла и функционирането на тези политики на практика. По-специално, дали стратегията на ръководството е насочена към получаване на приходи от договорни лихви, като поддържа специален профил на лихвените проценти, при който срокът на финансовите активи съвпада със срока на пасивите, които финансират тези активи, или реализира парични потоци чрез продажбата на активите;</w:t>
      </w:r>
    </w:p>
    <w:p>
      <w:pPr>
        <w:pStyle w:val="NotesText"/>
        <w:numPr>
          <w:ilvl w:val="0"/>
          <w:numId w:val="65"/>
        </w:numPr>
        <w:spacing w:before="60" w:line="240" w:lineRule="auto"/>
        <w:rPr>
          <w:noProof/>
          <w:sz w:val="16"/>
          <w:szCs w:val="16"/>
        </w:rPr>
      </w:pPr>
      <w:r>
        <w:rPr>
          <w:noProof/>
          <w:sz w:val="16"/>
        </w:rPr>
        <w:t>как резултатите на портфейла се оценяват и отчитат пред ръководството на механизма;</w:t>
      </w:r>
    </w:p>
    <w:p>
      <w:pPr>
        <w:pStyle w:val="NotesText"/>
        <w:numPr>
          <w:ilvl w:val="0"/>
          <w:numId w:val="65"/>
        </w:numPr>
        <w:spacing w:before="60" w:line="240" w:lineRule="auto"/>
        <w:rPr>
          <w:noProof/>
          <w:sz w:val="16"/>
          <w:szCs w:val="16"/>
        </w:rPr>
      </w:pPr>
      <w:r>
        <w:rPr>
          <w:noProof/>
          <w:sz w:val="16"/>
        </w:rPr>
        <w:t>рисковете, които засягат изпълнението на бизнес модела (и финансовите активи, държани в рамките на този бизнес модел), и как тези рискове се управляват; и</w:t>
      </w:r>
    </w:p>
    <w:p>
      <w:pPr>
        <w:pStyle w:val="NotesText"/>
        <w:numPr>
          <w:ilvl w:val="0"/>
          <w:numId w:val="65"/>
        </w:numPr>
        <w:spacing w:before="60" w:line="240" w:lineRule="auto"/>
        <w:rPr>
          <w:noProof/>
          <w:sz w:val="16"/>
          <w:szCs w:val="16"/>
        </w:rPr>
      </w:pPr>
      <w:r>
        <w:rPr>
          <w:noProof/>
          <w:sz w:val="16"/>
        </w:rPr>
        <w:t xml:space="preserve">честотата, обема и времето на извършване на продажбите в предходни периоди, причините за тези продажби и очакванията за бъдещи продажби. </w:t>
      </w:r>
    </w:p>
    <w:p>
      <w:pPr>
        <w:pStyle w:val="NotesText"/>
        <w:spacing w:before="60" w:line="240" w:lineRule="auto"/>
        <w:rPr>
          <w:noProof/>
          <w:sz w:val="16"/>
          <w:szCs w:val="16"/>
        </w:rPr>
      </w:pPr>
      <w:r>
        <w:rPr>
          <w:noProof/>
          <w:sz w:val="16"/>
        </w:rPr>
        <w:t>Информацията за продажбите обаче не се разглежда отделно, а като част от цялостна оценка на начина, по който се постига обявената от механизма цел за управление на финансовите активи, и на начина, по който се реализират паричните потоци.</w:t>
      </w:r>
    </w:p>
    <w:p>
      <w:pPr>
        <w:pStyle w:val="NotesText"/>
        <w:spacing w:before="60" w:line="240" w:lineRule="auto"/>
        <w:ind w:firstLine="720"/>
        <w:rPr>
          <w:noProof/>
          <w:sz w:val="16"/>
          <w:szCs w:val="16"/>
        </w:rPr>
      </w:pPr>
    </w:p>
    <w:p>
      <w:pPr>
        <w:pStyle w:val="Normal9"/>
        <w:suppressAutoHyphens w:val="0"/>
        <w:rPr>
          <w:rFonts w:ascii="Arial" w:hAnsi="Arial" w:cs="Arial"/>
          <w:i/>
          <w:noProof/>
          <w:sz w:val="16"/>
          <w:szCs w:val="16"/>
        </w:rPr>
      </w:pPr>
      <w:r>
        <w:rPr>
          <w:rFonts w:ascii="Arial" w:hAnsi="Arial"/>
          <w:i/>
          <w:noProof/>
          <w:sz w:val="16"/>
        </w:rPr>
        <w:t>Критерий единствено плащания по главница и лихва (SPPI)</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rPr>
        <w:t>За целите на тази оценка „главница“ се определя като справедливата стойност на дълговия инструмент при първоначалното признаване. Понятието „лихва“ се определя като възнаграждение за стойността на парите във времето и за кредитния риск, свързан с непогасената главница през определен период от време, както и за други основни рискове и разходи по кредитирането (напр. ликвиден риск и административни разходи), както и марж на печалбата.</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rPr>
        <w:t>При оценката на това дали договорните парични потоци представляват единствено плащания по главница и лихва, се вземат предвид договорните условия на инструмента. Това включва оценка дали финансовият актив съдържа договорно условие, което би могло да промени сроковете или размера на договорните парични потоци по такъв начин, че активът вече да не отговаря на това условие.</w:t>
      </w:r>
    </w:p>
    <w:p>
      <w:pPr>
        <w:pStyle w:val="NotesText"/>
        <w:spacing w:before="60" w:line="240" w:lineRule="auto"/>
        <w:ind w:firstLine="720"/>
        <w:rPr>
          <w:noProof/>
          <w:sz w:val="16"/>
          <w:szCs w:val="16"/>
        </w:rPr>
      </w:pPr>
    </w:p>
    <w:p>
      <w:pPr>
        <w:pStyle w:val="NotesText"/>
        <w:spacing w:before="60" w:line="240" w:lineRule="auto"/>
        <w:rPr>
          <w:i/>
          <w:noProof/>
          <w:sz w:val="16"/>
          <w:szCs w:val="16"/>
        </w:rPr>
      </w:pPr>
      <w:r>
        <w:rPr>
          <w:i/>
          <w:noProof/>
          <w:sz w:val="16"/>
        </w:rPr>
        <w:t>Финансови активи — Политика, приложима преди 1 януари 2018 г.</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rPr>
        <w:t>Механизмът класифицира своите финансови активи в една от следните категории:</w:t>
      </w:r>
    </w:p>
    <w:p>
      <w:pPr>
        <w:pStyle w:val="NotesText"/>
        <w:numPr>
          <w:ilvl w:val="0"/>
          <w:numId w:val="66"/>
        </w:numPr>
        <w:spacing w:before="60" w:line="240" w:lineRule="auto"/>
        <w:rPr>
          <w:noProof/>
          <w:sz w:val="16"/>
          <w:szCs w:val="16"/>
        </w:rPr>
      </w:pPr>
      <w:r>
        <w:rPr>
          <w:noProof/>
          <w:sz w:val="16"/>
        </w:rPr>
        <w:t>заеми и вземания (L&amp;R);</w:t>
      </w:r>
    </w:p>
    <w:p>
      <w:pPr>
        <w:pStyle w:val="NotesText"/>
        <w:numPr>
          <w:ilvl w:val="0"/>
          <w:numId w:val="66"/>
        </w:numPr>
        <w:spacing w:before="60" w:line="240" w:lineRule="auto"/>
        <w:rPr>
          <w:noProof/>
          <w:sz w:val="16"/>
          <w:szCs w:val="16"/>
        </w:rPr>
      </w:pPr>
      <w:r>
        <w:rPr>
          <w:noProof/>
          <w:sz w:val="16"/>
        </w:rPr>
        <w:t>активи, държани до падеж (HTM);</w:t>
      </w:r>
    </w:p>
    <w:p>
      <w:pPr>
        <w:pStyle w:val="NotesText"/>
        <w:numPr>
          <w:ilvl w:val="0"/>
          <w:numId w:val="66"/>
        </w:numPr>
        <w:spacing w:before="60" w:line="240" w:lineRule="auto"/>
        <w:rPr>
          <w:noProof/>
          <w:sz w:val="16"/>
          <w:szCs w:val="16"/>
        </w:rPr>
      </w:pPr>
      <w:r>
        <w:rPr>
          <w:noProof/>
          <w:sz w:val="16"/>
        </w:rPr>
        <w:t>на разположение за продажба (AFS);</w:t>
      </w:r>
    </w:p>
    <w:p>
      <w:pPr>
        <w:pStyle w:val="NotesText"/>
        <w:numPr>
          <w:ilvl w:val="0"/>
          <w:numId w:val="66"/>
        </w:numPr>
        <w:spacing w:before="60" w:line="240" w:lineRule="auto"/>
        <w:rPr>
          <w:noProof/>
          <w:sz w:val="16"/>
          <w:szCs w:val="16"/>
        </w:rPr>
      </w:pPr>
      <w:r>
        <w:rPr>
          <w:noProof/>
          <w:sz w:val="16"/>
        </w:rPr>
        <w:t>отчитани по справедлива стойност през печалбата или загубата (FVTPL).</w:t>
      </w:r>
    </w:p>
    <w:p>
      <w:pPr>
        <w:pStyle w:val="NotesText"/>
        <w:spacing w:before="60" w:line="240" w:lineRule="auto"/>
        <w:rPr>
          <w:i/>
          <w:noProof/>
          <w:sz w:val="16"/>
          <w:szCs w:val="16"/>
        </w:rPr>
      </w:pPr>
    </w:p>
    <w:p>
      <w:pPr>
        <w:pStyle w:val="NotesText"/>
        <w:spacing w:before="60" w:line="240" w:lineRule="auto"/>
        <w:rPr>
          <w:i/>
          <w:noProof/>
          <w:sz w:val="16"/>
          <w:szCs w:val="16"/>
        </w:rPr>
      </w:pPr>
      <w:r>
        <w:rPr>
          <w:i/>
          <w:noProof/>
          <w:sz w:val="16"/>
        </w:rPr>
        <w:t>Отписване</w:t>
      </w:r>
    </w:p>
    <w:p>
      <w:pPr>
        <w:pStyle w:val="NotesText"/>
        <w:spacing w:before="60" w:line="240" w:lineRule="auto"/>
        <w:rPr>
          <w:i/>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rPr>
        <w:t xml:space="preserve">Механизмът отписва финансов актив, когато изтекат договорните права върху паричните потоци от финансовия актив, или правата за получаване на договорните парични потоци се прехвърлят чрез сделка, при която механизмът или  прехвърля рисковете и ползите от собствеността върху финансовия актив, или запазва по същество всички рискове и ползи от собствеността, но не запазва контрола върху финансовия актив. </w:t>
      </w:r>
    </w:p>
    <w:p>
      <w:pPr>
        <w:pStyle w:val="Normal90"/>
        <w:tabs>
          <w:tab w:val="left" w:pos="1560"/>
        </w:tabs>
        <w:suppressAutoHyphens w:val="0"/>
        <w:spacing w:before="60" w:after="60"/>
        <w:jc w:val="both"/>
        <w:rPr>
          <w:rFonts w:ascii="Arial" w:hAnsi="Arial"/>
          <w:noProof/>
          <w:sz w:val="16"/>
          <w:szCs w:val="16"/>
        </w:rPr>
      </w:pPr>
    </w:p>
    <w:p>
      <w:pPr>
        <w:pStyle w:val="Normal100"/>
        <w:jc w:val="both"/>
        <w:rPr>
          <w:rFonts w:ascii="Arial" w:hAnsi="Arial" w:cs="Arial"/>
          <w:noProof/>
          <w:sz w:val="16"/>
          <w:szCs w:val="16"/>
        </w:rPr>
      </w:pPr>
      <w:r>
        <w:rPr>
          <w:rFonts w:ascii="Arial" w:hAnsi="Arial"/>
          <w:noProof/>
          <w:sz w:val="16"/>
        </w:rPr>
        <w:t>При отписване на финансов актив или финансов пасив (бележка 2.4.4) разликата между балансовата стойност на актива или пасива (или балансовата стойност, разпределена за частта от отписания актив или пасив) и сумата от i) полученото или платено възнаграждение и ii) всяка кумулативна печалба или загуба, която е била призната в друг всеобхватен доход, се признава в печалбата или загубата, с изключение на кумулативните печалби или загуби, признати в друг всеобхватен доход за капиталови инвестиции, отчетени по справедлива стойност в друг всеобхватен доход, които са прехвърлени в резервния фонд, а не в печалбата или загубата при освобождаване.</w:t>
      </w:r>
    </w:p>
    <w:p>
      <w:pPr>
        <w:pStyle w:val="NotesText"/>
        <w:spacing w:before="60" w:line="240" w:lineRule="auto"/>
        <w:rPr>
          <w:noProof/>
          <w:sz w:val="16"/>
          <w:szCs w:val="16"/>
        </w:rPr>
      </w:pPr>
    </w:p>
    <w:p>
      <w:pPr>
        <w:pStyle w:val="Normal100"/>
        <w:rPr>
          <w:rFonts w:cs="Arial"/>
          <w:i/>
          <w:noProof/>
        </w:rPr>
      </w:pPr>
      <w:r>
        <w:rPr>
          <w:rFonts w:ascii="Arial" w:hAnsi="Arial"/>
          <w:i/>
          <w:noProof/>
          <w:sz w:val="16"/>
        </w:rPr>
        <w:t>Прекласификация</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rPr>
        <w:t>Финансовите активи не се прекласифицират след първоначалното им признаване, освен в периода след промяната от страна на механизмът на неговия бизнес модел за управление на финансовите активи.</w:t>
      </w:r>
    </w:p>
    <w:p>
      <w:pPr>
        <w:pStyle w:val="Normal90"/>
        <w:tabs>
          <w:tab w:val="left" w:pos="1560"/>
        </w:tabs>
        <w:suppressAutoHyphens w:val="0"/>
        <w:spacing w:before="60" w:after="60"/>
        <w:jc w:val="both"/>
        <w:rPr>
          <w:rFonts w:ascii="Arial" w:hAnsi="Arial" w:cs="Arial"/>
          <w:noProof/>
          <w:sz w:val="16"/>
          <w:szCs w:val="16"/>
        </w:rPr>
      </w:pPr>
    </w:p>
    <w:p>
      <w:pPr>
        <w:pStyle w:val="Normal90"/>
        <w:widowControl w:val="0"/>
        <w:autoSpaceDE w:val="0"/>
        <w:spacing w:before="60" w:after="60"/>
        <w:jc w:val="both"/>
        <w:rPr>
          <w:rFonts w:ascii="Arial" w:hAnsi="Arial"/>
          <w:i/>
          <w:noProof/>
          <w:sz w:val="16"/>
          <w:szCs w:val="16"/>
        </w:rPr>
      </w:pPr>
      <w:r>
        <w:rPr>
          <w:rFonts w:ascii="Arial" w:hAnsi="Arial"/>
          <w:i/>
          <w:noProof/>
          <w:sz w:val="16"/>
        </w:rPr>
        <w:t>Измерване на справедливите стойности на финансовите инструменти</w:t>
      </w:r>
    </w:p>
    <w:p>
      <w:pPr>
        <w:pStyle w:val="Normal90"/>
        <w:widowControl w:val="0"/>
        <w:autoSpaceDE w:val="0"/>
        <w:spacing w:before="60" w:after="60"/>
        <w:jc w:val="both"/>
        <w:rPr>
          <w:rFonts w:ascii="Arial" w:hAnsi="Arial"/>
          <w:i/>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rPr>
        <w:t xml:space="preserve">Справедливата стойност е цената, която ще бъде получена за продажбата на актив или платена за прехвърлянето на пасив в обичайна сделка между пазарни участници към датата на оценяване на главницата, или при липса на такава — на най-изгодния пазар, до който механизмът има достъп към тази дата. </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rPr>
        <w:t>Когато е приложимо, ЕИБ от името на механизма измерва справедливата стойност на даден инструмент, като използва обявената за този инструмент цена на действащ пазар. Даден пазар се смята за действащ, ако се извършват сделки за активи или пасиви с достатъчна честота и обем, така че да се осигурява непрекъсната ценова информация.</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rPr>
        <w:t>Когато справедливата стойност на финансовите активи и пасиви, вписани в отчета за финансовото състояние, не може да бъде установена от действащите пазари, тя се определя с помощта на редица техники за оценка, в това число чрез използване на математически модели. При възможност данните за тези модели се вземат от наблюдаваните пазари, но ако това не е осъществимо, се налага определена степен на преценяване при установяване на справедливите стойности. Избраният модел за остойностяване включва всички фактори, които участниците на пазара биха взели предвид при определянето на цената на сделката.</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rPr>
        <w:t>Тези методи за остойностяване могат да включват модели за нетната настояща стойност и дисконтирания паричен поток, сравнение със сходни инструменти, за които съществуват наблюдаеми пазарни цени, модела на ценообразуване Блек-Шоулс, модела за полиномните опции и други модели за оценка. Допусканията и данните, използвани в методите за остойностяване, включват безрискови и референтни лихвени проценти, кредитни спредове, използвани при оценяването на дисконтовите проценти, цените на облигациите и ценните книжа, валутните курсове, цените на собствения капитал и индекса на собствения капитал и очакваните ценови колебания и корелации.</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rPr>
        <w:t>Целта на методите за остойностяване е да се достигне до справедлива стойност, която отразява цената, която би била получена за продажбата на актив или платена при прехвърлянето на пасив в обичайна сделка между пазарни участници към датата на оценяване.</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rPr>
        <w:t>Механизмът използва широко признати модели за остойностяване за определяне на справедливата стойност на общи и по-опростени финансови инструменти, като лихвени и валутни суапове, които използват само наблюдаеми пазарни данни и изискват ограничена управленска преценка и прогноза. Наблюдаемите цени и данните за модела обикновено са налични на пазара за котирани дългови и капиталови ценни книжа, търгувани на борсата деривати и прости извънборсови дериватни инструменти, като например лихвени суапове. Наличността на наблюдаемите пазарни цени и данни за модела намалява необходимостта от управленска преценка и прогноза и също намалява несигурността при определяне на справедливите стойности. Наличността на наблюдаемите пазарни цени и данни варира в зависимост от продуктите и пазарите и има тенденция да се променя под влияние на конкретни събития и общите условия на финансовите пазари.</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rPr>
        <w:t>При по-сложните инструменти механизмът използва собствени модели за остойностяване, които са разработени от признати модели за оценка. Възможно е някои или всички значими данни в тези модели да не са наблюдаеми на пазара, а да са получени от пазарни цени или проценти или да са определени приблизително въз основа на предположения. Примери за инструменти, включващи значими ненаблюдаеми данни, са някои заеми и гаранции, за които няма действащ пазар. Моделите за остойностяване, които използват значими ненаблюдаеми данни, изискват по-висока степен на управленска преценка и прогноза при определянето на справедливата стойност. Управленска преценка и оценка обикновено се изискват при избора на подходящ модел за остойностяване, при определяне на очакваните бъдещи парични потоци на оценявания финансов инструмент, определяне на вероятността от неизпълнение от страна на контрагента и определяне на предварителните плащания и подбора на подходящи дисконтови проценти.</w:t>
      </w:r>
    </w:p>
    <w:p>
      <w:pPr>
        <w:pStyle w:val="Normal90"/>
        <w:widowControl w:val="0"/>
        <w:autoSpaceDE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rPr>
        <w:t>Механизмът измерва справедливата стойност, използвайки следната йерархия на справедливата стойност, която отразява значението на входящите данни, използвани при извършване на измерването:</w:t>
      </w:r>
    </w:p>
    <w:p>
      <w:pPr>
        <w:pStyle w:val="Normal90"/>
        <w:numPr>
          <w:ilvl w:val="0"/>
          <w:numId w:val="67"/>
        </w:numPr>
        <w:tabs>
          <w:tab w:val="left" w:pos="1560"/>
        </w:tabs>
        <w:suppressAutoHyphens w:val="0"/>
        <w:spacing w:before="60" w:after="60"/>
        <w:jc w:val="both"/>
        <w:rPr>
          <w:rFonts w:ascii="Arial" w:hAnsi="Arial"/>
          <w:noProof/>
          <w:sz w:val="16"/>
          <w:szCs w:val="16"/>
        </w:rPr>
      </w:pPr>
      <w:r>
        <w:rPr>
          <w:rFonts w:ascii="Arial" w:hAnsi="Arial"/>
          <w:noProof/>
          <w:sz w:val="16"/>
        </w:rPr>
        <w:t>Ниво 1: данни, които са некоригирани обявени цени на действащите пазари за идентични инструменти, до които механизмът има достъп.</w:t>
      </w:r>
    </w:p>
    <w:p>
      <w:pPr>
        <w:pStyle w:val="Normal90"/>
        <w:numPr>
          <w:ilvl w:val="0"/>
          <w:numId w:val="67"/>
        </w:numPr>
        <w:tabs>
          <w:tab w:val="left" w:pos="1560"/>
        </w:tabs>
        <w:suppressAutoHyphens w:val="0"/>
        <w:spacing w:before="60" w:after="60"/>
        <w:jc w:val="both"/>
        <w:rPr>
          <w:rFonts w:ascii="Arial" w:hAnsi="Arial"/>
          <w:noProof/>
          <w:sz w:val="16"/>
          <w:szCs w:val="16"/>
        </w:rPr>
      </w:pPr>
      <w:r>
        <w:rPr>
          <w:rFonts w:ascii="Arial" w:hAnsi="Arial"/>
          <w:noProof/>
          <w:sz w:val="16"/>
        </w:rPr>
        <w:t>Ниво 2: данни, различни от включените в ниво 1 обявени цени, които могат да се наблюдават пряко (т.е. цени) или косвено (т.е. въз основа на цените). Тази категория включва инструменти, оценявани чрез обявени пазарни цени на действащи пазари за сходни инструменти, обявени цени на идентични или сходни инструменти на пазари, които се считат за по-малко действащи, или други методи за остойностяване, когато всички значими данни са пряко или косвено наблюдаеми чрез пазарни данни.</w:t>
      </w:r>
    </w:p>
    <w:p>
      <w:pPr>
        <w:pStyle w:val="Normal90"/>
        <w:numPr>
          <w:ilvl w:val="0"/>
          <w:numId w:val="67"/>
        </w:numPr>
        <w:tabs>
          <w:tab w:val="left" w:pos="1560"/>
        </w:tabs>
        <w:suppressAutoHyphens w:val="0"/>
        <w:spacing w:before="60" w:after="60"/>
        <w:jc w:val="both"/>
        <w:rPr>
          <w:rFonts w:ascii="Arial" w:hAnsi="Arial"/>
          <w:noProof/>
          <w:sz w:val="16"/>
          <w:szCs w:val="16"/>
        </w:rPr>
      </w:pPr>
      <w:r>
        <w:rPr>
          <w:rFonts w:ascii="Arial" w:hAnsi="Arial"/>
          <w:noProof/>
          <w:sz w:val="16"/>
        </w:rPr>
        <w:t>Ниво 3: данни, които не са наблюдаеми. Тази категория включва всички инструменти, при които методът на остойностяване включва данни, които не се основават на наблюдаеми данни, и ненаблюдаемите данни имат значително въздействие върху остойностяването на инструмента. Тази категория включва инструменти, които се оценяват въз основа на обявените цени на сходни инструменти, при които са необходими значими ненаблюдаеми корекции или допускания, за да се отразят разликите между инструментите.</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rPr>
        <w:t>Механизмът позволява трансфери между отделни нива на йерархията на справедливата стойност в края на отчетния период, през който е настъпила промяната.</w:t>
      </w:r>
    </w:p>
    <w:p>
      <w:pPr>
        <w:pStyle w:val="Normal90"/>
        <w:tabs>
          <w:tab w:val="left" w:pos="1560"/>
        </w:tabs>
        <w:suppressAutoHyphens w:val="0"/>
        <w:spacing w:before="60" w:after="60"/>
        <w:jc w:val="both"/>
        <w:rPr>
          <w:bCs/>
          <w:i/>
          <w:noProof/>
          <w:sz w:val="16"/>
          <w:szCs w:val="16"/>
        </w:rPr>
      </w:pPr>
    </w:p>
    <w:p>
      <w:pPr>
        <w:pStyle w:val="Normal90"/>
        <w:tabs>
          <w:tab w:val="left" w:pos="1560"/>
        </w:tabs>
        <w:suppressAutoHyphens w:val="0"/>
        <w:spacing w:before="60" w:after="60"/>
        <w:jc w:val="both"/>
        <w:rPr>
          <w:rFonts w:ascii="Arial" w:hAnsi="Arial" w:cs="Arial"/>
          <w:b/>
          <w:bCs/>
          <w:i/>
          <w:noProof/>
          <w:sz w:val="16"/>
          <w:szCs w:val="16"/>
        </w:rPr>
      </w:pPr>
      <w:r>
        <w:rPr>
          <w:rFonts w:ascii="Arial" w:hAnsi="Arial"/>
          <w:b/>
          <w:i/>
          <w:noProof/>
          <w:sz w:val="16"/>
        </w:rPr>
        <w:t>Обезценка на финансови активи</w:t>
      </w:r>
    </w:p>
    <w:p>
      <w:pPr>
        <w:pStyle w:val="NotesText"/>
        <w:spacing w:before="60" w:line="240" w:lineRule="auto"/>
        <w:rPr>
          <w:bCs/>
          <w:i/>
          <w:noProof/>
          <w:sz w:val="16"/>
          <w:szCs w:val="16"/>
        </w:rPr>
      </w:pPr>
    </w:p>
    <w:p>
      <w:pPr>
        <w:pStyle w:val="Normal100"/>
        <w:rPr>
          <w:rFonts w:cs="Arial"/>
          <w:i/>
          <w:noProof/>
          <w:sz w:val="16"/>
          <w:szCs w:val="16"/>
        </w:rPr>
      </w:pPr>
      <w:r>
        <w:rPr>
          <w:rFonts w:ascii="Arial" w:hAnsi="Arial"/>
          <w:i/>
          <w:noProof/>
          <w:sz w:val="16"/>
        </w:rPr>
        <w:t>Обезценка — политика, приложима след 1 януари 2018 г.</w:t>
      </w:r>
    </w:p>
    <w:p>
      <w:pPr>
        <w:pStyle w:val="NotesText"/>
        <w:spacing w:before="60" w:line="240" w:lineRule="auto"/>
        <w:rPr>
          <w:bCs/>
          <w:i/>
          <w:noProof/>
          <w:sz w:val="16"/>
          <w:szCs w:val="16"/>
        </w:rPr>
      </w:pPr>
    </w:p>
    <w:p>
      <w:pPr>
        <w:pStyle w:val="Notes1"/>
        <w:numPr>
          <w:ilvl w:val="0"/>
          <w:numId w:val="0"/>
        </w:numPr>
        <w:tabs>
          <w:tab w:val="right" w:pos="-2700"/>
        </w:tabs>
        <w:spacing w:before="60" w:after="60"/>
        <w:rPr>
          <w:rFonts w:cs="Arial"/>
          <w:b w:val="0"/>
          <w:iCs/>
          <w:noProof/>
          <w:sz w:val="16"/>
          <w:szCs w:val="16"/>
        </w:rPr>
      </w:pPr>
      <w:r>
        <w:rPr>
          <w:b w:val="0"/>
          <w:noProof/>
          <w:sz w:val="16"/>
        </w:rPr>
        <w:t>МСФО 9 замества модела „понесени загуби“ в МСС 39 с ориентиран към бъдещето модел „очаквани кредитни загуби“ („ОКЗ“). Това ще изисква преценка за определяне на базовата променлива (PD, LGD, EAD), използвана за оценка на това как промените в икономическите и други фактори влияят на ОКЗ, което ще се определи въз основа на вероятностното претегляне.</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b w:val="0"/>
          <w:iCs/>
          <w:noProof/>
          <w:sz w:val="16"/>
          <w:szCs w:val="16"/>
        </w:rPr>
      </w:pPr>
      <w:r>
        <w:rPr>
          <w:b w:val="0"/>
          <w:noProof/>
          <w:sz w:val="16"/>
        </w:rPr>
        <w:t>Новият модел за обезценка ще се прилага за финансови активи, оценени по амортизирана стойност, за договори за финансова гаранция, както и за извънбалансови задължения.</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noProof/>
          <w:sz w:val="16"/>
        </w:rPr>
        <w:t>Съгласно МСФО 9 корективите за загуби ще се измерват въз основа на някое от следните основания:</w:t>
      </w:r>
    </w:p>
    <w:p>
      <w:pPr>
        <w:pStyle w:val="Notes1"/>
        <w:numPr>
          <w:ilvl w:val="0"/>
          <w:numId w:val="68"/>
        </w:numPr>
        <w:tabs>
          <w:tab w:val="right" w:pos="-2700"/>
        </w:tabs>
        <w:spacing w:before="60" w:after="60"/>
        <w:rPr>
          <w:rFonts w:cs="Arial"/>
          <w:iCs/>
          <w:noProof/>
          <w:sz w:val="16"/>
          <w:szCs w:val="16"/>
        </w:rPr>
      </w:pPr>
      <w:r>
        <w:rPr>
          <w:b w:val="0"/>
          <w:noProof/>
          <w:sz w:val="16"/>
        </w:rPr>
        <w:t>12-месечни ОКЗ: това са ОКЗ, които произтичат от евентуални случаи на неизпълнение в рамките на 12-те месеца след датата на отчитане; и</w:t>
      </w:r>
    </w:p>
    <w:p>
      <w:pPr>
        <w:pStyle w:val="Notes1"/>
        <w:numPr>
          <w:ilvl w:val="0"/>
          <w:numId w:val="68"/>
        </w:numPr>
        <w:tabs>
          <w:tab w:val="right" w:pos="-2700"/>
        </w:tabs>
        <w:spacing w:before="60" w:after="60"/>
        <w:rPr>
          <w:rFonts w:cs="Arial"/>
          <w:b w:val="0"/>
          <w:iCs/>
          <w:noProof/>
          <w:sz w:val="16"/>
          <w:szCs w:val="16"/>
        </w:rPr>
      </w:pPr>
      <w:r>
        <w:rPr>
          <w:b w:val="0"/>
          <w:noProof/>
          <w:sz w:val="16"/>
        </w:rPr>
        <w:t>ОКЗ през целия жизнен цикъл: това са ОКЗ, които произтичат от всички възможни случаи на неизпълнение през очаквания живот на даден финансов инструмент.</w:t>
      </w:r>
    </w:p>
    <w:p>
      <w:pPr>
        <w:pStyle w:val="Notes1"/>
        <w:numPr>
          <w:ilvl w:val="0"/>
          <w:numId w:val="0"/>
        </w:numPr>
        <w:tabs>
          <w:tab w:val="right" w:pos="-2700"/>
        </w:tabs>
        <w:spacing w:before="60" w:after="60"/>
        <w:rPr>
          <w:rFonts w:cs="Arial"/>
          <w:iCs/>
          <w:noProof/>
          <w:sz w:val="16"/>
          <w:szCs w:val="16"/>
        </w:rPr>
      </w:pPr>
    </w:p>
    <w:p>
      <w:pPr>
        <w:pStyle w:val="Normal100"/>
        <w:jc w:val="both"/>
        <w:rPr>
          <w:rFonts w:ascii="Arial" w:hAnsi="Arial" w:cs="Arial"/>
          <w:noProof/>
          <w:sz w:val="16"/>
          <w:szCs w:val="16"/>
        </w:rPr>
      </w:pPr>
      <w:r>
        <w:rPr>
          <w:rFonts w:ascii="Arial" w:hAnsi="Arial"/>
          <w:noProof/>
          <w:sz w:val="16"/>
        </w:rPr>
        <w:t xml:space="preserve">Стандартът МСФО 9 определя „триетапен“ модел за обезценка, основан на промените в кредитното качество след първоначалното признаване. Финансовите инструменти се класифицират на етап 1 с изключение на онези инструменти, за които е установено значително увеличение на кредитния риск („SICR“) след първоначалното признаване. Това включва както количествена, така и качествена информация и анализ, основани на експертния опит на банката, включително и ориентирана към бъдещето информация. </w:t>
      </w:r>
    </w:p>
    <w:p>
      <w:pPr>
        <w:pStyle w:val="Normal100"/>
        <w:jc w:val="both"/>
        <w:rPr>
          <w:rFonts w:ascii="Arial" w:hAnsi="Arial" w:cs="Arial"/>
          <w:noProof/>
          <w:sz w:val="16"/>
          <w:szCs w:val="16"/>
        </w:rPr>
      </w:pPr>
    </w:p>
    <w:p>
      <w:pPr>
        <w:pStyle w:val="Normal100"/>
        <w:jc w:val="both"/>
        <w:rPr>
          <w:rFonts w:cs="Arial"/>
          <w:b/>
          <w:noProof/>
          <w:sz w:val="16"/>
          <w:szCs w:val="16"/>
        </w:rPr>
      </w:pPr>
      <w:r>
        <w:rPr>
          <w:rFonts w:ascii="Arial" w:hAnsi="Arial"/>
          <w:noProof/>
          <w:sz w:val="16"/>
        </w:rPr>
        <w:t>Закупени или създадени активи с кредитна обезценка („POCI“) са финансовите активи, които, от момента на първоначалното признаване, се считат за класирани в етап 3. За финансовите активи POCI кумулативните промени в ОКЗ през целия жизнен цикъл след първоначалното признаване се признават в отчета за печалбата или загубата.</w:t>
      </w:r>
    </w:p>
    <w:p>
      <w:pPr>
        <w:pStyle w:val="Normal100"/>
        <w:jc w:val="both"/>
        <w:rPr>
          <w:rFonts w:ascii="Arial" w:hAnsi="Arial" w:cs="Arial"/>
          <w:noProof/>
          <w:sz w:val="16"/>
          <w:szCs w:val="16"/>
        </w:rPr>
      </w:pPr>
    </w:p>
    <w:p>
      <w:pPr>
        <w:pStyle w:val="Normal100"/>
        <w:jc w:val="both"/>
        <w:rPr>
          <w:rFonts w:ascii="Arial" w:hAnsi="Arial" w:cs="Arial"/>
          <w:noProof/>
          <w:sz w:val="16"/>
          <w:szCs w:val="16"/>
        </w:rPr>
      </w:pPr>
      <w:r>
        <w:rPr>
          <w:rFonts w:ascii="Arial" w:hAnsi="Arial"/>
          <w:noProof/>
          <w:sz w:val="16"/>
        </w:rPr>
        <w:t xml:space="preserve">Оценката на механизма за съответния етап се основава на последователен подход, който е в съответствие с насоките за кредитния риск и с насоките и процедурите за финансов мониторинг, като по-специално включва списък за наблюдение, вътрешен рейтинг и просрочени задължения. </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noProof/>
          <w:sz w:val="16"/>
        </w:rPr>
        <w:t>Ако е настъпило значително увеличение на кредитния риск, финансовият инструмент се прехвърля към етап 2, но все още не се счита, че е с кредитна обезценка. Ако финансовият инструмент е с кредитна обезценка, той се прехвърля към етап 3.</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noProof/>
          <w:sz w:val="16"/>
        </w:rPr>
        <w:t>За да установи експозициите на етап 3, механизмът определя дали е налице обективно доказателство за събитие, свързано с неизпълнение. Счита се, че даден финансов актив е в неизпълнение, когато е малко вероятно заемополучателят да изплати изцяло своите кредитни задължения към механизма, без да прибягва до средствата на механизма, или когато просрочието на заемополучателя е с повече от 90 дни по което и да е съществено кредитно задължение към механизма.</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noProof/>
          <w:sz w:val="16"/>
        </w:rPr>
        <w:t>В това отношение даден финансов актив се счита за обезценен, когато се установи, че е вероятно механизмът да не може да събере всички дължими суми в съответствие с първоначалните договорни условия или еквивалентна стойност. Индивидуалните кредитни експозиции се оценяват въз основа на характеристиките на заемополучателя, общото финансово състояние, ресурсите и историческите данни за плащанията, перспективите за подкрепа от финансово отговорни гаранти и, когато е приложимо, реализуемата стойност на всяко обезпечение.</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noProof/>
          <w:sz w:val="16"/>
        </w:rPr>
        <w:t>Всички обезценени вземания се преглеждат и анализират най-малко два пъти годишно. Всички последващи промени в размера и времевия график на очакваните бъдещи парични потоци спрямо предварителните прогнози ще доведат до промяна на провизиите срещу загуби по кредити и ще бъдат начислени или кредитирани в отчета за доходите. Средствата за обезценка се възстановяват само когато кредитното качество се е подобрило, така че да е налице разумна гаранция за своевременно събиране на главницата и лихвата в съответствие с първоначалните договорни условия на споразумението за вземане по кредит. Отписване се прави, когато цялото вземане или част от него се счита за несъбираемо или за опростено. Отписванията се начисляват спрямо вече установени обезценки или директно към отчета за доходите и намаляват размера на главницата на дадено вземане. Частично или изцяло събраните суми, които вече са отписани, се кредитират в отчета за доходите.</w:t>
      </w:r>
    </w:p>
    <w:p>
      <w:pPr>
        <w:pStyle w:val="Normal100"/>
        <w:rPr>
          <w:rFonts w:ascii="Arial" w:hAnsi="Arial" w:cs="Arial"/>
          <w:i/>
          <w:noProof/>
          <w:sz w:val="16"/>
          <w:szCs w:val="16"/>
        </w:rPr>
      </w:pPr>
    </w:p>
    <w:p>
      <w:pPr>
        <w:pStyle w:val="Normal100"/>
        <w:rPr>
          <w:rFonts w:ascii="Arial" w:hAnsi="Arial" w:cs="Arial"/>
          <w:i/>
          <w:noProof/>
          <w:sz w:val="16"/>
          <w:szCs w:val="16"/>
        </w:rPr>
      </w:pPr>
      <w:r>
        <w:rPr>
          <w:rFonts w:ascii="Arial" w:hAnsi="Arial"/>
          <w:i/>
          <w:noProof/>
          <w:sz w:val="16"/>
        </w:rPr>
        <w:t>Оценяване на очакваните кредитни загуби (ОКЗ) — входящи данни, предположения и техники</w:t>
      </w:r>
    </w:p>
    <w:p>
      <w:pPr>
        <w:pStyle w:val="Normal100"/>
        <w:rPr>
          <w:noProof/>
        </w:rPr>
      </w:pPr>
    </w:p>
    <w:p>
      <w:pPr>
        <w:pStyle w:val="Notes1"/>
        <w:numPr>
          <w:ilvl w:val="0"/>
          <w:numId w:val="0"/>
        </w:numPr>
        <w:tabs>
          <w:tab w:val="right" w:pos="-2700"/>
        </w:tabs>
        <w:spacing w:before="60" w:after="60"/>
        <w:rPr>
          <w:rFonts w:cs="Arial"/>
          <w:iCs/>
          <w:noProof/>
          <w:sz w:val="16"/>
          <w:szCs w:val="16"/>
        </w:rPr>
      </w:pPr>
      <w:r>
        <w:rPr>
          <w:b w:val="0"/>
          <w:noProof/>
          <w:sz w:val="16"/>
        </w:rPr>
        <w:t xml:space="preserve">Оценяването на ОКЗ през целия жизнен цикъл се прилага за активите от етап 2 и етап 3, докато оценяването на 12-месечните ОКЗ се прилага за активите от етап 1. </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noProof/>
          <w:sz w:val="16"/>
        </w:rPr>
        <w:t>Очакваните кредитни загуби са изчислени въз основа на следните променливи:</w:t>
      </w:r>
    </w:p>
    <w:p>
      <w:pPr>
        <w:pStyle w:val="Notes1"/>
        <w:numPr>
          <w:ilvl w:val="0"/>
          <w:numId w:val="69"/>
        </w:numPr>
        <w:tabs>
          <w:tab w:val="right" w:pos="-2700"/>
        </w:tabs>
        <w:spacing w:before="60" w:after="60"/>
        <w:rPr>
          <w:rFonts w:cs="Arial"/>
          <w:iCs/>
          <w:noProof/>
          <w:sz w:val="16"/>
          <w:szCs w:val="16"/>
        </w:rPr>
      </w:pPr>
      <w:r>
        <w:rPr>
          <w:b w:val="0"/>
          <w:noProof/>
          <w:sz w:val="16"/>
        </w:rPr>
        <w:t>Вероятност от неизпълнение (PD),</w:t>
      </w:r>
    </w:p>
    <w:p>
      <w:pPr>
        <w:pStyle w:val="Notes1"/>
        <w:numPr>
          <w:ilvl w:val="0"/>
          <w:numId w:val="69"/>
        </w:numPr>
        <w:tabs>
          <w:tab w:val="right" w:pos="-2700"/>
        </w:tabs>
        <w:spacing w:before="60" w:after="60"/>
        <w:rPr>
          <w:rFonts w:cs="Arial"/>
          <w:iCs/>
          <w:noProof/>
          <w:sz w:val="16"/>
          <w:szCs w:val="16"/>
        </w:rPr>
      </w:pPr>
      <w:r>
        <w:rPr>
          <w:b w:val="0"/>
          <w:noProof/>
          <w:sz w:val="16"/>
        </w:rPr>
        <w:t>Загуба при неизпълнение (LGD),</w:t>
      </w:r>
    </w:p>
    <w:p>
      <w:pPr>
        <w:pStyle w:val="Notes1"/>
        <w:numPr>
          <w:ilvl w:val="0"/>
          <w:numId w:val="69"/>
        </w:numPr>
        <w:tabs>
          <w:tab w:val="right" w:pos="-2700"/>
        </w:tabs>
        <w:spacing w:before="60" w:after="60"/>
        <w:rPr>
          <w:rFonts w:cs="Arial"/>
          <w:iCs/>
          <w:noProof/>
          <w:sz w:val="16"/>
          <w:szCs w:val="16"/>
        </w:rPr>
      </w:pPr>
      <w:r>
        <w:rPr>
          <w:b w:val="0"/>
          <w:noProof/>
          <w:sz w:val="16"/>
        </w:rPr>
        <w:t>Експозиция при неизпълнение (EAD).</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b w:val="0"/>
          <w:iCs/>
          <w:noProof/>
          <w:sz w:val="16"/>
          <w:szCs w:val="16"/>
        </w:rPr>
      </w:pPr>
      <w:r>
        <w:rPr>
          <w:b w:val="0"/>
          <w:noProof/>
          <w:sz w:val="16"/>
        </w:rPr>
        <w:t xml:space="preserve">Вероятността от неизпълнение (PD) представлява вероятността контрагент да не изпълни своето финансово задължение или през следващите 12 месеца, или през оставащия срок на задължението. Вероятността от неизпълнение (PD) се определя към определена дата, която се изчислява въз основа на статистически рейтингови модели, и се оценява с помощта на рейтингови инструменти, адаптирани към различните категории контрагенти и експозиции. </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b w:val="0"/>
          <w:iCs/>
          <w:noProof/>
          <w:sz w:val="16"/>
          <w:szCs w:val="16"/>
        </w:rPr>
      </w:pPr>
      <w:r>
        <w:rPr>
          <w:b w:val="0"/>
          <w:noProof/>
          <w:sz w:val="16"/>
        </w:rPr>
        <w:t>Рейтингите са първичните данни за определянето на понятието структура на вероятността от неизпълнение (PD) за експозициите. ЕИБ събира информация за резултатите и за неизпълнението относно експозициите към кредитен риск на механизма. Събраните данни се сегментират по видове сектори и по видове региони. Различни сектори и региони, реагиращи по хомогенен начин на кредитните цикли, се анализират заедно.</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noProof/>
          <w:sz w:val="16"/>
        </w:rPr>
        <w:t xml:space="preserve">ЕИБ използва статистически модели, за да анализира събраните данни и да генерира прогнози за оставащия период на вероятността от неизпълнение (PD) за експозициите и как се очаква те да се променят в резултат на изминаващото време. </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noProof/>
          <w:sz w:val="16"/>
        </w:rPr>
        <w:t>Загубата при неизпълнение представлява очакването на ЕИБ за съотношението на загубата по експозиция, дължаща се на неизпълнение от страна на контрагент, към размера на неизплатената сума в случай на неизпълнение. Загубата при неизпълнение може да бъде определена също като „1 - процент на събиране“. Прогнозите за загубата при неизпълнение се определят главно по географски признак и по вид контрагент, с пет основни класа експозиции: държавни институции, публични институции, финансови институции, предприятия и финансиране на проекти. Стойностите на загубата при неизпълнение могат да бъдат допълнително коригирани въз основа на продукта и специфичните за договора характеристики на експозицията.</w:t>
      </w:r>
    </w:p>
    <w:p>
      <w:pPr>
        <w:pStyle w:val="Notes1"/>
        <w:numPr>
          <w:ilvl w:val="0"/>
          <w:numId w:val="0"/>
        </w:numPr>
        <w:tabs>
          <w:tab w:val="right" w:pos="-2700"/>
        </w:tabs>
        <w:spacing w:before="60" w:after="60"/>
        <w:rPr>
          <w:rFonts w:cs="Arial"/>
          <w:iCs/>
          <w:noProof/>
          <w:sz w:val="16"/>
          <w:szCs w:val="16"/>
        </w:rPr>
      </w:pPr>
    </w:p>
    <w:p>
      <w:pPr>
        <w:pStyle w:val="Notes1"/>
        <w:numPr>
          <w:ilvl w:val="0"/>
          <w:numId w:val="0"/>
        </w:numPr>
        <w:tabs>
          <w:tab w:val="right" w:pos="-2700"/>
        </w:tabs>
        <w:spacing w:before="60" w:after="60"/>
        <w:rPr>
          <w:rFonts w:cs="Arial"/>
          <w:iCs/>
          <w:noProof/>
          <w:sz w:val="16"/>
          <w:szCs w:val="16"/>
        </w:rPr>
      </w:pPr>
      <w:r>
        <w:rPr>
          <w:b w:val="0"/>
          <w:noProof/>
          <w:sz w:val="16"/>
        </w:rPr>
        <w:t>ЕИБ включва ориентирана към бъдещето информация както в своята оценка за това дали кредитният риск на даден инструмент се е увеличил значително след първоначалното му признаване, така и в своята оценка на очакваните кредитни загуби.</w:t>
      </w:r>
    </w:p>
    <w:p>
      <w:pPr>
        <w:pStyle w:val="Notes1"/>
        <w:numPr>
          <w:ilvl w:val="0"/>
          <w:numId w:val="0"/>
        </w:numPr>
        <w:tabs>
          <w:tab w:val="right" w:pos="-2700"/>
        </w:tabs>
        <w:spacing w:before="60" w:after="60"/>
        <w:rPr>
          <w:rFonts w:cs="Arial"/>
          <w:iCs/>
          <w:noProof/>
          <w:sz w:val="16"/>
          <w:szCs w:val="16"/>
        </w:rPr>
      </w:pPr>
    </w:p>
    <w:p>
      <w:pPr>
        <w:pStyle w:val="Normal100"/>
        <w:rPr>
          <w:rFonts w:cs="Arial"/>
          <w:i/>
          <w:noProof/>
          <w:sz w:val="16"/>
          <w:szCs w:val="16"/>
        </w:rPr>
      </w:pPr>
      <w:r>
        <w:rPr>
          <w:rFonts w:ascii="Arial" w:hAnsi="Arial"/>
          <w:i/>
          <w:noProof/>
          <w:sz w:val="16"/>
        </w:rPr>
        <w:t>Обезценка — политика, приложима преди 1 януари 2018 г.</w:t>
      </w:r>
    </w:p>
    <w:p>
      <w:pPr>
        <w:pStyle w:val="Notes1"/>
        <w:numPr>
          <w:ilvl w:val="0"/>
          <w:numId w:val="0"/>
        </w:numPr>
        <w:tabs>
          <w:tab w:val="right" w:pos="-2700"/>
        </w:tabs>
        <w:spacing w:before="60" w:after="60"/>
        <w:rPr>
          <w:rFonts w:cs="Arial"/>
          <w:iCs/>
          <w:noProof/>
          <w:sz w:val="16"/>
          <w:szCs w:val="16"/>
          <w:highlight w:val="yellow"/>
        </w:rPr>
      </w:pPr>
    </w:p>
    <w:p>
      <w:pPr>
        <w:pStyle w:val="Normal9"/>
        <w:suppressAutoHyphens w:val="0"/>
        <w:autoSpaceDE w:val="0"/>
        <w:autoSpaceDN w:val="0"/>
        <w:adjustRightInd w:val="0"/>
        <w:jc w:val="both"/>
        <w:rPr>
          <w:rFonts w:ascii="Arial" w:hAnsi="Arial" w:cs="Arial"/>
          <w:noProof/>
          <w:color w:val="000000"/>
          <w:sz w:val="16"/>
          <w:szCs w:val="16"/>
        </w:rPr>
      </w:pPr>
      <w:r>
        <w:rPr>
          <w:rFonts w:ascii="Arial" w:hAnsi="Arial"/>
          <w:noProof/>
          <w:color w:val="000000"/>
          <w:sz w:val="16"/>
        </w:rPr>
        <w:t xml:space="preserve">Към датата на всеки отчет за финансовото състояние механизмът оценява дали има обективни доказателства, че финансовият актив е обезценен. Финансов актив или група финансови активи се смятат за обезцени единствено и само ако има обективно доказателство за обезценка в резултат от едно или повече събития, които са се случили след първоначалното признаване на актива (събитие, довело до загуба), или ако събитието, довело до загуба, оказва влияние върху прогнозните бъдещи парични потоци на финансовия актив или групата от финансови активи, което може да бъде изчислено по надежден начин. Доказателствата за обезценка могат да включват признаци, че заемополучателят или група заемополучатели изпитват значителни финансови трудности, просрочване или невръщане на лихви или главници, вероятност за несъстоятелност или друга финансова реорганизация, както и наблюдавани данни, според които е налице измерим спад на очакваните бъдещи парични потоци, като промени в неплатените дългове или икономически условия, обуславящи неизпълнение на задължения. </w:t>
      </w:r>
    </w:p>
    <w:p>
      <w:pPr>
        <w:pStyle w:val="Normal9"/>
        <w:suppressAutoHyphens w:val="0"/>
        <w:autoSpaceDE w:val="0"/>
        <w:autoSpaceDN w:val="0"/>
        <w:adjustRightInd w:val="0"/>
        <w:jc w:val="both"/>
        <w:rPr>
          <w:rFonts w:ascii="Arial" w:hAnsi="Arial" w:cs="Arial"/>
          <w:noProof/>
          <w:color w:val="000000"/>
          <w:sz w:val="16"/>
          <w:szCs w:val="16"/>
        </w:rPr>
      </w:pPr>
    </w:p>
    <w:p>
      <w:pPr>
        <w:pStyle w:val="Normal9"/>
        <w:suppressAutoHyphens w:val="0"/>
        <w:autoSpaceDE w:val="0"/>
        <w:autoSpaceDN w:val="0"/>
        <w:adjustRightInd w:val="0"/>
        <w:jc w:val="both"/>
        <w:rPr>
          <w:rFonts w:ascii="Arial" w:hAnsi="Arial" w:cs="Arial"/>
          <w:noProof/>
          <w:color w:val="000000"/>
          <w:sz w:val="16"/>
          <w:szCs w:val="16"/>
        </w:rPr>
      </w:pPr>
      <w:r>
        <w:rPr>
          <w:rFonts w:ascii="Arial" w:hAnsi="Arial"/>
          <w:noProof/>
          <w:color w:val="000000"/>
          <w:sz w:val="16"/>
        </w:rPr>
        <w:t xml:space="preserve">За неизплатени дългове в края на финансовата година, отчетени по амортизирана стойност, обезценките се правят при предоставяне на обективно доказателство за риск от несъбиране на цялата или на част от тяхната сума съгласно първоначалните договорни условия или еквивалентна стойност. Ако е налице обективно доказателство, че има загуба от обезценка, размерът на загубата се измерва като разлика между балансовата стойност на активите и настоящата стойност на прогнозираните бъдещи парични потоци. Балансовата стойност на активите се намалява посредством сметка за коригиране на стойността и размерът на загубата се вписва в отчета за печалбата или загубата и другия всеобхватен доход. Приходите от лихви продължават да се начисляват върху намалената балансова стойност въз основа на ефективния лихвен процент на актива. Заемите и свързаните с тях предоставени средства се отписват, когато няма реалистична перспектива за бъдещото им събиране. Ако през следваща година размерът на прогнозираната загуба от обезценка се увеличи или намалее поради събитие, което настъпва след осчетоводяване на обезценката, предварително вписаната загуба от обезценка се увеличава или намалява чрез адаптиране на сметката за коригиране на стойността. </w:t>
      </w:r>
    </w:p>
    <w:p>
      <w:pPr>
        <w:pStyle w:val="Normal9"/>
        <w:suppressAutoHyphens w:val="0"/>
        <w:autoSpaceDE w:val="0"/>
        <w:autoSpaceDN w:val="0"/>
        <w:adjustRightInd w:val="0"/>
        <w:jc w:val="both"/>
        <w:rPr>
          <w:rFonts w:ascii="Arial" w:hAnsi="Arial" w:cs="Arial"/>
          <w:noProof/>
          <w:color w:val="000000"/>
          <w:sz w:val="16"/>
          <w:szCs w:val="16"/>
        </w:rPr>
      </w:pPr>
    </w:p>
    <w:p>
      <w:pPr>
        <w:pStyle w:val="Notes1"/>
        <w:numPr>
          <w:ilvl w:val="0"/>
          <w:numId w:val="0"/>
        </w:numPr>
        <w:tabs>
          <w:tab w:val="right" w:pos="-2700"/>
        </w:tabs>
        <w:spacing w:before="60" w:after="60"/>
        <w:rPr>
          <w:rFonts w:cs="Arial"/>
          <w:noProof/>
          <w:color w:val="000000"/>
          <w:sz w:val="16"/>
          <w:szCs w:val="16"/>
        </w:rPr>
      </w:pPr>
      <w:r>
        <w:rPr>
          <w:b w:val="0"/>
          <w:noProof/>
          <w:color w:val="000000"/>
          <w:sz w:val="16"/>
        </w:rPr>
        <w:t xml:space="preserve">Механизмът прави оценка на кредитния риск въз основа на всяка отделна операция и не отчита колективното обезценяване. </w:t>
      </w:r>
    </w:p>
    <w:p>
      <w:pPr>
        <w:pStyle w:val="Notes1"/>
        <w:numPr>
          <w:ilvl w:val="0"/>
          <w:numId w:val="0"/>
        </w:numPr>
        <w:tabs>
          <w:tab w:val="right" w:pos="-2700"/>
        </w:tabs>
        <w:spacing w:before="60" w:after="60"/>
        <w:rPr>
          <w:rFonts w:cs="Arial"/>
          <w:noProof/>
          <w:color w:val="000000"/>
          <w:sz w:val="16"/>
          <w:szCs w:val="16"/>
        </w:rPr>
      </w:pPr>
    </w:p>
    <w:p>
      <w:pPr>
        <w:pStyle w:val="Normal9"/>
        <w:suppressAutoHyphens w:val="0"/>
        <w:autoSpaceDE w:val="0"/>
        <w:autoSpaceDN w:val="0"/>
        <w:adjustRightInd w:val="0"/>
        <w:jc w:val="both"/>
        <w:rPr>
          <w:rFonts w:ascii="Arial" w:hAnsi="Arial" w:cs="Arial"/>
          <w:noProof/>
          <w:color w:val="000000"/>
          <w:sz w:val="16"/>
          <w:szCs w:val="16"/>
        </w:rPr>
      </w:pPr>
      <w:r>
        <w:rPr>
          <w:rFonts w:ascii="Arial" w:hAnsi="Arial"/>
          <w:noProof/>
          <w:color w:val="000000"/>
          <w:sz w:val="16"/>
        </w:rPr>
        <w:t xml:space="preserve">За финансови активи на разположение за продажба на датата на всеки отчет за финансовото състояние механизмът прави оценка дали има обективни доказателства за обезценката на дадена инвестиция. Обективните доказателства включват наличие на голям или продължителен спад на справедливата стойност на инвестицията под нейната себестойност. Ако има доказателство за обезценка, натрупаната загуба (измерена като разлика между стойността на придобиване и настоящата справедлива стойност, без други загуби от обезценка на тази инвестиция, предварително вписани в отчета за печалбата или загубата и другия всеобхватен доход) се изважда от ресурсите на вносителите и се вписва в отчета за печалбата или загубата и другия всеобхватен доход. Загубите от обезценка на финансови активи не се възстановяват обратно чрез отчета за печалбата или загубата и другия всеобхватен доход; увеличенията на тяхната справедлива стойност след отчитане на обезценката се вписват директно в ресурсите на вносителите. </w:t>
      </w:r>
    </w:p>
    <w:p>
      <w:pPr>
        <w:pStyle w:val="Normal9"/>
        <w:suppressAutoHyphens w:val="0"/>
        <w:autoSpaceDE w:val="0"/>
        <w:autoSpaceDN w:val="0"/>
        <w:adjustRightInd w:val="0"/>
        <w:jc w:val="both"/>
        <w:rPr>
          <w:rFonts w:ascii="Arial" w:hAnsi="Arial" w:cs="Arial"/>
          <w:noProof/>
          <w:color w:val="000000"/>
          <w:sz w:val="16"/>
          <w:szCs w:val="16"/>
        </w:rPr>
      </w:pPr>
    </w:p>
    <w:p>
      <w:pPr>
        <w:pStyle w:val="Notes1"/>
        <w:numPr>
          <w:ilvl w:val="0"/>
          <w:numId w:val="0"/>
        </w:numPr>
        <w:tabs>
          <w:tab w:val="right" w:pos="-2700"/>
        </w:tabs>
        <w:spacing w:before="60" w:after="60"/>
        <w:rPr>
          <w:rFonts w:cs="Arial"/>
          <w:iCs/>
          <w:noProof/>
          <w:sz w:val="16"/>
          <w:szCs w:val="16"/>
        </w:rPr>
      </w:pPr>
      <w:r>
        <w:rPr>
          <w:b w:val="0"/>
          <w:noProof/>
          <w:color w:val="000000"/>
          <w:sz w:val="16"/>
        </w:rPr>
        <w:t xml:space="preserve">Дирекцията по управление на риска на Европейската инвестиционна банка проверява за обезценка на финансовите активи поне веднъж в годината. Корекциите в резултат на това включват разбивка на дисконта в отчета за печалбата или загубата и другия всеобхватен доход за цялата продължителност на живота на актива и евентуална корекция, наложена поради ревизията на първоначалната обезценка. </w:t>
      </w:r>
    </w:p>
    <w:p>
      <w:pPr>
        <w:pStyle w:val="Notes1"/>
        <w:numPr>
          <w:ilvl w:val="0"/>
          <w:numId w:val="0"/>
        </w:numPr>
        <w:tabs>
          <w:tab w:val="right" w:pos="-2700"/>
        </w:tabs>
        <w:spacing w:before="60" w:after="60"/>
        <w:rPr>
          <w:rFonts w:cs="Arial"/>
          <w:b w:val="0"/>
          <w:iCs/>
          <w:noProof/>
          <w:sz w:val="16"/>
          <w:szCs w:val="16"/>
        </w:rPr>
      </w:pPr>
    </w:p>
    <w:p>
      <w:pPr>
        <w:pStyle w:val="Title11"/>
        <w:numPr>
          <w:ilvl w:val="3"/>
          <w:numId w:val="118"/>
        </w:numPr>
        <w:rPr>
          <w:b/>
          <w:noProof/>
          <w:sz w:val="16"/>
          <w:szCs w:val="16"/>
        </w:rPr>
      </w:pPr>
      <w:r>
        <w:rPr>
          <w:b/>
          <w:noProof/>
          <w:sz w:val="16"/>
        </w:rPr>
        <w:t>Пари и парични еквиваленти</w:t>
      </w:r>
    </w:p>
    <w:p>
      <w:pPr>
        <w:pStyle w:val="Title111"/>
        <w:numPr>
          <w:ilvl w:val="0"/>
          <w:numId w:val="0"/>
        </w:numPr>
        <w:ind w:left="720"/>
        <w:rPr>
          <w:noProof/>
          <w:sz w:val="16"/>
          <w:szCs w:val="16"/>
        </w:rPr>
      </w:pPr>
    </w:p>
    <w:p>
      <w:pPr>
        <w:pStyle w:val="NotesText"/>
        <w:spacing w:after="0" w:line="240" w:lineRule="auto"/>
        <w:rPr>
          <w:noProof/>
          <w:sz w:val="16"/>
          <w:szCs w:val="16"/>
        </w:rPr>
      </w:pPr>
      <w:r>
        <w:rPr>
          <w:noProof/>
          <w:sz w:val="16"/>
        </w:rPr>
        <w:t>Механизмът определя парите и паричните еквиваленти като текущи сметки, краткосрочни депозити или търговски ценни книжа с първоначален падеж от три месеца или по-малко. Парите и паричните еквиваленти се отчитат по амортизирана стойност в отчета за финансовото състояние.</w:t>
      </w:r>
    </w:p>
    <w:p>
      <w:pPr>
        <w:pStyle w:val="Title111"/>
        <w:numPr>
          <w:ilvl w:val="0"/>
          <w:numId w:val="0"/>
        </w:numPr>
        <w:spacing w:before="60" w:after="60"/>
        <w:ind w:left="680" w:hanging="680"/>
        <w:rPr>
          <w:b/>
          <w:noProof/>
          <w:sz w:val="16"/>
          <w:szCs w:val="16"/>
        </w:rPr>
      </w:pPr>
    </w:p>
    <w:p>
      <w:pPr>
        <w:pStyle w:val="Title11"/>
        <w:numPr>
          <w:ilvl w:val="3"/>
          <w:numId w:val="118"/>
        </w:numPr>
        <w:rPr>
          <w:b/>
          <w:noProof/>
          <w:sz w:val="16"/>
          <w:szCs w:val="16"/>
        </w:rPr>
      </w:pPr>
      <w:r>
        <w:rPr>
          <w:b/>
          <w:noProof/>
          <w:sz w:val="16"/>
        </w:rPr>
        <w:t>Касови финансови активи</w:t>
      </w:r>
    </w:p>
    <w:p>
      <w:pPr>
        <w:pStyle w:val="NotesText"/>
        <w:spacing w:after="0" w:line="240" w:lineRule="auto"/>
        <w:rPr>
          <w:noProof/>
          <w:sz w:val="16"/>
          <w:szCs w:val="16"/>
        </w:rPr>
      </w:pPr>
    </w:p>
    <w:p>
      <w:pPr>
        <w:pStyle w:val="NotesText"/>
        <w:spacing w:after="0" w:line="240" w:lineRule="auto"/>
        <w:rPr>
          <w:noProof/>
          <w:sz w:val="16"/>
          <w:szCs w:val="16"/>
        </w:rPr>
      </w:pPr>
      <w:r>
        <w:rPr>
          <w:noProof/>
          <w:sz w:val="16"/>
        </w:rPr>
        <w:t xml:space="preserve">Касовите финансови активи бяха представени като финансови активи, държани до падеж, във финансовите отчети на Инвестиционния механизъм към 31 декември 2017 г. </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rPr>
        <w:t>Касовите финансови активи включват котирани и некотирани облигации с намерението да се задържат до падежа и търговски ценни книжа с първоначален срок до падежа над три месеца и следователно се класират по амортизирана стойност.</w:t>
      </w:r>
    </w:p>
    <w:p>
      <w:pPr>
        <w:pStyle w:val="NotesText"/>
        <w:spacing w:before="60" w:line="240" w:lineRule="auto"/>
        <w:rPr>
          <w:noProof/>
          <w:sz w:val="16"/>
          <w:szCs w:val="16"/>
        </w:rPr>
      </w:pPr>
    </w:p>
    <w:p>
      <w:pPr>
        <w:pStyle w:val="NotesText"/>
        <w:spacing w:before="60" w:line="240" w:lineRule="auto"/>
        <w:rPr>
          <w:noProof/>
          <w:sz w:val="16"/>
          <w:szCs w:val="16"/>
        </w:rPr>
      </w:pPr>
      <w:r>
        <w:rPr>
          <w:noProof/>
          <w:sz w:val="16"/>
        </w:rPr>
        <w:t>Тези облигации и търговски ценни книжа първоначално се оценяват по себестойност, която е справедливата стойност плюс всички преки разходи по сделката. Разликата между входната цена и стойността при погасяване се амортизира в съответствие с метода на ефективната лихва за оставащия живот на инструмента.</w:t>
      </w:r>
    </w:p>
    <w:p>
      <w:pPr>
        <w:pStyle w:val="Title111"/>
        <w:numPr>
          <w:ilvl w:val="0"/>
          <w:numId w:val="0"/>
        </w:numPr>
        <w:spacing w:before="60" w:after="60"/>
        <w:rPr>
          <w:noProof/>
          <w:sz w:val="16"/>
          <w:szCs w:val="16"/>
        </w:rPr>
      </w:pPr>
    </w:p>
    <w:p>
      <w:pPr>
        <w:pStyle w:val="Title11"/>
        <w:numPr>
          <w:ilvl w:val="3"/>
          <w:numId w:val="118"/>
        </w:numPr>
        <w:rPr>
          <w:b/>
          <w:noProof/>
          <w:sz w:val="16"/>
          <w:szCs w:val="16"/>
        </w:rPr>
      </w:pPr>
      <w:r>
        <w:rPr>
          <w:b/>
          <w:noProof/>
          <w:sz w:val="16"/>
        </w:rPr>
        <w:t>Заеми и аванси</w:t>
      </w:r>
    </w:p>
    <w:p>
      <w:pPr>
        <w:pStyle w:val="NotesText"/>
        <w:spacing w:after="0" w:line="240" w:lineRule="auto"/>
        <w:rPr>
          <w:noProof/>
          <w:sz w:val="16"/>
          <w:szCs w:val="16"/>
        </w:rPr>
      </w:pPr>
    </w:p>
    <w:p>
      <w:pPr>
        <w:pStyle w:val="NotesText"/>
        <w:spacing w:after="0" w:line="240" w:lineRule="auto"/>
        <w:rPr>
          <w:noProof/>
          <w:sz w:val="16"/>
          <w:szCs w:val="16"/>
        </w:rPr>
      </w:pPr>
      <w:r>
        <w:rPr>
          <w:noProof/>
          <w:sz w:val="16"/>
        </w:rPr>
        <w:t>Заемите и авансите бяха представени като заеми и вземания във финансовите отчети на Инвестиционния механизъм към 31 декември 2017 г. и бяха оценени по амортизирана стойност.</w:t>
      </w:r>
    </w:p>
    <w:p>
      <w:pPr>
        <w:pStyle w:val="NotesText"/>
        <w:spacing w:after="0" w:line="240" w:lineRule="auto"/>
        <w:rPr>
          <w:noProof/>
          <w:sz w:val="16"/>
          <w:szCs w:val="16"/>
        </w:rPr>
      </w:pPr>
    </w:p>
    <w:p>
      <w:pPr>
        <w:pStyle w:val="NotesText"/>
        <w:spacing w:after="0" w:line="240" w:lineRule="auto"/>
        <w:rPr>
          <w:noProof/>
          <w:sz w:val="16"/>
          <w:szCs w:val="16"/>
        </w:rPr>
      </w:pPr>
      <w:r>
        <w:rPr>
          <w:noProof/>
          <w:sz w:val="16"/>
        </w:rPr>
        <w:t>Заемите и авансите включват:</w:t>
      </w:r>
    </w:p>
    <w:p>
      <w:pPr>
        <w:pStyle w:val="ListParagraph"/>
        <w:numPr>
          <w:ilvl w:val="0"/>
          <w:numId w:val="70"/>
        </w:numPr>
        <w:suppressAutoHyphens w:val="0"/>
        <w:autoSpaceDE w:val="0"/>
        <w:autoSpaceDN w:val="0"/>
        <w:adjustRightInd w:val="0"/>
        <w:jc w:val="both"/>
        <w:rPr>
          <w:rFonts w:ascii="Arial" w:hAnsi="Arial" w:cs="Arial"/>
          <w:noProof/>
          <w:sz w:val="16"/>
          <w:szCs w:val="16"/>
        </w:rPr>
      </w:pPr>
      <w:r>
        <w:rPr>
          <w:rFonts w:ascii="Arial" w:hAnsi="Arial"/>
          <w:noProof/>
          <w:sz w:val="16"/>
        </w:rPr>
        <w:t xml:space="preserve"> заеми и аванси, оценени по амортизирана стойност.</w:t>
      </w:r>
    </w:p>
    <w:p>
      <w:pPr>
        <w:pStyle w:val="ListParagraph"/>
        <w:numPr>
          <w:ilvl w:val="0"/>
          <w:numId w:val="70"/>
        </w:numPr>
        <w:suppressAutoHyphens w:val="0"/>
        <w:autoSpaceDE w:val="0"/>
        <w:autoSpaceDN w:val="0"/>
        <w:adjustRightInd w:val="0"/>
        <w:jc w:val="both"/>
        <w:rPr>
          <w:rFonts w:ascii="Arial" w:hAnsi="Arial" w:cs="Arial"/>
          <w:noProof/>
          <w:sz w:val="16"/>
          <w:szCs w:val="16"/>
        </w:rPr>
      </w:pPr>
      <w:r>
        <w:rPr>
          <w:rFonts w:ascii="Arial" w:hAnsi="Arial"/>
          <w:noProof/>
          <w:sz w:val="16"/>
        </w:rPr>
        <w:t>заеми и аванси, оценени задължително по FVTPL</w:t>
      </w:r>
      <w:r>
        <w:rPr>
          <w:noProof/>
        </w:rPr>
        <w:t>.</w:t>
      </w:r>
    </w:p>
    <w:p>
      <w:pPr>
        <w:pStyle w:val="ListParagraph"/>
        <w:suppressAutoHyphens w:val="0"/>
        <w:autoSpaceDE w:val="0"/>
        <w:autoSpaceDN w:val="0"/>
        <w:adjustRightInd w:val="0"/>
        <w:jc w:val="both"/>
        <w:rPr>
          <w:rFonts w:ascii="SegoeUI" w:hAnsi="SegoeUI" w:cs="SegoeUI"/>
          <w:noProof/>
          <w:sz w:val="22"/>
          <w:szCs w:val="22"/>
        </w:rPr>
      </w:pPr>
    </w:p>
    <w:p>
      <w:pPr>
        <w:pStyle w:val="NotesText"/>
        <w:spacing w:after="0" w:line="240" w:lineRule="auto"/>
        <w:rPr>
          <w:noProof/>
          <w:sz w:val="16"/>
          <w:szCs w:val="16"/>
        </w:rPr>
      </w:pPr>
      <w:r>
        <w:rPr>
          <w:noProof/>
          <w:sz w:val="16"/>
        </w:rPr>
        <w:t>Заемите от механизма се отчитат като активи на механизма, когато се предоставят парични средства на заемополучателите. Неизплатените части от заеми се записват като задбалансови позиции по номинална стойност.</w:t>
      </w:r>
    </w:p>
    <w:p>
      <w:pPr>
        <w:pStyle w:val="NotesText"/>
        <w:spacing w:after="0" w:line="240" w:lineRule="auto"/>
        <w:rPr>
          <w:noProof/>
          <w:sz w:val="16"/>
          <w:szCs w:val="16"/>
        </w:rPr>
      </w:pPr>
    </w:p>
    <w:p>
      <w:pPr>
        <w:pStyle w:val="NotesText"/>
        <w:spacing w:after="0" w:line="240" w:lineRule="auto"/>
        <w:rPr>
          <w:noProof/>
          <w:sz w:val="16"/>
          <w:szCs w:val="16"/>
        </w:rPr>
      </w:pPr>
      <w:r>
        <w:rPr>
          <w:noProof/>
          <w:sz w:val="16"/>
        </w:rPr>
        <w:t>Заемите, които преминат теста за SPPI, първоначално се записват по себестойност (техните нетни платени суми), което е справедливата стойност на парите, предоставени в заем, включително всички разходи по сделката, и впоследствие се оценяват по амортизирана стойност с помощта на метода на ефективния лихвен процент.</w:t>
      </w:r>
    </w:p>
    <w:p>
      <w:pPr>
        <w:pStyle w:val="NotesText"/>
        <w:spacing w:after="0" w:line="240" w:lineRule="auto"/>
        <w:rPr>
          <w:noProof/>
          <w:sz w:val="16"/>
          <w:szCs w:val="16"/>
        </w:rPr>
      </w:pPr>
    </w:p>
    <w:p>
      <w:pPr>
        <w:pStyle w:val="NotesText"/>
        <w:spacing w:after="0" w:line="240" w:lineRule="auto"/>
        <w:rPr>
          <w:noProof/>
          <w:sz w:val="16"/>
          <w:szCs w:val="16"/>
        </w:rPr>
      </w:pPr>
      <w:r>
        <w:rPr>
          <w:noProof/>
          <w:sz w:val="16"/>
        </w:rPr>
        <w:t>Заемите, които не отговарят на критерия SPPI, се оценяват задължително по FVTPL.</w:t>
      </w:r>
    </w:p>
    <w:p>
      <w:pPr>
        <w:pStyle w:val="NotesText"/>
        <w:spacing w:after="0" w:line="240" w:lineRule="auto"/>
        <w:rPr>
          <w:noProof/>
          <w:sz w:val="16"/>
          <w:szCs w:val="16"/>
        </w:rPr>
      </w:pPr>
    </w:p>
    <w:p>
      <w:pPr>
        <w:pStyle w:val="NotesText"/>
        <w:spacing w:after="0" w:line="240" w:lineRule="auto"/>
        <w:rPr>
          <w:noProof/>
          <w:sz w:val="16"/>
          <w:szCs w:val="16"/>
        </w:rPr>
      </w:pPr>
      <w:r>
        <w:rPr>
          <w:noProof/>
          <w:sz w:val="16"/>
        </w:rPr>
        <w:t>Използваната техника за оценяване по справедлива стойност се основава на техника за дисконтиран паричен поток.</w:t>
      </w:r>
    </w:p>
    <w:p>
      <w:pPr>
        <w:pStyle w:val="Title111"/>
        <w:numPr>
          <w:ilvl w:val="0"/>
          <w:numId w:val="0"/>
        </w:numPr>
        <w:spacing w:before="60" w:after="60"/>
        <w:rPr>
          <w:noProof/>
          <w:sz w:val="16"/>
          <w:szCs w:val="16"/>
        </w:rPr>
      </w:pPr>
    </w:p>
    <w:p>
      <w:pPr>
        <w:pStyle w:val="Title11"/>
        <w:numPr>
          <w:ilvl w:val="3"/>
          <w:numId w:val="118"/>
        </w:numPr>
        <w:rPr>
          <w:b/>
          <w:noProof/>
          <w:sz w:val="16"/>
          <w:szCs w:val="16"/>
        </w:rPr>
      </w:pPr>
      <w:r>
        <w:rPr>
          <w:b/>
          <w:noProof/>
          <w:sz w:val="16"/>
        </w:rPr>
        <w:t>Акции и други ценни книжа с променлива доходност</w:t>
      </w:r>
    </w:p>
    <w:p>
      <w:pPr>
        <w:pStyle w:val="Title111"/>
        <w:numPr>
          <w:ilvl w:val="0"/>
          <w:numId w:val="0"/>
        </w:numPr>
        <w:ind w:left="720"/>
        <w:rPr>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rPr>
        <w:t>Акциите и другите ценни книжа с променлива доходност бяха представени като финансови активи на разположение за продажба във финансовите отчети на Инвестиционния механизъм към 31 декември 2017 г.</w:t>
      </w:r>
    </w:p>
    <w:p>
      <w:pPr>
        <w:pStyle w:val="Normal9"/>
        <w:suppressAutoHyphens w:val="0"/>
        <w:autoSpaceDE w:val="0"/>
        <w:autoSpaceDN w:val="0"/>
        <w:adjustRightInd w:val="0"/>
        <w:jc w:val="both"/>
        <w:rPr>
          <w:rFonts w:ascii="Arial" w:hAnsi="Arial"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rPr>
        <w:t>Съществуват два вида капиталови инвестиции на механизма: i) преки капиталови инвестиции и ii) фондове за рисков капитал. Акциите и другите ценни книжа с променлива доходност първоначално се признават по справедлива стойност плюс разходите по сделката. Впоследствие промените в справедливата стойност, включително печалбите и загубите от преизчисляване в чуждестранна валута, се признават в отчета за печалбата или загубата и другия всеобхватен доход в раздел „Нетен резултат от акции и други ценни книжа с променлива доходност“.</w:t>
      </w:r>
    </w:p>
    <w:p>
      <w:pPr>
        <w:pStyle w:val="Normal9"/>
        <w:suppressAutoHyphens w:val="0"/>
        <w:autoSpaceDE w:val="0"/>
        <w:autoSpaceDN w:val="0"/>
        <w:adjustRightInd w:val="0"/>
        <w:jc w:val="both"/>
        <w:rPr>
          <w:rFonts w:ascii="Arial" w:hAnsi="Arial"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rPr>
        <w:t>За некотирани инвестиции, когато справедливата стойност не може да бъде получена от активни пазари, справедливата стойност се определя чрез прилагане на признати техники за оценка (бележка 4.2.1).</w:t>
      </w:r>
    </w:p>
    <w:p>
      <w:pPr>
        <w:pStyle w:val="Normal9"/>
        <w:suppressAutoHyphens w:val="0"/>
        <w:autoSpaceDE w:val="0"/>
        <w:autoSpaceDN w:val="0"/>
        <w:adjustRightInd w:val="0"/>
        <w:ind w:left="720"/>
        <w:jc w:val="both"/>
        <w:rPr>
          <w:rFonts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rPr>
        <w:t>Участията, придобити от механизма, обикновено представляват инвестиции в частен или рисков капитал. В съответствие с практиката в сектора такива инвестиции обикновено са инвестиции, извършени съвместно от множество инвеститори, като никой от тях не е в състояние самостоятелно да повлияе на ежедневните операции и инвестиционната дейност на фонда. Като следствие членството на инвеститор в управителен орган на такъв фонд по принцип не дава право на инвеститора да влияе на ежедневните операции на фонда. В допълнение, отделните инвеститори в частен капиталов фонд или фонд за рисков капитал не определят политиките на фонда, като например политиката на разпределение на дивиденти или други разпределения. Обикновено такива решения се вземат от управителите на фонда въз основа на споразумението между акционерите, регулиращо правата и задълженията на управлението, и всички акционери на фонда. Споразумението между акционерите по принцип предпазва и индивидуалните инвеститори от двустранно извършване на съществени трансакции с фонда, взаимен обмен на управленски персонал или получаване на привилегирован достъп до съществена техническа информация. Инвестициите на механизма са изпълнени съгласно горепосочените практики в сектора, като се гарантира, че механизмът нито контролира, нито упражнява каквато и да е форма на значително влияние по смисъла на МСФО 10 и МСФО 28 над никоя от тези инвестиции, включително инвестициите, за които механизмът притежава повече от 20 % от правата на глас.</w:t>
      </w:r>
    </w:p>
    <w:p>
      <w:pPr>
        <w:pStyle w:val="Title11"/>
        <w:numPr>
          <w:ilvl w:val="2"/>
          <w:numId w:val="118"/>
        </w:numPr>
        <w:tabs>
          <w:tab w:val="right" w:pos="720"/>
        </w:tabs>
        <w:rPr>
          <w:b/>
          <w:noProof/>
          <w:sz w:val="16"/>
          <w:szCs w:val="16"/>
        </w:rPr>
      </w:pPr>
      <w:r>
        <w:rPr>
          <w:noProof/>
        </w:rPr>
        <w:br w:type="page"/>
      </w:r>
      <w:r>
        <w:rPr>
          <w:b/>
          <w:noProof/>
          <w:sz w:val="16"/>
        </w:rPr>
        <w:t xml:space="preserve"> </w:t>
      </w:r>
      <w:r>
        <w:rPr>
          <w:noProof/>
        </w:rPr>
        <w:tab/>
      </w:r>
      <w:r>
        <w:rPr>
          <w:rStyle w:val="Title111Char"/>
          <w:noProof/>
        </w:rPr>
        <w:t xml:space="preserve"> </w:t>
      </w:r>
      <w:r>
        <w:rPr>
          <w:b/>
          <w:noProof/>
          <w:sz w:val="16"/>
        </w:rPr>
        <w:t>Финансови гаранции</w:t>
      </w:r>
    </w:p>
    <w:p>
      <w:pPr>
        <w:pStyle w:val="Title111"/>
        <w:numPr>
          <w:ilvl w:val="0"/>
          <w:numId w:val="0"/>
        </w:numPr>
        <w:spacing w:before="60" w:after="60"/>
        <w:rPr>
          <w:noProof/>
          <w:sz w:val="16"/>
          <w:szCs w:val="16"/>
        </w:rPr>
      </w:pPr>
    </w:p>
    <w:p>
      <w:pPr>
        <w:pStyle w:val="Normal9"/>
        <w:spacing w:before="60" w:after="60"/>
        <w:jc w:val="both"/>
        <w:rPr>
          <w:rFonts w:ascii="Arial" w:hAnsi="Arial"/>
          <w:noProof/>
          <w:sz w:val="16"/>
          <w:szCs w:val="16"/>
        </w:rPr>
      </w:pPr>
      <w:r>
        <w:rPr>
          <w:rFonts w:ascii="Arial" w:hAnsi="Arial"/>
          <w:noProof/>
          <w:sz w:val="16"/>
        </w:rPr>
        <w:t>Договорите за финансови гаранции са договори, съгласно които механизмът извършва определени плащания, за да възстанови на титуляря загуба, която последният е понесъл поради това, че определен длъжник не е извършил плащания, когато те са станали изискуеми съгласно условията на дългов инструмент.</w:t>
      </w:r>
    </w:p>
    <w:p>
      <w:pPr>
        <w:pStyle w:val="Normal9"/>
        <w:spacing w:before="60" w:after="60"/>
        <w:jc w:val="both"/>
        <w:rPr>
          <w:rFonts w:ascii="Arial" w:hAnsi="Arial"/>
          <w:noProof/>
          <w:sz w:val="16"/>
          <w:szCs w:val="16"/>
        </w:rPr>
      </w:pPr>
    </w:p>
    <w:p>
      <w:pPr>
        <w:pStyle w:val="Title111"/>
        <w:numPr>
          <w:ilvl w:val="0"/>
          <w:numId w:val="0"/>
        </w:numPr>
        <w:spacing w:before="60" w:after="60"/>
        <w:rPr>
          <w:noProof/>
          <w:sz w:val="16"/>
          <w:szCs w:val="16"/>
        </w:rPr>
      </w:pPr>
      <w:r>
        <w:rPr>
          <w:noProof/>
          <w:sz w:val="16"/>
        </w:rPr>
        <w:t>В съответствие със съществуващите правила тези гаранции не отговарят на определението за застрахователен договор (МСФО 4 Застрахователни договори).</w:t>
      </w:r>
    </w:p>
    <w:p>
      <w:pPr>
        <w:pStyle w:val="Title111"/>
        <w:numPr>
          <w:ilvl w:val="0"/>
          <w:numId w:val="0"/>
        </w:numPr>
        <w:spacing w:before="60" w:after="60"/>
        <w:rPr>
          <w:noProof/>
          <w:sz w:val="16"/>
          <w:szCs w:val="16"/>
        </w:rPr>
      </w:pPr>
    </w:p>
    <w:p>
      <w:pPr>
        <w:pStyle w:val="Normal16"/>
        <w:jc w:val="both"/>
        <w:rPr>
          <w:rFonts w:ascii="Arial" w:hAnsi="Arial" w:cs="Arial"/>
          <w:i/>
          <w:noProof/>
          <w:sz w:val="16"/>
          <w:szCs w:val="16"/>
        </w:rPr>
      </w:pPr>
      <w:r>
        <w:rPr>
          <w:rFonts w:ascii="Arial" w:hAnsi="Arial"/>
          <w:i/>
          <w:noProof/>
          <w:sz w:val="16"/>
        </w:rPr>
        <w:t xml:space="preserve">Политика, приложима след 1 януари 2018 г. </w:t>
      </w:r>
    </w:p>
    <w:p>
      <w:pPr>
        <w:pStyle w:val="Normal9"/>
        <w:suppressAutoHyphens w:val="0"/>
        <w:autoSpaceDE w:val="0"/>
        <w:autoSpaceDN w:val="0"/>
        <w:adjustRightInd w:val="0"/>
        <w:jc w:val="both"/>
        <w:rPr>
          <w:rFonts w:ascii="Arial" w:hAnsi="Arial"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rPr>
        <w:t>Финансовите гаранции се отчитат съгласно МСФО 9 „Финансови инструменти“, или като „деривати“, или като „финансови гаранции“, в зависимост от техните свойства и характеристики, както са определени в МСФО 9.</w:t>
      </w:r>
    </w:p>
    <w:p>
      <w:pPr>
        <w:pStyle w:val="Normal9"/>
        <w:suppressAutoHyphens w:val="0"/>
        <w:autoSpaceDE w:val="0"/>
        <w:autoSpaceDN w:val="0"/>
        <w:adjustRightInd w:val="0"/>
        <w:jc w:val="both"/>
        <w:rPr>
          <w:rFonts w:ascii="Arial" w:hAnsi="Arial" w:cs="Arial"/>
          <w:noProof/>
          <w:sz w:val="16"/>
          <w:szCs w:val="16"/>
        </w:rPr>
      </w:pPr>
    </w:p>
    <w:p>
      <w:pPr>
        <w:pStyle w:val="Normal90"/>
        <w:spacing w:before="60" w:after="60"/>
        <w:jc w:val="both"/>
        <w:rPr>
          <w:rFonts w:ascii="Arial" w:hAnsi="Arial"/>
          <w:noProof/>
          <w:sz w:val="16"/>
          <w:szCs w:val="16"/>
        </w:rPr>
      </w:pPr>
      <w:r>
        <w:rPr>
          <w:rFonts w:ascii="Arial" w:hAnsi="Arial"/>
          <w:noProof/>
          <w:sz w:val="16"/>
        </w:rPr>
        <w:t>Счетоводната политика по отношение на дериватите е оповестена в бележка 2.4.5.</w:t>
      </w:r>
    </w:p>
    <w:p>
      <w:pPr>
        <w:pStyle w:val="Normal9"/>
        <w:suppressAutoHyphens w:val="0"/>
        <w:autoSpaceDE w:val="0"/>
        <w:autoSpaceDN w:val="0"/>
        <w:adjustRightInd w:val="0"/>
        <w:jc w:val="both"/>
        <w:rPr>
          <w:rFonts w:ascii="Arial" w:hAnsi="Arial" w:cs="Arial"/>
          <w:noProof/>
          <w:sz w:val="16"/>
          <w:szCs w:val="16"/>
        </w:rPr>
      </w:pPr>
    </w:p>
    <w:p>
      <w:pPr>
        <w:pStyle w:val="Normal9"/>
        <w:suppressAutoHyphens w:val="0"/>
        <w:autoSpaceDE w:val="0"/>
        <w:autoSpaceDN w:val="0"/>
        <w:adjustRightInd w:val="0"/>
        <w:jc w:val="both"/>
        <w:rPr>
          <w:rFonts w:cs="Arial"/>
          <w:i/>
          <w:noProof/>
          <w:sz w:val="16"/>
          <w:szCs w:val="16"/>
        </w:rPr>
      </w:pPr>
      <w:r>
        <w:rPr>
          <w:rFonts w:ascii="Arial" w:hAnsi="Arial"/>
          <w:noProof/>
          <w:sz w:val="16"/>
        </w:rPr>
        <w:t>Финансовите гаранции се признават първоначално в отчета за финансовото състояние в раздел „Провизии за издадени гаранции“ по справедлива стойност плюс разходи по сделката, които могат пряко да се отнесат към емитирането на финансовите гаранции. При първоначалното признаване задължението за плащане съответства на нетната сегашна стойност (НСС) на очакваните премии или първоначалната очаквана загуба.</w:t>
      </w:r>
    </w:p>
    <w:p>
      <w:pPr>
        <w:pStyle w:val="Normal9"/>
        <w:suppressAutoHyphens w:val="0"/>
        <w:autoSpaceDE w:val="0"/>
        <w:autoSpaceDN w:val="0"/>
        <w:adjustRightInd w:val="0"/>
        <w:jc w:val="both"/>
        <w:rPr>
          <w:rFonts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rPr>
        <w:t>След първоначалното отчитане финансовите гаранции се измерват чрез по-високата от двете стойности по-долу:</w:t>
      </w:r>
    </w:p>
    <w:p>
      <w:pPr>
        <w:pStyle w:val="Normal9"/>
        <w:suppressAutoHyphens w:val="0"/>
        <w:autoSpaceDE w:val="0"/>
        <w:autoSpaceDN w:val="0"/>
        <w:adjustRightInd w:val="0"/>
        <w:ind w:firstLine="720"/>
        <w:jc w:val="both"/>
        <w:rPr>
          <w:rFonts w:ascii="Arial" w:hAnsi="Arial" w:cs="Arial"/>
          <w:noProof/>
          <w:sz w:val="16"/>
          <w:szCs w:val="16"/>
        </w:rPr>
      </w:pPr>
      <w:r>
        <w:rPr>
          <w:rFonts w:ascii="Arial" w:hAnsi="Arial"/>
          <w:noProof/>
          <w:sz w:val="16"/>
        </w:rPr>
        <w:t>- размера на коректива за загуби, определен в съответствие с МСФО 9; и</w:t>
      </w:r>
    </w:p>
    <w:p>
      <w:pPr>
        <w:pStyle w:val="Normal9"/>
        <w:suppressAutoHyphens w:val="0"/>
        <w:autoSpaceDE w:val="0"/>
        <w:autoSpaceDN w:val="0"/>
        <w:adjustRightInd w:val="0"/>
        <w:ind w:firstLine="720"/>
        <w:jc w:val="both"/>
        <w:rPr>
          <w:rFonts w:ascii="Arial" w:hAnsi="Arial" w:cs="Arial"/>
          <w:noProof/>
          <w:sz w:val="16"/>
          <w:szCs w:val="16"/>
        </w:rPr>
      </w:pPr>
      <w:r>
        <w:rPr>
          <w:rFonts w:ascii="Arial" w:hAnsi="Arial"/>
          <w:noProof/>
          <w:sz w:val="16"/>
        </w:rPr>
        <w:t>- първоначално признатата премия минус дохода, признат в съответствие с принципите на МСФО 15.</w:t>
      </w:r>
    </w:p>
    <w:p>
      <w:pPr>
        <w:pStyle w:val="Normal9"/>
        <w:suppressAutoHyphens w:val="0"/>
        <w:autoSpaceDE w:val="0"/>
        <w:autoSpaceDN w:val="0"/>
        <w:adjustRightInd w:val="0"/>
        <w:ind w:firstLine="720"/>
        <w:jc w:val="both"/>
        <w:rPr>
          <w:rFonts w:ascii="Arial" w:hAnsi="Arial"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rPr>
        <w:t>Всяко увеличение или намаление на нетното задължение (измерено съгласно МСФО 9), свързано с финансови гаранции, различни от плащането по искания за гаранции, се признава в отчета за печалбата или загубата и другия всеобхватен доход в раздел „Промяна в провизиите за гаранции“.</w:t>
      </w:r>
    </w:p>
    <w:p>
      <w:pPr>
        <w:pStyle w:val="Normal9"/>
        <w:suppressAutoHyphens w:val="0"/>
        <w:autoSpaceDE w:val="0"/>
        <w:autoSpaceDN w:val="0"/>
        <w:adjustRightInd w:val="0"/>
        <w:ind w:firstLine="720"/>
        <w:jc w:val="both"/>
        <w:rPr>
          <w:rFonts w:ascii="Arial" w:hAnsi="Arial" w:cs="Arial"/>
          <w:noProof/>
          <w:sz w:val="16"/>
          <w:szCs w:val="16"/>
        </w:rPr>
      </w:pPr>
    </w:p>
    <w:p>
      <w:pPr>
        <w:pStyle w:val="Normal9"/>
        <w:suppressAutoHyphens w:val="0"/>
        <w:autoSpaceDE w:val="0"/>
        <w:autoSpaceDN w:val="0"/>
        <w:adjustRightInd w:val="0"/>
        <w:jc w:val="both"/>
        <w:rPr>
          <w:rFonts w:cs="Arial"/>
          <w:noProof/>
          <w:sz w:val="16"/>
          <w:szCs w:val="16"/>
        </w:rPr>
      </w:pPr>
      <w:r>
        <w:rPr>
          <w:rFonts w:ascii="Arial" w:hAnsi="Arial"/>
          <w:noProof/>
          <w:sz w:val="16"/>
        </w:rPr>
        <w:t>Получената премия се признава в отчета за печалбата или загубата и другия всеобхватен доход в „Такси и комисионни“ въз основа на амортизационен план в съответствие с МСФО 15 през срока на договора за финансова гаранция.</w:t>
      </w:r>
    </w:p>
    <w:p>
      <w:pPr>
        <w:pStyle w:val="Normal9"/>
        <w:suppressAutoHyphens w:val="0"/>
        <w:autoSpaceDE w:val="0"/>
        <w:autoSpaceDN w:val="0"/>
        <w:adjustRightInd w:val="0"/>
        <w:jc w:val="both"/>
        <w:rPr>
          <w:rFonts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rPr>
        <w:t>В допълнение, когато се подпише споразумение за гаранция, то се представя като условен пасив за механизма, а когато гаранцията се поеме — като задължение за механизма.</w:t>
      </w:r>
    </w:p>
    <w:p>
      <w:pPr>
        <w:pStyle w:val="Normal9"/>
        <w:suppressAutoHyphens w:val="0"/>
        <w:autoSpaceDE w:val="0"/>
        <w:autoSpaceDN w:val="0"/>
        <w:adjustRightInd w:val="0"/>
        <w:jc w:val="both"/>
        <w:rPr>
          <w:rFonts w:cs="Arial"/>
          <w:noProof/>
          <w:sz w:val="16"/>
          <w:szCs w:val="16"/>
        </w:rPr>
      </w:pPr>
    </w:p>
    <w:p>
      <w:pPr>
        <w:pStyle w:val="Normal16"/>
        <w:jc w:val="both"/>
        <w:rPr>
          <w:rFonts w:ascii="Arial" w:hAnsi="Arial" w:cs="Arial"/>
          <w:i/>
          <w:noProof/>
          <w:sz w:val="16"/>
          <w:szCs w:val="16"/>
        </w:rPr>
      </w:pPr>
      <w:r>
        <w:rPr>
          <w:rFonts w:ascii="Arial" w:hAnsi="Arial"/>
          <w:i/>
          <w:noProof/>
          <w:sz w:val="16"/>
        </w:rPr>
        <w:t>Политика, приложима преди 1 януари 2018 г.</w:t>
      </w:r>
    </w:p>
    <w:p>
      <w:pPr>
        <w:pStyle w:val="Normal9"/>
        <w:suppressAutoHyphens w:val="0"/>
        <w:autoSpaceDE w:val="0"/>
        <w:autoSpaceDN w:val="0"/>
        <w:adjustRightInd w:val="0"/>
        <w:jc w:val="both"/>
        <w:rPr>
          <w:rFonts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rPr>
        <w:t>При първоначалното отчитане финансовите гаранции се записват по справедлива стойност, съответстваща на нетната сегашна стойност (НСС) на очакваните премии и първоначалната очаквана загуба. Това изчисление се извършва на началната дата на всяка операция и се отчита в отчета за финансовото състояние като „финансови гаранции“ в част „други активи“ и „други пасиви“.</w:t>
      </w: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rPr>
        <w:t>След първоначалното отчитане пасивите на механизма при тези гаранции се измерват чрез по-високата от двете стойности по-долу:</w:t>
      </w:r>
    </w:p>
    <w:p>
      <w:pPr>
        <w:pStyle w:val="Normal9"/>
        <w:suppressAutoHyphens w:val="0"/>
        <w:autoSpaceDE w:val="0"/>
        <w:autoSpaceDN w:val="0"/>
        <w:adjustRightInd w:val="0"/>
        <w:ind w:left="720"/>
        <w:jc w:val="both"/>
        <w:rPr>
          <w:rFonts w:ascii="Arial" w:hAnsi="Arial" w:cs="Arial"/>
          <w:noProof/>
          <w:sz w:val="16"/>
          <w:szCs w:val="16"/>
        </w:rPr>
      </w:pPr>
      <w:r>
        <w:rPr>
          <w:rFonts w:ascii="Arial" w:hAnsi="Arial"/>
          <w:noProof/>
          <w:sz w:val="16"/>
        </w:rPr>
        <w:t>- първоначално признатата сума, намалена, когато е подходящо, с натрупаната амортизация, призната в съответствие с МСС 18 Приходи</w:t>
      </w:r>
    </w:p>
    <w:p>
      <w:pPr>
        <w:pStyle w:val="Normal9"/>
        <w:suppressAutoHyphens w:val="0"/>
        <w:autoSpaceDE w:val="0"/>
        <w:autoSpaceDN w:val="0"/>
        <w:adjustRightInd w:val="0"/>
        <w:ind w:left="720"/>
        <w:jc w:val="both"/>
        <w:rPr>
          <w:rFonts w:ascii="Arial" w:hAnsi="Arial" w:cs="Arial"/>
          <w:noProof/>
          <w:sz w:val="16"/>
          <w:szCs w:val="16"/>
        </w:rPr>
      </w:pPr>
      <w:r>
        <w:rPr>
          <w:rFonts w:ascii="Arial" w:hAnsi="Arial"/>
          <w:noProof/>
          <w:sz w:val="16"/>
        </w:rPr>
        <w:t xml:space="preserve">  и</w:t>
      </w:r>
    </w:p>
    <w:p>
      <w:pPr>
        <w:pStyle w:val="Normal9"/>
        <w:suppressAutoHyphens w:val="0"/>
        <w:autoSpaceDE w:val="0"/>
        <w:autoSpaceDN w:val="0"/>
        <w:adjustRightInd w:val="0"/>
        <w:ind w:left="720"/>
        <w:jc w:val="both"/>
        <w:rPr>
          <w:rFonts w:ascii="Arial" w:hAnsi="Arial" w:cs="Arial"/>
          <w:noProof/>
          <w:sz w:val="16"/>
          <w:szCs w:val="16"/>
        </w:rPr>
      </w:pPr>
      <w:r>
        <w:rPr>
          <w:rFonts w:ascii="Arial" w:hAnsi="Arial"/>
          <w:noProof/>
          <w:sz w:val="16"/>
        </w:rPr>
        <w:t>- най-добрата прогноза на разходите, нужна за плащане на всякакви съществуващи финансови задължения, възникнали в резултат на гаранцията, в съответствие</w:t>
      </w:r>
    </w:p>
    <w:p>
      <w:pPr>
        <w:pStyle w:val="Normal9"/>
        <w:suppressAutoHyphens w:val="0"/>
        <w:autoSpaceDE w:val="0"/>
        <w:autoSpaceDN w:val="0"/>
        <w:adjustRightInd w:val="0"/>
        <w:ind w:left="720"/>
        <w:jc w:val="both"/>
        <w:rPr>
          <w:rFonts w:ascii="Arial" w:hAnsi="Arial" w:cs="Arial"/>
          <w:noProof/>
          <w:sz w:val="16"/>
          <w:szCs w:val="16"/>
        </w:rPr>
      </w:pPr>
      <w:r>
        <w:rPr>
          <w:rFonts w:ascii="Arial" w:hAnsi="Arial"/>
          <w:noProof/>
          <w:sz w:val="16"/>
        </w:rPr>
        <w:t xml:space="preserve">   с МСС 37 Провизии, условни пасиви и условни активи.</w:t>
      </w:r>
    </w:p>
    <w:p>
      <w:pPr>
        <w:pStyle w:val="Normal9"/>
        <w:suppressAutoHyphens w:val="0"/>
        <w:autoSpaceDE w:val="0"/>
        <w:autoSpaceDN w:val="0"/>
        <w:adjustRightInd w:val="0"/>
        <w:ind w:firstLine="720"/>
        <w:jc w:val="both"/>
        <w:rPr>
          <w:rFonts w:ascii="Arial" w:hAnsi="Arial"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rPr>
        <w:t>Най-добрата прогноза на разходите се определя в съответствие с МСС 37. Провизиите за финансови гаранции съответстват на разходите за плащане на задължението, което представлява очакваната загуба, изчислена въз основа на всички съответни фактори и информация, съществуващи към датата на отчета за финансовото състояние.</w:t>
      </w:r>
    </w:p>
    <w:p>
      <w:pPr>
        <w:pStyle w:val="Normal9"/>
        <w:suppressAutoHyphens w:val="0"/>
        <w:autoSpaceDE w:val="0"/>
        <w:autoSpaceDN w:val="0"/>
        <w:adjustRightInd w:val="0"/>
        <w:jc w:val="both"/>
        <w:rPr>
          <w:rFonts w:ascii="Arial" w:hAnsi="Arial" w:cs="Arial"/>
          <w:noProof/>
          <w:sz w:val="16"/>
          <w:szCs w:val="16"/>
        </w:rPr>
      </w:pPr>
    </w:p>
    <w:p>
      <w:pPr>
        <w:pStyle w:val="Normal9"/>
        <w:suppressAutoHyphens w:val="0"/>
        <w:autoSpaceDE w:val="0"/>
        <w:autoSpaceDN w:val="0"/>
        <w:adjustRightInd w:val="0"/>
        <w:jc w:val="both"/>
        <w:rPr>
          <w:rFonts w:cs="Arial"/>
          <w:noProof/>
          <w:sz w:val="16"/>
          <w:szCs w:val="16"/>
        </w:rPr>
      </w:pPr>
      <w:r>
        <w:rPr>
          <w:rFonts w:ascii="Arial" w:hAnsi="Arial"/>
          <w:noProof/>
          <w:sz w:val="16"/>
        </w:rPr>
        <w:t>Когато една финансова операция, оценена съгласно МСС 39, се отписва и се третират по реда на МСС 37, нейната стойност, предварително записана в „Други пасиви“, се прехвърля към раздел „Провизии за издадени гаранции“ в отчета за финансовото състояние.</w:t>
      </w:r>
    </w:p>
    <w:p>
      <w:pPr>
        <w:pStyle w:val="Normal9"/>
        <w:suppressAutoHyphens w:val="0"/>
        <w:autoSpaceDE w:val="0"/>
        <w:autoSpaceDN w:val="0"/>
        <w:adjustRightInd w:val="0"/>
        <w:ind w:firstLine="720"/>
        <w:jc w:val="both"/>
        <w:rPr>
          <w:rFonts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rPr>
        <w:t>Провизията за финансови гаранции (измерена съгласно МСС 37) се признава в отчета за печалбата или загубата и другия всеобхватен доход в раздел „Промяна в провизиите за гаранции“.</w:t>
      </w:r>
    </w:p>
    <w:p>
      <w:pPr>
        <w:pStyle w:val="Normal9"/>
        <w:spacing w:before="60" w:after="60"/>
        <w:jc w:val="both"/>
        <w:rPr>
          <w:rFonts w:ascii="Arial" w:hAnsi="Arial"/>
          <w:noProof/>
          <w:sz w:val="16"/>
          <w:szCs w:val="16"/>
        </w:rPr>
      </w:pPr>
    </w:p>
    <w:p>
      <w:pPr>
        <w:pStyle w:val="Title11"/>
        <w:numPr>
          <w:ilvl w:val="2"/>
          <w:numId w:val="118"/>
        </w:numPr>
        <w:tabs>
          <w:tab w:val="right" w:pos="720"/>
        </w:tabs>
        <w:rPr>
          <w:b/>
          <w:noProof/>
          <w:sz w:val="16"/>
          <w:szCs w:val="16"/>
        </w:rPr>
      </w:pPr>
      <w:r>
        <w:rPr>
          <w:b/>
          <w:noProof/>
          <w:sz w:val="16"/>
        </w:rPr>
        <w:t xml:space="preserve"> Финансови пасиви, различни от деривати</w:t>
      </w:r>
    </w:p>
    <w:p>
      <w:pPr>
        <w:pStyle w:val="Normal9"/>
        <w:spacing w:before="60" w:after="60"/>
        <w:jc w:val="both"/>
        <w:rPr>
          <w:rFonts w:ascii="Arial" w:hAnsi="Arial"/>
          <w:noProof/>
          <w:sz w:val="16"/>
          <w:szCs w:val="16"/>
        </w:rPr>
      </w:pPr>
    </w:p>
    <w:p>
      <w:pPr>
        <w:pStyle w:val="Title111"/>
        <w:numPr>
          <w:ilvl w:val="0"/>
          <w:numId w:val="0"/>
        </w:numPr>
        <w:spacing w:before="60" w:after="60"/>
        <w:ind w:left="680" w:hanging="680"/>
        <w:rPr>
          <w:rFonts w:cs="Arial"/>
          <w:b/>
          <w:i/>
          <w:noProof/>
          <w:sz w:val="16"/>
          <w:szCs w:val="16"/>
        </w:rPr>
      </w:pPr>
      <w:r>
        <w:rPr>
          <w:b/>
          <w:i/>
          <w:noProof/>
          <w:sz w:val="16"/>
        </w:rPr>
        <w:t>Класификация и оценяване</w:t>
      </w:r>
    </w:p>
    <w:p>
      <w:pPr>
        <w:pStyle w:val="Title111"/>
        <w:numPr>
          <w:ilvl w:val="0"/>
          <w:numId w:val="0"/>
        </w:numPr>
        <w:spacing w:before="60" w:after="60"/>
        <w:rPr>
          <w:rFonts w:cs="Arial"/>
          <w:noProof/>
          <w:sz w:val="16"/>
          <w:szCs w:val="16"/>
        </w:rPr>
      </w:pPr>
    </w:p>
    <w:p>
      <w:pPr>
        <w:pStyle w:val="Normal16"/>
        <w:jc w:val="both"/>
        <w:rPr>
          <w:rFonts w:ascii="Arial" w:hAnsi="Arial" w:cs="Arial"/>
          <w:i/>
          <w:noProof/>
          <w:sz w:val="16"/>
          <w:szCs w:val="16"/>
        </w:rPr>
      </w:pPr>
      <w:r>
        <w:rPr>
          <w:rFonts w:ascii="Arial" w:hAnsi="Arial"/>
          <w:i/>
          <w:noProof/>
          <w:sz w:val="16"/>
        </w:rPr>
        <w:t>Финансови пасиви — Политика, приложима след 1 януари 2018 г.</w:t>
      </w:r>
    </w:p>
    <w:p>
      <w:pPr>
        <w:pStyle w:val="Title111"/>
        <w:numPr>
          <w:ilvl w:val="0"/>
          <w:numId w:val="0"/>
        </w:numPr>
        <w:spacing w:before="60" w:after="60"/>
        <w:ind w:left="680" w:hanging="680"/>
        <w:rPr>
          <w:rFonts w:cs="Arial"/>
          <w:i/>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rPr>
        <w:t>Финансовите пасиви се оценяват по амортизирана стойност, с изключение на финансовите пасиви, които отговарят на определението за пасиви, държани за търгуване (напр. дериватни пасиви).</w:t>
      </w:r>
    </w:p>
    <w:p>
      <w:pPr>
        <w:pStyle w:val="Title111"/>
        <w:numPr>
          <w:ilvl w:val="0"/>
          <w:numId w:val="0"/>
        </w:numPr>
        <w:spacing w:before="60" w:after="60"/>
        <w:rPr>
          <w:rFonts w:cs="Arial"/>
          <w:noProof/>
          <w:sz w:val="16"/>
          <w:szCs w:val="16"/>
        </w:rPr>
      </w:pPr>
    </w:p>
    <w:p>
      <w:pPr>
        <w:pStyle w:val="NotesText"/>
        <w:spacing w:before="60" w:line="240" w:lineRule="auto"/>
        <w:rPr>
          <w:noProof/>
          <w:sz w:val="16"/>
          <w:szCs w:val="16"/>
        </w:rPr>
      </w:pPr>
      <w:r>
        <w:rPr>
          <w:noProof/>
          <w:sz w:val="16"/>
        </w:rPr>
        <w:t>МСФО 9 до голяма степен запазва съществуващите изисквания на МСС 39 за класификацията на финансовите пасиви, а финансовите пасиви на механизма се оценяват по амортизирана стойност съгласно МСС 39 и МСФО 9.</w:t>
      </w:r>
    </w:p>
    <w:p>
      <w:pPr>
        <w:pStyle w:val="Normal9"/>
        <w:suppressAutoHyphens w:val="0"/>
        <w:rPr>
          <w:rFonts w:ascii="Arial" w:hAnsi="Arial" w:cs="Arial"/>
          <w:noProof/>
          <w:sz w:val="16"/>
          <w:szCs w:val="16"/>
        </w:rPr>
      </w:pPr>
    </w:p>
    <w:p>
      <w:pPr>
        <w:pStyle w:val="Normal16"/>
        <w:jc w:val="both"/>
        <w:rPr>
          <w:rFonts w:ascii="Arial" w:hAnsi="Arial" w:cs="Arial"/>
          <w:i/>
          <w:noProof/>
          <w:sz w:val="16"/>
          <w:szCs w:val="16"/>
        </w:rPr>
      </w:pPr>
      <w:r>
        <w:rPr>
          <w:rFonts w:ascii="Arial" w:hAnsi="Arial"/>
          <w:i/>
          <w:noProof/>
          <w:sz w:val="16"/>
        </w:rPr>
        <w:t>Финансови пасиви — Политика, приложима преди 1 януари 2018 г.</w:t>
      </w:r>
    </w:p>
    <w:p>
      <w:pPr>
        <w:pStyle w:val="Normal16"/>
        <w:jc w:val="both"/>
        <w:rPr>
          <w:rFonts w:ascii="Arial" w:hAnsi="Arial" w:cs="Arial"/>
          <w:noProof/>
          <w:sz w:val="16"/>
          <w:szCs w:val="16"/>
        </w:rPr>
      </w:pPr>
    </w:p>
    <w:p>
      <w:pPr>
        <w:pStyle w:val="Normal9"/>
        <w:suppressAutoHyphens w:val="0"/>
        <w:autoSpaceDE w:val="0"/>
        <w:autoSpaceDN w:val="0"/>
        <w:adjustRightInd w:val="0"/>
        <w:jc w:val="both"/>
        <w:rPr>
          <w:rFonts w:ascii="Arial" w:hAnsi="Arial" w:cs="Arial"/>
          <w:noProof/>
          <w:sz w:val="16"/>
          <w:szCs w:val="16"/>
        </w:rPr>
      </w:pPr>
      <w:r>
        <w:rPr>
          <w:rFonts w:ascii="Arial" w:hAnsi="Arial"/>
          <w:noProof/>
          <w:sz w:val="16"/>
        </w:rPr>
        <w:t>Механизмът класифицира своите финансови пасиви в една от следните категории:</w:t>
      </w:r>
    </w:p>
    <w:p>
      <w:pPr>
        <w:pStyle w:val="Normal16"/>
        <w:numPr>
          <w:ilvl w:val="0"/>
          <w:numId w:val="70"/>
        </w:numPr>
        <w:suppressAutoHyphens w:val="0"/>
        <w:jc w:val="both"/>
        <w:rPr>
          <w:rFonts w:ascii="Arial" w:hAnsi="Arial" w:cs="Arial"/>
          <w:noProof/>
          <w:sz w:val="16"/>
          <w:szCs w:val="16"/>
        </w:rPr>
      </w:pPr>
      <w:r>
        <w:rPr>
          <w:rFonts w:ascii="Arial" w:hAnsi="Arial"/>
          <w:noProof/>
          <w:sz w:val="16"/>
        </w:rPr>
        <w:t>изчислени по амортизирана стойност („AC“),</w:t>
      </w:r>
    </w:p>
    <w:p>
      <w:pPr>
        <w:pStyle w:val="Normal16"/>
        <w:numPr>
          <w:ilvl w:val="0"/>
          <w:numId w:val="70"/>
        </w:numPr>
        <w:suppressAutoHyphens w:val="0"/>
        <w:jc w:val="both"/>
        <w:rPr>
          <w:rFonts w:ascii="Arial" w:hAnsi="Arial" w:cs="Arial"/>
          <w:noProof/>
          <w:sz w:val="16"/>
          <w:szCs w:val="16"/>
        </w:rPr>
      </w:pPr>
      <w:r>
        <w:rPr>
          <w:rFonts w:ascii="Arial" w:hAnsi="Arial"/>
          <w:noProof/>
          <w:sz w:val="16"/>
        </w:rPr>
        <w:t>по справедлива стойност по справедлива стойност през печалбата или загубата (FVTPL) и в рамките на тази категория като държани за търгуване („HFT“).</w:t>
      </w:r>
    </w:p>
    <w:p>
      <w:pPr>
        <w:pStyle w:val="Normal16"/>
        <w:rPr>
          <w:rFonts w:ascii="Arial" w:hAnsi="Arial" w:cs="Arial"/>
          <w:noProof/>
          <w:sz w:val="16"/>
          <w:szCs w:val="16"/>
        </w:rPr>
      </w:pPr>
    </w:p>
    <w:p>
      <w:pPr>
        <w:pStyle w:val="Normal100"/>
        <w:jc w:val="both"/>
        <w:rPr>
          <w:rFonts w:ascii="Arial" w:hAnsi="Arial" w:cs="Arial"/>
          <w:i/>
          <w:noProof/>
          <w:sz w:val="16"/>
          <w:szCs w:val="16"/>
        </w:rPr>
      </w:pPr>
      <w:r>
        <w:rPr>
          <w:rFonts w:ascii="Arial" w:hAnsi="Arial"/>
          <w:i/>
          <w:noProof/>
          <w:sz w:val="16"/>
        </w:rPr>
        <w:t>Отписване</w:t>
      </w:r>
    </w:p>
    <w:p>
      <w:pPr>
        <w:pStyle w:val="Title111"/>
        <w:numPr>
          <w:ilvl w:val="0"/>
          <w:numId w:val="0"/>
        </w:numPr>
        <w:spacing w:before="60" w:after="60"/>
        <w:rPr>
          <w:noProof/>
          <w:sz w:val="16"/>
          <w:szCs w:val="16"/>
        </w:rPr>
      </w:pPr>
    </w:p>
    <w:p>
      <w:pPr>
        <w:pStyle w:val="Default"/>
        <w:jc w:val="both"/>
        <w:rPr>
          <w:noProof/>
          <w:sz w:val="16"/>
          <w:szCs w:val="16"/>
        </w:rPr>
      </w:pPr>
      <w:r>
        <w:rPr>
          <w:noProof/>
          <w:sz w:val="16"/>
        </w:rPr>
        <w:t xml:space="preserve">Механизмът отписва финансов пасив, когато договорните му задължения са погасени, анулирани или изтекли. </w:t>
      </w:r>
    </w:p>
    <w:p>
      <w:pPr>
        <w:pStyle w:val="Normal9"/>
        <w:suppressAutoHyphens w:val="0"/>
        <w:rPr>
          <w:rFonts w:ascii="Arial" w:hAnsi="Arial"/>
          <w:noProof/>
          <w:sz w:val="16"/>
          <w:szCs w:val="16"/>
        </w:rPr>
      </w:pPr>
    </w:p>
    <w:p>
      <w:pPr>
        <w:pStyle w:val="Title11"/>
        <w:numPr>
          <w:ilvl w:val="2"/>
          <w:numId w:val="118"/>
        </w:numPr>
        <w:tabs>
          <w:tab w:val="right" w:pos="720"/>
        </w:tabs>
        <w:rPr>
          <w:b/>
          <w:noProof/>
          <w:sz w:val="16"/>
          <w:szCs w:val="16"/>
        </w:rPr>
      </w:pPr>
      <w:r>
        <w:rPr>
          <w:b/>
          <w:noProof/>
          <w:sz w:val="16"/>
        </w:rPr>
        <w:t xml:space="preserve"> Дериватни финансови инструменти</w:t>
      </w:r>
    </w:p>
    <w:p>
      <w:pPr>
        <w:pStyle w:val="Normal9"/>
        <w:spacing w:before="60" w:after="60"/>
        <w:jc w:val="both"/>
        <w:rPr>
          <w:rFonts w:ascii="Arial" w:hAnsi="Arial"/>
          <w:noProof/>
          <w:sz w:val="16"/>
          <w:szCs w:val="16"/>
        </w:rPr>
      </w:pPr>
    </w:p>
    <w:p>
      <w:pPr>
        <w:pStyle w:val="Normal9"/>
        <w:suppressAutoHyphens w:val="0"/>
        <w:autoSpaceDE w:val="0"/>
        <w:autoSpaceDN w:val="0"/>
        <w:adjustRightInd w:val="0"/>
        <w:rPr>
          <w:rFonts w:ascii="Arial" w:hAnsi="Arial" w:cs="Arial"/>
          <w:noProof/>
          <w:sz w:val="16"/>
          <w:szCs w:val="16"/>
        </w:rPr>
      </w:pPr>
      <w:r>
        <w:rPr>
          <w:rFonts w:ascii="Arial" w:hAnsi="Arial"/>
          <w:noProof/>
          <w:sz w:val="16"/>
        </w:rPr>
        <w:t>Дериватните финансови инструменти включват кръстосани валутни суапове, кръстосани валутно-лихвени суапове, краткосрочни валутни суапове (FX суапове) и лихвени суапове.</w:t>
      </w:r>
    </w:p>
    <w:p>
      <w:pPr>
        <w:pStyle w:val="Normal9"/>
        <w:suppressAutoHyphens w:val="0"/>
        <w:autoSpaceDE w:val="0"/>
        <w:autoSpaceDN w:val="0"/>
        <w:adjustRightInd w:val="0"/>
        <w:rPr>
          <w:rFonts w:ascii="Arial" w:hAnsi="Arial" w:cs="Arial"/>
          <w:noProof/>
          <w:sz w:val="16"/>
          <w:szCs w:val="16"/>
        </w:rPr>
      </w:pPr>
    </w:p>
    <w:p>
      <w:pPr>
        <w:pStyle w:val="Normal9"/>
        <w:suppressAutoHyphens w:val="0"/>
        <w:autoSpaceDE w:val="0"/>
        <w:autoSpaceDN w:val="0"/>
        <w:adjustRightInd w:val="0"/>
        <w:rPr>
          <w:rFonts w:cs="Arial"/>
          <w:noProof/>
          <w:sz w:val="16"/>
          <w:szCs w:val="16"/>
        </w:rPr>
      </w:pPr>
      <w:r>
        <w:rPr>
          <w:rFonts w:ascii="Arial" w:hAnsi="Arial"/>
          <w:noProof/>
          <w:sz w:val="16"/>
        </w:rPr>
        <w:t>Дериватните финансови инструменти първоначално се признават, като се използва датата на търгуване.</w:t>
      </w:r>
    </w:p>
    <w:p>
      <w:pPr>
        <w:pStyle w:val="Normal9"/>
        <w:suppressAutoHyphens w:val="0"/>
        <w:autoSpaceDE w:val="0"/>
        <w:autoSpaceDN w:val="0"/>
        <w:adjustRightInd w:val="0"/>
        <w:rPr>
          <w:rFonts w:ascii="Arial" w:hAnsi="Arial" w:cs="Arial"/>
          <w:noProof/>
          <w:sz w:val="16"/>
          <w:szCs w:val="16"/>
        </w:rPr>
      </w:pPr>
    </w:p>
    <w:p>
      <w:pPr>
        <w:pStyle w:val="Normal9"/>
        <w:suppressAutoHyphens w:val="0"/>
        <w:autoSpaceDE w:val="0"/>
        <w:autoSpaceDN w:val="0"/>
        <w:adjustRightInd w:val="0"/>
        <w:rPr>
          <w:rFonts w:ascii="Arial" w:hAnsi="Arial" w:cs="Arial"/>
          <w:noProof/>
          <w:sz w:val="16"/>
          <w:szCs w:val="16"/>
        </w:rPr>
      </w:pPr>
      <w:r>
        <w:rPr>
          <w:rFonts w:ascii="Arial" w:hAnsi="Arial"/>
          <w:noProof/>
          <w:sz w:val="16"/>
        </w:rPr>
        <w:t>В обичайния ход на своята дейност механизмът може да сключи договори за суап с цел да хеджира определени заемни операции или договор за валутни форуърди с цел да хеджира своите валутни позиции, изразени в активно търгувани валути, различни от евро, за компенсиране на печалби или загуби, причинени от колебанията на валутния курс.</w:t>
      </w:r>
    </w:p>
    <w:p>
      <w:pPr>
        <w:pStyle w:val="Normal9"/>
        <w:suppressAutoHyphens w:val="0"/>
        <w:autoSpaceDE w:val="0"/>
        <w:autoSpaceDN w:val="0"/>
        <w:adjustRightInd w:val="0"/>
        <w:rPr>
          <w:rFonts w:ascii="Arial" w:hAnsi="Arial" w:cs="Arial"/>
          <w:noProof/>
          <w:sz w:val="16"/>
          <w:szCs w:val="16"/>
        </w:rPr>
      </w:pPr>
    </w:p>
    <w:p>
      <w:pPr>
        <w:pStyle w:val="Normal9"/>
        <w:suppressAutoHyphens w:val="0"/>
        <w:autoSpaceDE w:val="0"/>
        <w:autoSpaceDN w:val="0"/>
        <w:adjustRightInd w:val="0"/>
        <w:rPr>
          <w:rFonts w:ascii="Arial" w:hAnsi="Arial" w:cs="Arial"/>
          <w:noProof/>
          <w:sz w:val="16"/>
          <w:szCs w:val="16"/>
        </w:rPr>
      </w:pPr>
      <w:r>
        <w:rPr>
          <w:rFonts w:ascii="Arial" w:hAnsi="Arial"/>
          <w:noProof/>
          <w:sz w:val="16"/>
        </w:rPr>
        <w:t>Всички деривати се измерват по FVTPL и се отчитат като дериватни финансови инструменти. Справедливите стойности се изчисляват главно въз основа на сконтираните модели за паричния поток, моделите за ценообразуване на опциите и от котировките на трети страни.</w:t>
      </w:r>
    </w:p>
    <w:p>
      <w:pPr>
        <w:pStyle w:val="Normal9"/>
        <w:suppressAutoHyphens w:val="0"/>
        <w:autoSpaceDE w:val="0"/>
        <w:autoSpaceDN w:val="0"/>
        <w:adjustRightInd w:val="0"/>
        <w:rPr>
          <w:rFonts w:ascii="Arial" w:hAnsi="Arial" w:cs="Arial"/>
          <w:noProof/>
          <w:sz w:val="16"/>
          <w:szCs w:val="16"/>
        </w:rPr>
      </w:pPr>
    </w:p>
    <w:p>
      <w:pPr>
        <w:pStyle w:val="Normal9"/>
        <w:suppressAutoHyphens w:val="0"/>
        <w:autoSpaceDE w:val="0"/>
        <w:autoSpaceDN w:val="0"/>
        <w:adjustRightInd w:val="0"/>
        <w:rPr>
          <w:rFonts w:cs="Arial"/>
          <w:noProof/>
          <w:sz w:val="16"/>
          <w:szCs w:val="16"/>
        </w:rPr>
      </w:pPr>
      <w:r>
        <w:rPr>
          <w:rFonts w:ascii="Arial" w:hAnsi="Arial"/>
          <w:noProof/>
          <w:sz w:val="16"/>
        </w:rPr>
        <w:t>Дериватите се записват по справедлива стойност и се отчитат като активи, ако тяхната справедлива стойност е положителна, и като пасиви, ако е отрицателна. Промените в справедливата стойност на дериватните финансови инструменти са показани в отчета за печалбата или загубата и другия всеобхватен доход в раздел „Промяна на справедливата стойност на дериватни финансови инструменти“.</w:t>
      </w:r>
    </w:p>
    <w:p>
      <w:pPr>
        <w:pStyle w:val="Normal9"/>
        <w:suppressAutoHyphens w:val="0"/>
        <w:autoSpaceDE w:val="0"/>
        <w:autoSpaceDN w:val="0"/>
        <w:adjustRightInd w:val="0"/>
        <w:rPr>
          <w:rFonts w:cs="Arial"/>
          <w:noProof/>
          <w:sz w:val="16"/>
          <w:szCs w:val="16"/>
        </w:rPr>
      </w:pPr>
    </w:p>
    <w:p>
      <w:pPr>
        <w:pStyle w:val="Normal9"/>
        <w:suppressAutoHyphens w:val="0"/>
        <w:autoSpaceDE w:val="0"/>
        <w:autoSpaceDN w:val="0"/>
        <w:adjustRightInd w:val="0"/>
        <w:rPr>
          <w:rFonts w:ascii="Arial" w:hAnsi="Arial" w:cs="Arial"/>
          <w:noProof/>
          <w:sz w:val="16"/>
          <w:szCs w:val="16"/>
        </w:rPr>
      </w:pPr>
      <w:r>
        <w:rPr>
          <w:rFonts w:ascii="Arial" w:hAnsi="Arial"/>
          <w:noProof/>
          <w:sz w:val="16"/>
        </w:rPr>
        <w:t>Съгласно МСФО 9 изискванията за разделяне относно внедрените деривати са премахнати за финансовите активи или финансовите пасиви и следователно хибридният договор се третира като цяло за класификацията съответно на финансови активи или финансови пасиви.</w:t>
      </w:r>
    </w:p>
    <w:p>
      <w:pPr>
        <w:pStyle w:val="Normal9"/>
        <w:suppressAutoHyphens w:val="0"/>
        <w:rPr>
          <w:rFonts w:ascii="Arial" w:hAnsi="Arial"/>
          <w:noProof/>
          <w:sz w:val="16"/>
          <w:szCs w:val="16"/>
        </w:rPr>
      </w:pPr>
    </w:p>
    <w:p>
      <w:pPr>
        <w:pStyle w:val="Title11"/>
        <w:numPr>
          <w:ilvl w:val="2"/>
          <w:numId w:val="118"/>
        </w:numPr>
        <w:tabs>
          <w:tab w:val="right" w:pos="720"/>
        </w:tabs>
        <w:rPr>
          <w:b/>
          <w:noProof/>
          <w:sz w:val="16"/>
          <w:szCs w:val="16"/>
        </w:rPr>
      </w:pPr>
      <w:r>
        <w:rPr>
          <w:b/>
          <w:noProof/>
          <w:sz w:val="16"/>
        </w:rPr>
        <w:t xml:space="preserve"> Вноски</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rPr>
        <w:t>Вноските от държавите членки се отчитат в отчета за финансовото състояние като вземания на датата на решението на Съвета, определящо финансовата вноска, която държавата членка трябва да плати на механизма.</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rPr>
        <w:t>Вноските на държавите членки изпълняват следните условия и следователно се класифицират като собствен капитал:</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rPr>
        <w:t>както е определено в споразумението за вноските, държавите членки имат право да решават относно използването на нетните активи на механизма, в случай на ликвидация на механизма,</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rPr>
        <w:t>те са в класа инструменти, който е подчинен на всички други класове инструменти,</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rPr>
        <w:t>всички финансови инструменти в класа инструменти, които са подчинени на всички други класове инструменти, притежават идентични характеристики,</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rPr>
        <w:t>инструментът не включва характеристики, които налагат класифициране като пасив; и</w:t>
      </w:r>
    </w:p>
    <w:p>
      <w:pPr>
        <w:pStyle w:val="Normal9"/>
        <w:numPr>
          <w:ilvl w:val="0"/>
          <w:numId w:val="71"/>
        </w:numPr>
        <w:tabs>
          <w:tab w:val="left" w:pos="340"/>
        </w:tabs>
        <w:spacing w:before="60" w:after="60"/>
        <w:jc w:val="both"/>
        <w:rPr>
          <w:rFonts w:ascii="Arial" w:hAnsi="Arial"/>
          <w:noProof/>
          <w:sz w:val="16"/>
          <w:szCs w:val="16"/>
        </w:rPr>
      </w:pPr>
      <w:r>
        <w:rPr>
          <w:rFonts w:ascii="Arial" w:hAnsi="Arial"/>
          <w:noProof/>
          <w:sz w:val="16"/>
        </w:rPr>
        <w:t>общият размер на очакваните парични потоци, отнасяни към този инструмент, през цялото времетраене на инструмента се основават в съществена степен на печалбата или загубата, промяната в признатите нетни активи или промяната в справедливата стойност на признатите и отписани нетни активи на механизма през цялото времетраене на инструмента.</w:t>
      </w:r>
    </w:p>
    <w:p>
      <w:pPr>
        <w:pStyle w:val="Normal9"/>
        <w:tabs>
          <w:tab w:val="left" w:pos="340"/>
        </w:tabs>
        <w:spacing w:before="60" w:after="60"/>
        <w:jc w:val="both"/>
        <w:rPr>
          <w:rFonts w:ascii="Arial" w:hAnsi="Arial"/>
          <w:noProof/>
          <w:sz w:val="16"/>
          <w:szCs w:val="16"/>
        </w:rPr>
      </w:pPr>
    </w:p>
    <w:p>
      <w:pPr>
        <w:pStyle w:val="Normal9"/>
        <w:suppressAutoHyphens w:val="0"/>
        <w:autoSpaceDE w:val="0"/>
        <w:autoSpaceDN w:val="0"/>
        <w:adjustRightInd w:val="0"/>
        <w:rPr>
          <w:rFonts w:cs="Arial"/>
          <w:noProof/>
          <w:sz w:val="16"/>
          <w:szCs w:val="16"/>
        </w:rPr>
      </w:pPr>
      <w:r>
        <w:rPr>
          <w:rFonts w:ascii="Arial" w:hAnsi="Arial"/>
          <w:noProof/>
          <w:sz w:val="16"/>
        </w:rPr>
        <w:t>Вноските се класифицират и оценяват по амортизирана стойност във финансовите отчети.</w:t>
      </w:r>
    </w:p>
    <w:p>
      <w:pPr>
        <w:pStyle w:val="Normal9"/>
        <w:tabs>
          <w:tab w:val="left" w:pos="340"/>
        </w:tabs>
        <w:spacing w:before="60" w:after="60"/>
        <w:jc w:val="both"/>
        <w:rPr>
          <w:rFonts w:ascii="Arial" w:hAnsi="Arial"/>
          <w:noProof/>
          <w:sz w:val="16"/>
          <w:szCs w:val="16"/>
        </w:rPr>
      </w:pPr>
    </w:p>
    <w:p>
      <w:pPr>
        <w:pStyle w:val="Title11"/>
        <w:numPr>
          <w:ilvl w:val="2"/>
          <w:numId w:val="118"/>
        </w:numPr>
        <w:tabs>
          <w:tab w:val="right" w:pos="720"/>
        </w:tabs>
        <w:rPr>
          <w:b/>
          <w:noProof/>
          <w:sz w:val="16"/>
          <w:szCs w:val="16"/>
        </w:rPr>
      </w:pPr>
      <w:r>
        <w:rPr>
          <w:b/>
          <w:noProof/>
          <w:sz w:val="16"/>
        </w:rPr>
        <w:t xml:space="preserve"> Приходи от лихви и други подобни приходи </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rPr>
        <w:t>Лихвата върху заеми, предоставени от механизма, се вписва в отчета за печалбата или загубата и другия всеобхватен доход („Приходи от лихви и други подобни приходи“) и в отчета за финансовото състояние („Заеми и аванси“) на базата на текущо начисляване чрез ефективния лихвен процент, който е процентът, който точно сконтира прогнозираните бъдещи парични плащания или постъпления за очаквания срок на заема до неговата чиста отчетна стойност. След като записаната стойност на заема бъде намалена поради обезценка, приходите от лихви продължават да се отчитат чрез първоначалния ефективен лихвен процент, приложим към новата отчетна стойност.</w:t>
      </w:r>
    </w:p>
    <w:p>
      <w:pPr>
        <w:pStyle w:val="Normal9"/>
        <w:spacing w:before="60" w:after="60"/>
        <w:jc w:val="both"/>
        <w:rPr>
          <w:rFonts w:ascii="Arial" w:hAnsi="Arial"/>
          <w:noProof/>
          <w:sz w:val="16"/>
          <w:szCs w:val="16"/>
        </w:rPr>
      </w:pPr>
    </w:p>
    <w:p>
      <w:pPr>
        <w:pStyle w:val="Normal90"/>
        <w:spacing w:before="60" w:after="60"/>
        <w:jc w:val="both"/>
        <w:rPr>
          <w:rFonts w:ascii="Arial" w:hAnsi="Arial"/>
          <w:noProof/>
          <w:sz w:val="16"/>
          <w:szCs w:val="16"/>
        </w:rPr>
      </w:pPr>
      <w:r>
        <w:rPr>
          <w:rFonts w:ascii="Arial" w:hAnsi="Arial"/>
          <w:noProof/>
          <w:sz w:val="16"/>
        </w:rPr>
        <w:t>Лихвата върху заеми POCI се вписва в отчета за печалбата или загубата и другия всеобхватен доход („Приходи от лихви и други подобни приходи“) и в отчета за финансовото състояние („Заеми и аванси“) на базата на текущо начисляване чрез ефективния лихвен процент, коригиран спрямо кредита за целия срок на заема, който е процентът, който точно сконтира прогнозираните бъдещи парични плащания или постъпления за очаквания срок на заема до амортизираната стойност на заема.</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rPr>
      </w:pPr>
      <w:r>
        <w:rPr>
          <w:rFonts w:ascii="Arial" w:hAnsi="Arial"/>
          <w:noProof/>
          <w:sz w:val="16"/>
        </w:rPr>
        <w:t>Таксите за поети задължения се отлагат и признават като приход по метода на ефективната лихва за срока от отпускането на съответния заем до неговото изплащане, и са представени в отчета за печалбата или загубата и другия всеобхватен доход като лихви и други подобни приходи.</w:t>
      </w:r>
    </w:p>
    <w:p>
      <w:pPr>
        <w:pStyle w:val="Normal9"/>
        <w:spacing w:before="60" w:after="60"/>
        <w:jc w:val="both"/>
        <w:rPr>
          <w:rFonts w:ascii="Arial" w:hAnsi="Arial"/>
          <w:noProof/>
          <w:sz w:val="16"/>
          <w:szCs w:val="16"/>
        </w:rPr>
      </w:pPr>
    </w:p>
    <w:p>
      <w:pPr>
        <w:pStyle w:val="Title11"/>
        <w:numPr>
          <w:ilvl w:val="2"/>
          <w:numId w:val="118"/>
        </w:numPr>
        <w:tabs>
          <w:tab w:val="right" w:pos="720"/>
        </w:tabs>
        <w:rPr>
          <w:b/>
          <w:noProof/>
          <w:sz w:val="16"/>
          <w:szCs w:val="16"/>
        </w:rPr>
      </w:pPr>
      <w:r>
        <w:rPr>
          <w:noProof/>
          <w:sz w:val="16"/>
        </w:rPr>
        <w:t xml:space="preserve">      </w:t>
      </w:r>
      <w:r>
        <w:rPr>
          <w:b/>
          <w:noProof/>
          <w:sz w:val="16"/>
        </w:rPr>
        <w:t>Лихвени субсидии и техническа помощ</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rPr>
        <w:t>Като част от своите дейности механизмът управлява лихвените субсидии и техническата помощ от името на държавите членки.</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rPr>
        <w:t>Частта от вноските на държавите членки, предоставена за изплащане на лихвени субсидии и ТП, не се отчита в ресурсите на вносителите на механизма, а се класифицира като сума, дължима на трети страни. Механизмът отпуска плащанията за крайните бенефициери и тогава намалява сумите, дължими на трети страни.</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rPr>
        <w:t>Когато сумите, внесени във връзка с лихвени субсидии и ТП, не са напълно предоставени, те се прекласифицират като вноска за механизма.</w:t>
      </w:r>
    </w:p>
    <w:p>
      <w:pPr>
        <w:pStyle w:val="Normal9"/>
        <w:suppressAutoHyphens w:val="0"/>
        <w:rPr>
          <w:rFonts w:ascii="Arial" w:hAnsi="Arial"/>
          <w:noProof/>
          <w:sz w:val="16"/>
          <w:szCs w:val="16"/>
        </w:rPr>
      </w:pPr>
    </w:p>
    <w:p>
      <w:pPr>
        <w:pStyle w:val="Title11"/>
        <w:numPr>
          <w:ilvl w:val="2"/>
          <w:numId w:val="118"/>
        </w:numPr>
        <w:tabs>
          <w:tab w:val="right" w:pos="720"/>
        </w:tabs>
        <w:rPr>
          <w:b/>
          <w:noProof/>
          <w:sz w:val="16"/>
          <w:szCs w:val="16"/>
        </w:rPr>
      </w:pPr>
      <w:r>
        <w:rPr>
          <w:b/>
          <w:noProof/>
          <w:sz w:val="16"/>
        </w:rPr>
        <w:t xml:space="preserve">       Приходи от лихви по пари и парични еквиваленти</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rPr>
        <w:t>Приходите от лихви от пари и парични еквиваленти се признават в отчета за печалбата или загубата и другия всеобхватен доход на механизма на базата на текущо начисляване.</w:t>
      </w:r>
    </w:p>
    <w:p>
      <w:pPr>
        <w:pStyle w:val="Normal9"/>
        <w:suppressAutoHyphens w:val="0"/>
        <w:rPr>
          <w:rFonts w:ascii="Arial" w:hAnsi="Arial"/>
          <w:noProof/>
          <w:sz w:val="16"/>
          <w:szCs w:val="16"/>
        </w:rPr>
      </w:pPr>
    </w:p>
    <w:p>
      <w:pPr>
        <w:pStyle w:val="Title11"/>
        <w:numPr>
          <w:ilvl w:val="2"/>
          <w:numId w:val="118"/>
        </w:numPr>
        <w:tabs>
          <w:tab w:val="right" w:pos="720"/>
        </w:tabs>
        <w:rPr>
          <w:b/>
          <w:noProof/>
          <w:sz w:val="16"/>
          <w:szCs w:val="16"/>
        </w:rPr>
      </w:pPr>
      <w:r>
        <w:rPr>
          <w:b/>
          <w:noProof/>
          <w:sz w:val="16"/>
        </w:rPr>
        <w:t>Такси, комисионни и дивиденти</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rPr>
        <w:t xml:space="preserve">Получените такси за услуги, предоставени за определен период от време, се признават като приход в момента на предоставяне на услугите, докато таксите, които са резултат от изпълнението на значимо действие, се признават като приход при завършването на значимото действие. Тези такси се представят в отчета за печалбата или загубата и другия всеобхватен доход като приходи от такси и комисионни. </w:t>
      </w:r>
    </w:p>
    <w:p>
      <w:pPr>
        <w:pStyle w:val="Normal9"/>
        <w:spacing w:before="60" w:after="60"/>
        <w:jc w:val="both"/>
        <w:rPr>
          <w:rFonts w:ascii="Arial" w:hAnsi="Arial"/>
          <w:noProof/>
          <w:sz w:val="16"/>
          <w:szCs w:val="16"/>
        </w:rPr>
      </w:pPr>
    </w:p>
    <w:p>
      <w:pPr>
        <w:pStyle w:val="Normal9"/>
        <w:spacing w:before="60" w:after="60"/>
        <w:jc w:val="both"/>
        <w:rPr>
          <w:rFonts w:ascii="Arial" w:hAnsi="Arial"/>
          <w:noProof/>
          <w:sz w:val="16"/>
          <w:szCs w:val="16"/>
        </w:rPr>
      </w:pPr>
      <w:r>
        <w:rPr>
          <w:rFonts w:ascii="Arial" w:hAnsi="Arial"/>
          <w:noProof/>
          <w:sz w:val="16"/>
        </w:rPr>
        <w:t>Дивидентите, свързани с акции и други ценни книжа с променлива доходност, се признават при тяхното получаване и се вписват в отчета за печалбата или загубата и другия всеобхватен доход като нетни реализирани печалби от акции и други ценни книжа с променлива доходност.</w:t>
      </w:r>
    </w:p>
    <w:p>
      <w:pPr>
        <w:pStyle w:val="Normal9"/>
        <w:spacing w:before="60" w:after="60"/>
        <w:jc w:val="both"/>
        <w:rPr>
          <w:rFonts w:ascii="Arial" w:hAnsi="Arial"/>
          <w:noProof/>
          <w:sz w:val="16"/>
          <w:szCs w:val="16"/>
        </w:rPr>
      </w:pPr>
    </w:p>
    <w:p>
      <w:pPr>
        <w:pStyle w:val="Title11"/>
        <w:numPr>
          <w:ilvl w:val="2"/>
          <w:numId w:val="118"/>
        </w:numPr>
        <w:tabs>
          <w:tab w:val="right" w:pos="720"/>
        </w:tabs>
        <w:rPr>
          <w:b/>
          <w:noProof/>
          <w:sz w:val="16"/>
          <w:szCs w:val="16"/>
        </w:rPr>
      </w:pPr>
      <w:r>
        <w:rPr>
          <w:b/>
          <w:noProof/>
          <w:sz w:val="16"/>
        </w:rPr>
        <w:t>Данъчно облагане</w:t>
      </w:r>
    </w:p>
    <w:p>
      <w:pPr>
        <w:pStyle w:val="Normal9"/>
        <w:spacing w:before="60" w:after="60"/>
        <w:jc w:val="both"/>
        <w:rPr>
          <w:rFonts w:ascii="Arial" w:hAnsi="Arial"/>
          <w:noProof/>
          <w:sz w:val="16"/>
          <w:szCs w:val="16"/>
        </w:rPr>
      </w:pPr>
    </w:p>
    <w:p>
      <w:pPr>
        <w:pStyle w:val="xx"/>
        <w:spacing w:before="60" w:after="60"/>
        <w:rPr>
          <w:rFonts w:ascii="Arial" w:hAnsi="Arial"/>
          <w:noProof/>
          <w:sz w:val="16"/>
          <w:szCs w:val="16"/>
        </w:rPr>
      </w:pPr>
      <w:r>
        <w:rPr>
          <w:rFonts w:ascii="Arial" w:hAnsi="Arial"/>
          <w:noProof/>
          <w:sz w:val="16"/>
        </w:rPr>
        <w:t>В Протокола за привилегиите и имунитетите на Европейския съюз, добавен към Договора за Европейския съюз и Договора за функционирането на Европейския съюз, се посочва, че имуществото, приходите и друга собственост на институциите на Съюза са освободени от всички преки данъци.</w:t>
      </w:r>
    </w:p>
    <w:p>
      <w:pPr>
        <w:pStyle w:val="Normal9"/>
        <w:suppressAutoHyphens w:val="0"/>
        <w:rPr>
          <w:rFonts w:ascii="Arial" w:hAnsi="Arial"/>
          <w:noProof/>
          <w:sz w:val="16"/>
          <w:szCs w:val="16"/>
        </w:rPr>
      </w:pPr>
    </w:p>
    <w:p>
      <w:pPr>
        <w:pStyle w:val="Normal1000"/>
        <w:autoSpaceDE w:val="0"/>
        <w:autoSpaceDN w:val="0"/>
        <w:adjustRightInd w:val="0"/>
        <w:spacing w:line="240" w:lineRule="auto"/>
        <w:rPr>
          <w:noProof/>
          <w:sz w:val="16"/>
          <w:szCs w:val="16"/>
        </w:rPr>
        <w:sectPr>
          <w:headerReference w:type="even" r:id="rId499"/>
          <w:headerReference w:type="default" r:id="rId500"/>
          <w:footerReference w:type="even" r:id="rId501"/>
          <w:footerReference w:type="default" r:id="rId502"/>
          <w:headerReference w:type="first" r:id="rId503"/>
          <w:footerReference w:type="first" r:id="rId504"/>
          <w:type w:val="continuous"/>
          <w:pgSz w:w="12240" w:h="15840"/>
          <w:pgMar w:top="765" w:right="1134" w:bottom="765" w:left="1134" w:header="709" w:footer="709" w:gutter="0"/>
          <w:cols w:space="720"/>
          <w:docGrid w:linePitch="360"/>
        </w:sectPr>
      </w:pPr>
    </w:p>
    <w:p>
      <w:pPr>
        <w:pStyle w:val="Normal1000"/>
        <w:autoSpaceDE w:val="0"/>
        <w:autoSpaceDN w:val="0"/>
        <w:adjustRightInd w:val="0"/>
        <w:spacing w:line="240" w:lineRule="auto"/>
        <w:rPr>
          <w:b/>
          <w:noProof/>
          <w:sz w:val="16"/>
          <w:szCs w:val="16"/>
        </w:rPr>
      </w:pPr>
      <w:r>
        <w:rPr>
          <w:b/>
          <w:noProof/>
          <w:sz w:val="16"/>
        </w:rPr>
        <w:t>2.5 Преходни данни</w:t>
      </w:r>
    </w:p>
    <w:p>
      <w:pPr>
        <w:pStyle w:val="Normal1000"/>
        <w:autoSpaceDE w:val="0"/>
        <w:autoSpaceDN w:val="0"/>
        <w:adjustRightInd w:val="0"/>
        <w:spacing w:line="240" w:lineRule="auto"/>
        <w:rPr>
          <w:noProof/>
          <w:sz w:val="8"/>
          <w:szCs w:val="8"/>
        </w:rPr>
      </w:pPr>
    </w:p>
    <w:p>
      <w:pPr>
        <w:pStyle w:val="Normal1000"/>
        <w:autoSpaceDE w:val="0"/>
        <w:autoSpaceDN w:val="0"/>
        <w:adjustRightInd w:val="0"/>
        <w:spacing w:line="240" w:lineRule="auto"/>
        <w:rPr>
          <w:noProof/>
          <w:sz w:val="16"/>
          <w:szCs w:val="16"/>
        </w:rPr>
      </w:pPr>
      <w:r>
        <w:rPr>
          <w:noProof/>
          <w:sz w:val="16"/>
        </w:rPr>
        <w:t>Следната таблица показва първоначалните категории на оценяване съгласно МСС 39 и новите категории на оценяване съгласно МСФО 9 за активите и пасивите на механизма към 1 януари 2018 г.</w:t>
      </w:r>
    </w:p>
    <w:p>
      <w:pPr>
        <w:pStyle w:val="Normal1000"/>
        <w:autoSpaceDE w:val="0"/>
        <w:autoSpaceDN w:val="0"/>
        <w:adjustRightInd w:val="0"/>
        <w:spacing w:line="240" w:lineRule="auto"/>
        <w:rPr>
          <w:noProof/>
          <w:sz w:val="8"/>
          <w:szCs w:val="8"/>
        </w:rPr>
      </w:pPr>
    </w:p>
    <w:tbl>
      <w:tblPr>
        <w:tblW w:w="14040" w:type="dxa"/>
        <w:tblLook w:val="04A0" w:firstRow="1" w:lastRow="0" w:firstColumn="1" w:lastColumn="0" w:noHBand="0" w:noVBand="1"/>
      </w:tblPr>
      <w:tblGrid>
        <w:gridCol w:w="2848"/>
        <w:gridCol w:w="2848"/>
        <w:gridCol w:w="1366"/>
        <w:gridCol w:w="2848"/>
        <w:gridCol w:w="1366"/>
        <w:gridCol w:w="2764"/>
      </w:tblGrid>
      <w:tr>
        <w:trPr>
          <w:trHeight w:val="207"/>
        </w:trPr>
        <w:tc>
          <w:tcPr>
            <w:tcW w:w="2848" w:type="dxa"/>
            <w:tcBorders>
              <w:top w:val="nil"/>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АКТИВИ (в хиляди евро)</w:t>
            </w:r>
          </w:p>
        </w:tc>
        <w:tc>
          <w:tcPr>
            <w:tcW w:w="2848" w:type="dxa"/>
            <w:tcBorders>
              <w:top w:val="nil"/>
              <w:left w:val="nil"/>
              <w:bottom w:val="single" w:sz="8" w:space="0" w:color="auto"/>
              <w:right w:val="nil"/>
            </w:tcBorders>
            <w:noWrap/>
            <w:vAlign w:val="bottom"/>
            <w:hideMark/>
          </w:tcPr>
          <w:p>
            <w:pPr>
              <w:pStyle w:val="Normal9"/>
              <w:rPr>
                <w:rFonts w:ascii="Arial" w:hAnsi="Arial" w:cs="Arial"/>
                <w:noProof/>
                <w:color w:val="000000"/>
                <w:sz w:val="16"/>
                <w:szCs w:val="16"/>
              </w:rPr>
            </w:pPr>
          </w:p>
        </w:tc>
        <w:tc>
          <w:tcPr>
            <w:tcW w:w="1366"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2848"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366"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2764" w:type="dxa"/>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415"/>
        </w:trPr>
        <w:tc>
          <w:tcPr>
            <w:tcW w:w="2848" w:type="dxa"/>
            <w:tcBorders>
              <w:top w:val="single" w:sz="8" w:space="0" w:color="auto"/>
              <w:left w:val="nil"/>
              <w:bottom w:val="single" w:sz="8" w:space="0" w:color="auto"/>
              <w:right w:val="nil"/>
            </w:tcBorders>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 xml:space="preserve">Отчет за финансовото състояние </w:t>
            </w:r>
            <w:r>
              <w:rPr>
                <w:rFonts w:ascii="Arial" w:hAnsi="Arial" w:cs="Arial"/>
                <w:b/>
                <w:noProof/>
                <w:color w:val="000000"/>
                <w:sz w:val="16"/>
                <w:szCs w:val="16"/>
              </w:rPr>
              <w:br/>
            </w:r>
            <w:r>
              <w:rPr>
                <w:rFonts w:ascii="Arial" w:hAnsi="Arial"/>
                <w:b/>
                <w:noProof/>
                <w:color w:val="000000"/>
                <w:sz w:val="16"/>
              </w:rPr>
              <w:t>към 31 декември 2017 г.</w:t>
            </w:r>
          </w:p>
        </w:tc>
        <w:tc>
          <w:tcPr>
            <w:tcW w:w="2848" w:type="dxa"/>
            <w:tcBorders>
              <w:top w:val="single" w:sz="8" w:space="0" w:color="auto"/>
              <w:left w:val="nil"/>
              <w:bottom w:val="single" w:sz="8" w:space="0" w:color="auto"/>
              <w:right w:val="nil"/>
            </w:tcBorders>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Категория на оценяване по МСС 39</w:t>
            </w:r>
          </w:p>
        </w:tc>
        <w:tc>
          <w:tcPr>
            <w:tcW w:w="1366"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Нетна балансова стойност</w:t>
            </w:r>
          </w:p>
        </w:tc>
        <w:tc>
          <w:tcPr>
            <w:tcW w:w="2848" w:type="dxa"/>
            <w:tcBorders>
              <w:top w:val="single" w:sz="8" w:space="0" w:color="auto"/>
              <w:left w:val="nil"/>
              <w:bottom w:val="single" w:sz="8" w:space="0" w:color="auto"/>
              <w:right w:val="nil"/>
            </w:tcBorders>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Категория на оценяване по МСФО 9</w:t>
            </w:r>
          </w:p>
        </w:tc>
        <w:tc>
          <w:tcPr>
            <w:tcW w:w="1366"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Нетна балансова стойност</w:t>
            </w:r>
          </w:p>
        </w:tc>
        <w:tc>
          <w:tcPr>
            <w:tcW w:w="2764" w:type="dxa"/>
            <w:tcBorders>
              <w:top w:val="single" w:sz="8" w:space="0" w:color="auto"/>
              <w:left w:val="nil"/>
              <w:bottom w:val="single" w:sz="8" w:space="0" w:color="auto"/>
              <w:right w:val="nil"/>
            </w:tcBorders>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 xml:space="preserve">Отчет за финансовото състояние </w:t>
            </w:r>
            <w:r>
              <w:rPr>
                <w:rFonts w:ascii="Arial" w:hAnsi="Arial" w:cs="Arial"/>
                <w:b/>
                <w:noProof/>
                <w:color w:val="000000"/>
                <w:sz w:val="16"/>
                <w:szCs w:val="16"/>
              </w:rPr>
              <w:br/>
            </w:r>
            <w:r>
              <w:rPr>
                <w:rFonts w:ascii="Arial" w:hAnsi="Arial"/>
                <w:b/>
                <w:noProof/>
                <w:color w:val="000000"/>
                <w:sz w:val="16"/>
              </w:rPr>
              <w:t>към 1 януари 2018 г.</w:t>
            </w:r>
          </w:p>
        </w:tc>
      </w:tr>
      <w:tr>
        <w:trPr>
          <w:trHeight w:val="277"/>
        </w:trPr>
        <w:tc>
          <w:tcPr>
            <w:tcW w:w="2848" w:type="dxa"/>
            <w:tcBorders>
              <w:top w:val="single" w:sz="8" w:space="0" w:color="auto"/>
              <w:left w:val="nil"/>
              <w:bottom w:val="nil"/>
              <w:right w:val="nil"/>
            </w:tcBorders>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color w:val="000000"/>
                <w:sz w:val="16"/>
              </w:rPr>
              <w:t>Пари и парични еквиваленти</w:t>
            </w:r>
          </w:p>
        </w:tc>
        <w:tc>
          <w:tcPr>
            <w:tcW w:w="2848" w:type="dxa"/>
            <w:tcBorders>
              <w:top w:val="single" w:sz="8" w:space="0" w:color="auto"/>
              <w:left w:val="nil"/>
              <w:bottom w:val="nil"/>
              <w:right w:val="nil"/>
            </w:tcBorders>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L&amp;R (Заеми и вземания)</w:t>
            </w:r>
          </w:p>
        </w:tc>
        <w:tc>
          <w:tcPr>
            <w:tcW w:w="1366" w:type="dxa"/>
            <w:tcBorders>
              <w:top w:val="single" w:sz="8" w:space="0" w:color="auto"/>
              <w:left w:val="nil"/>
              <w:bottom w:val="nil"/>
              <w:right w:val="nil"/>
            </w:tcBorders>
            <w:noWrap/>
            <w:hideMark/>
          </w:tcPr>
          <w:p>
            <w:pPr>
              <w:pStyle w:val="Normal9"/>
              <w:suppressAutoHyphens w:val="0"/>
              <w:spacing w:line="256" w:lineRule="auto"/>
              <w:jc w:val="right"/>
              <w:outlineLvl w:val="0"/>
              <w:rPr>
                <w:rFonts w:ascii="Arial" w:hAnsi="Arial" w:cs="Arial"/>
                <w:noProof/>
                <w:color w:val="000000"/>
                <w:sz w:val="16"/>
                <w:szCs w:val="16"/>
              </w:rPr>
            </w:pPr>
            <w:r>
              <w:rPr>
                <w:rFonts w:ascii="Arial" w:hAnsi="Arial"/>
                <w:noProof/>
                <w:color w:val="000000"/>
                <w:sz w:val="16"/>
              </w:rPr>
              <w:t>549 101</w:t>
            </w:r>
          </w:p>
        </w:tc>
        <w:tc>
          <w:tcPr>
            <w:tcW w:w="2848" w:type="dxa"/>
            <w:tcBorders>
              <w:top w:val="single" w:sz="8" w:space="0" w:color="auto"/>
              <w:left w:val="nil"/>
              <w:bottom w:val="nil"/>
              <w:right w:val="nil"/>
            </w:tcBorders>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AC (Амортизирана стойност)</w:t>
            </w:r>
          </w:p>
        </w:tc>
        <w:tc>
          <w:tcPr>
            <w:tcW w:w="1366" w:type="dxa"/>
            <w:tcBorders>
              <w:top w:val="single" w:sz="8" w:space="0" w:color="auto"/>
              <w:left w:val="nil"/>
              <w:bottom w:val="nil"/>
              <w:right w:val="nil"/>
            </w:tcBorders>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549 101 </w:t>
            </w:r>
          </w:p>
        </w:tc>
        <w:tc>
          <w:tcPr>
            <w:tcW w:w="2764" w:type="dxa"/>
            <w:tcBorders>
              <w:top w:val="single" w:sz="8" w:space="0" w:color="auto"/>
              <w:left w:val="nil"/>
              <w:bottom w:val="nil"/>
              <w:right w:val="nil"/>
            </w:tcBorders>
            <w:hideMark/>
          </w:tcPr>
          <w:p>
            <w:pPr>
              <w:pStyle w:val="ListParagraph"/>
              <w:numPr>
                <w:ilvl w:val="0"/>
                <w:numId w:val="73"/>
              </w:numPr>
              <w:suppressAutoHyphens w:val="0"/>
              <w:spacing w:line="256" w:lineRule="auto"/>
              <w:ind w:left="315" w:hanging="355"/>
              <w:rPr>
                <w:rFonts w:ascii="Arial" w:hAnsi="Arial" w:cs="Arial"/>
                <w:noProof/>
                <w:color w:val="000000"/>
                <w:sz w:val="16"/>
                <w:szCs w:val="16"/>
              </w:rPr>
            </w:pPr>
            <w:r>
              <w:rPr>
                <w:rFonts w:ascii="Arial" w:hAnsi="Arial"/>
                <w:noProof/>
                <w:color w:val="000000"/>
                <w:sz w:val="16"/>
              </w:rPr>
              <w:t>Пари и парични еквиваленти</w:t>
            </w:r>
          </w:p>
        </w:tc>
      </w:tr>
      <w:tr>
        <w:trPr>
          <w:trHeight w:val="277"/>
        </w:trPr>
        <w:tc>
          <w:tcPr>
            <w:tcW w:w="2848" w:type="dxa"/>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color w:val="000000"/>
                <w:sz w:val="16"/>
              </w:rPr>
              <w:t>Вземания от вносителите</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L&amp;R (Заеми и вземания)</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rPr>
            </w:pPr>
            <w:r>
              <w:rPr>
                <w:rFonts w:ascii="Arial" w:hAnsi="Arial"/>
                <w:noProof/>
                <w:color w:val="000000"/>
                <w:sz w:val="16"/>
              </w:rPr>
              <w:t>150 000</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AC (Амортизирана стойност)</w:t>
            </w:r>
          </w:p>
        </w:tc>
        <w:tc>
          <w:tcPr>
            <w:tcW w:w="1366"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150 000 </w:t>
            </w:r>
          </w:p>
        </w:tc>
        <w:tc>
          <w:tcPr>
            <w:tcW w:w="2764" w:type="dxa"/>
            <w:hideMark/>
          </w:tcPr>
          <w:p>
            <w:pPr>
              <w:pStyle w:val="ListParagraph"/>
              <w:numPr>
                <w:ilvl w:val="0"/>
                <w:numId w:val="73"/>
              </w:numPr>
              <w:suppressAutoHyphens w:val="0"/>
              <w:spacing w:line="256" w:lineRule="auto"/>
              <w:ind w:left="315" w:hanging="355"/>
              <w:rPr>
                <w:rFonts w:ascii="Arial" w:hAnsi="Arial" w:cs="Arial"/>
                <w:noProof/>
                <w:color w:val="000000"/>
                <w:sz w:val="16"/>
                <w:szCs w:val="16"/>
              </w:rPr>
            </w:pPr>
            <w:r>
              <w:rPr>
                <w:rFonts w:ascii="Arial" w:hAnsi="Arial"/>
                <w:noProof/>
                <w:color w:val="000000"/>
                <w:sz w:val="16"/>
              </w:rPr>
              <w:t>Вземания от вносителите</w:t>
            </w:r>
          </w:p>
        </w:tc>
      </w:tr>
      <w:tr>
        <w:trPr>
          <w:trHeight w:val="277"/>
        </w:trPr>
        <w:tc>
          <w:tcPr>
            <w:tcW w:w="2848" w:type="dxa"/>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color w:val="000000"/>
                <w:sz w:val="16"/>
              </w:rPr>
              <w:t>Финансови активи, държани до падеж</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HTM (Държани до падеж)</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rPr>
            </w:pPr>
            <w:r>
              <w:rPr>
                <w:rFonts w:ascii="Arial" w:hAnsi="Arial"/>
                <w:noProof/>
                <w:color w:val="000000"/>
                <w:sz w:val="16"/>
              </w:rPr>
              <w:t>144 382</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AC (Амортизирана стойност)</w:t>
            </w:r>
          </w:p>
        </w:tc>
        <w:tc>
          <w:tcPr>
            <w:tcW w:w="1366"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144 382 </w:t>
            </w:r>
          </w:p>
        </w:tc>
        <w:tc>
          <w:tcPr>
            <w:tcW w:w="2764" w:type="dxa"/>
            <w:hideMark/>
          </w:tcPr>
          <w:p>
            <w:pPr>
              <w:pStyle w:val="ListParagraph"/>
              <w:numPr>
                <w:ilvl w:val="0"/>
                <w:numId w:val="73"/>
              </w:numPr>
              <w:suppressAutoHyphens w:val="0"/>
              <w:spacing w:line="256" w:lineRule="auto"/>
              <w:ind w:left="315" w:hanging="355"/>
              <w:rPr>
                <w:rFonts w:ascii="Arial" w:hAnsi="Arial" w:cs="Arial"/>
                <w:noProof/>
                <w:color w:val="000000"/>
                <w:sz w:val="16"/>
                <w:szCs w:val="16"/>
              </w:rPr>
            </w:pPr>
            <w:r>
              <w:rPr>
                <w:rFonts w:ascii="Arial" w:hAnsi="Arial"/>
                <w:noProof/>
                <w:color w:val="000000"/>
                <w:sz w:val="16"/>
              </w:rPr>
              <w:t>Касови финансови активи</w:t>
            </w:r>
          </w:p>
        </w:tc>
      </w:tr>
      <w:tr>
        <w:trPr>
          <w:trHeight w:val="277"/>
        </w:trPr>
        <w:tc>
          <w:tcPr>
            <w:tcW w:w="2848" w:type="dxa"/>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color w:val="000000"/>
                <w:sz w:val="16"/>
              </w:rPr>
              <w:t>Дериватни финансови инструменти</w:t>
            </w:r>
          </w:p>
        </w:tc>
        <w:tc>
          <w:tcPr>
            <w:tcW w:w="2848" w:type="dxa"/>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FVTPL (справедлива стойност през печалбата или загубата)</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rPr>
            </w:pPr>
            <w:r>
              <w:rPr>
                <w:rFonts w:ascii="Arial" w:hAnsi="Arial"/>
                <w:noProof/>
                <w:color w:val="000000"/>
                <w:sz w:val="16"/>
              </w:rPr>
              <w:t>12 521</w:t>
            </w:r>
          </w:p>
        </w:tc>
        <w:tc>
          <w:tcPr>
            <w:tcW w:w="2848" w:type="dxa"/>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FVTPL (справедлива стойност през печалбата или загубата)</w:t>
            </w:r>
          </w:p>
        </w:tc>
        <w:tc>
          <w:tcPr>
            <w:tcW w:w="1366"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12 521 </w:t>
            </w:r>
          </w:p>
        </w:tc>
        <w:tc>
          <w:tcPr>
            <w:tcW w:w="2764" w:type="dxa"/>
            <w:hideMark/>
          </w:tcPr>
          <w:p>
            <w:pPr>
              <w:pStyle w:val="ListParagraph"/>
              <w:numPr>
                <w:ilvl w:val="0"/>
                <w:numId w:val="73"/>
              </w:numPr>
              <w:suppressAutoHyphens w:val="0"/>
              <w:spacing w:line="256" w:lineRule="auto"/>
              <w:ind w:left="315" w:hanging="355"/>
              <w:rPr>
                <w:rFonts w:ascii="Arial" w:hAnsi="Arial" w:cs="Arial"/>
                <w:noProof/>
                <w:color w:val="000000"/>
                <w:sz w:val="16"/>
                <w:szCs w:val="16"/>
              </w:rPr>
            </w:pPr>
            <w:r>
              <w:rPr>
                <w:rFonts w:ascii="Arial" w:hAnsi="Arial"/>
                <w:noProof/>
                <w:color w:val="000000"/>
                <w:sz w:val="16"/>
              </w:rPr>
              <w:t>Дериватни финансови инструменти</w:t>
            </w:r>
          </w:p>
        </w:tc>
      </w:tr>
      <w:tr>
        <w:trPr>
          <w:trHeight w:val="277"/>
        </w:trPr>
        <w:tc>
          <w:tcPr>
            <w:tcW w:w="2848" w:type="dxa"/>
            <w:vMerge w:val="restart"/>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color w:val="000000"/>
                <w:sz w:val="16"/>
              </w:rPr>
              <w:t>Заеми и вземания</w:t>
            </w:r>
          </w:p>
        </w:tc>
        <w:tc>
          <w:tcPr>
            <w:tcW w:w="2848" w:type="dxa"/>
            <w:vMerge w:val="restart"/>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L&amp;R (Заеми и вземания)</w:t>
            </w:r>
          </w:p>
        </w:tc>
        <w:tc>
          <w:tcPr>
            <w:tcW w:w="1366" w:type="dxa"/>
            <w:vMerge w:val="restart"/>
            <w:hideMark/>
          </w:tcPr>
          <w:p>
            <w:pPr>
              <w:pStyle w:val="Normal9"/>
              <w:suppressAutoHyphens w:val="0"/>
              <w:spacing w:line="256" w:lineRule="auto"/>
              <w:jc w:val="right"/>
              <w:outlineLvl w:val="0"/>
              <w:rPr>
                <w:rFonts w:ascii="Arial" w:hAnsi="Arial" w:cs="Arial"/>
                <w:noProof/>
                <w:color w:val="000000"/>
                <w:sz w:val="16"/>
                <w:szCs w:val="16"/>
              </w:rPr>
            </w:pPr>
            <w:r>
              <w:rPr>
                <w:rFonts w:ascii="Arial" w:hAnsi="Arial"/>
                <w:noProof/>
                <w:color w:val="000000"/>
                <w:sz w:val="16"/>
              </w:rPr>
              <w:t>1 666 725</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AC (Амортизирана стойност)</w:t>
            </w:r>
          </w:p>
        </w:tc>
        <w:tc>
          <w:tcPr>
            <w:tcW w:w="1366"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1 615 589</w:t>
            </w:r>
          </w:p>
        </w:tc>
        <w:tc>
          <w:tcPr>
            <w:tcW w:w="2764" w:type="dxa"/>
            <w:vMerge w:val="restart"/>
            <w:hideMark/>
          </w:tcPr>
          <w:p>
            <w:pPr>
              <w:pStyle w:val="ListParagraph"/>
              <w:numPr>
                <w:ilvl w:val="0"/>
                <w:numId w:val="73"/>
              </w:numPr>
              <w:suppressAutoHyphens w:val="0"/>
              <w:spacing w:line="256" w:lineRule="auto"/>
              <w:ind w:left="315" w:hanging="355"/>
              <w:rPr>
                <w:rFonts w:ascii="Arial" w:hAnsi="Arial" w:cs="Arial"/>
                <w:noProof/>
                <w:color w:val="000000"/>
                <w:sz w:val="16"/>
                <w:szCs w:val="16"/>
              </w:rPr>
            </w:pPr>
            <w:r>
              <w:rPr>
                <w:rFonts w:ascii="Arial" w:hAnsi="Arial"/>
                <w:noProof/>
                <w:color w:val="000000"/>
                <w:sz w:val="16"/>
              </w:rPr>
              <w:t>Заеми и аванси</w:t>
            </w:r>
          </w:p>
        </w:tc>
      </w:tr>
      <w:tr>
        <w:trPr>
          <w:trHeight w:val="277"/>
        </w:trPr>
        <w:tc>
          <w:tcPr>
            <w:tcW w:w="0" w:type="auto"/>
            <w:vMerge/>
            <w:vAlign w:val="center"/>
            <w:hideMark/>
          </w:tcPr>
          <w:p>
            <w:pPr>
              <w:pStyle w:val="Normal9"/>
              <w:suppressAutoHyphens w:val="0"/>
              <w:spacing w:line="256" w:lineRule="auto"/>
              <w:rPr>
                <w:rFonts w:ascii="Arial" w:hAnsi="Arial" w:cs="Arial"/>
                <w:noProof/>
                <w:color w:val="000000"/>
                <w:sz w:val="16"/>
                <w:szCs w:val="16"/>
              </w:rPr>
            </w:pPr>
          </w:p>
        </w:tc>
        <w:tc>
          <w:tcPr>
            <w:tcW w:w="0" w:type="auto"/>
            <w:vMerge/>
            <w:vAlign w:val="center"/>
            <w:hideMark/>
          </w:tcPr>
          <w:p>
            <w:pPr>
              <w:pStyle w:val="Normal9"/>
              <w:suppressAutoHyphens w:val="0"/>
              <w:spacing w:line="256" w:lineRule="auto"/>
              <w:rPr>
                <w:rFonts w:ascii="Arial" w:hAnsi="Arial" w:cs="Arial"/>
                <w:noProof/>
                <w:color w:val="000000"/>
                <w:sz w:val="16"/>
                <w:szCs w:val="16"/>
              </w:rPr>
            </w:pPr>
          </w:p>
        </w:tc>
        <w:tc>
          <w:tcPr>
            <w:tcW w:w="0" w:type="auto"/>
            <w:vMerge/>
            <w:vAlign w:val="center"/>
            <w:hideMark/>
          </w:tcPr>
          <w:p>
            <w:pPr>
              <w:pStyle w:val="Normal9"/>
              <w:suppressAutoHyphens w:val="0"/>
              <w:spacing w:line="256" w:lineRule="auto"/>
              <w:rPr>
                <w:rFonts w:ascii="Arial" w:hAnsi="Arial" w:cs="Arial"/>
                <w:noProof/>
                <w:color w:val="000000"/>
                <w:sz w:val="16"/>
                <w:szCs w:val="16"/>
              </w:rPr>
            </w:pPr>
          </w:p>
        </w:tc>
        <w:tc>
          <w:tcPr>
            <w:tcW w:w="2848" w:type="dxa"/>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FVTPL (справедлива стойност през печалбата или загубата)</w:t>
            </w:r>
          </w:p>
        </w:tc>
        <w:tc>
          <w:tcPr>
            <w:tcW w:w="1366"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1 422 </w:t>
            </w:r>
          </w:p>
        </w:tc>
        <w:tc>
          <w:tcPr>
            <w:tcW w:w="0" w:type="auto"/>
            <w:vMerge/>
            <w:vAlign w:val="center"/>
            <w:hideMark/>
          </w:tcPr>
          <w:p>
            <w:pPr>
              <w:pStyle w:val="Normal9"/>
              <w:suppressAutoHyphens w:val="0"/>
              <w:spacing w:line="256" w:lineRule="auto"/>
              <w:rPr>
                <w:rFonts w:ascii="Arial" w:hAnsi="Arial" w:cs="Arial"/>
                <w:noProof/>
                <w:color w:val="000000"/>
                <w:sz w:val="16"/>
                <w:szCs w:val="16"/>
              </w:rPr>
            </w:pPr>
          </w:p>
        </w:tc>
      </w:tr>
      <w:tr>
        <w:trPr>
          <w:trHeight w:val="277"/>
        </w:trPr>
        <w:tc>
          <w:tcPr>
            <w:tcW w:w="2848" w:type="dxa"/>
            <w:noWrap/>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color w:val="000000"/>
                <w:sz w:val="16"/>
              </w:rPr>
              <w:t>Финансови активи на разположение за продажба</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AFS (на разположение за продажба)</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rPr>
            </w:pPr>
            <w:r>
              <w:rPr>
                <w:rFonts w:ascii="Arial" w:hAnsi="Arial"/>
                <w:noProof/>
                <w:color w:val="000000"/>
                <w:sz w:val="16"/>
              </w:rPr>
              <w:t>497 539</w:t>
            </w:r>
          </w:p>
        </w:tc>
        <w:tc>
          <w:tcPr>
            <w:tcW w:w="2848" w:type="dxa"/>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FVTPL (справедлива стойност през печалбата или загубата)</w:t>
            </w:r>
          </w:p>
        </w:tc>
        <w:tc>
          <w:tcPr>
            <w:tcW w:w="1366"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497 539 </w:t>
            </w:r>
          </w:p>
        </w:tc>
        <w:tc>
          <w:tcPr>
            <w:tcW w:w="2764" w:type="dxa"/>
            <w:noWrap/>
            <w:hideMark/>
          </w:tcPr>
          <w:p>
            <w:pPr>
              <w:pStyle w:val="ListParagraph"/>
              <w:numPr>
                <w:ilvl w:val="0"/>
                <w:numId w:val="73"/>
              </w:numPr>
              <w:suppressAutoHyphens w:val="0"/>
              <w:spacing w:line="256" w:lineRule="auto"/>
              <w:ind w:left="315" w:hanging="355"/>
              <w:rPr>
                <w:rFonts w:ascii="Arial" w:hAnsi="Arial" w:cs="Arial"/>
                <w:noProof/>
                <w:color w:val="000000"/>
                <w:sz w:val="16"/>
                <w:szCs w:val="16"/>
              </w:rPr>
            </w:pPr>
            <w:r>
              <w:rPr>
                <w:rFonts w:ascii="Arial" w:hAnsi="Arial"/>
                <w:noProof/>
                <w:color w:val="000000"/>
                <w:sz w:val="16"/>
              </w:rPr>
              <w:t>Акции и други ценни книжа с променлива доходност</w:t>
            </w:r>
          </w:p>
        </w:tc>
      </w:tr>
      <w:tr>
        <w:trPr>
          <w:trHeight w:val="277"/>
        </w:trPr>
        <w:tc>
          <w:tcPr>
            <w:tcW w:w="2848" w:type="dxa"/>
            <w:noWrap/>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color w:val="000000"/>
                <w:sz w:val="16"/>
              </w:rPr>
              <w:t>Други активи</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L&amp;R (Заеми и вземания)</w:t>
            </w:r>
          </w:p>
        </w:tc>
        <w:tc>
          <w:tcPr>
            <w:tcW w:w="1366" w:type="dxa"/>
            <w:noWrap/>
            <w:hideMark/>
          </w:tcPr>
          <w:p>
            <w:pPr>
              <w:pStyle w:val="Normal9"/>
              <w:suppressAutoHyphens w:val="0"/>
              <w:spacing w:line="256" w:lineRule="auto"/>
              <w:jc w:val="right"/>
              <w:outlineLvl w:val="0"/>
              <w:rPr>
                <w:rFonts w:ascii="Arial" w:hAnsi="Arial" w:cs="Arial"/>
                <w:noProof/>
                <w:color w:val="000000"/>
                <w:sz w:val="16"/>
                <w:szCs w:val="16"/>
              </w:rPr>
            </w:pPr>
            <w:r>
              <w:rPr>
                <w:rFonts w:ascii="Arial" w:hAnsi="Arial"/>
                <w:noProof/>
                <w:color w:val="000000"/>
                <w:sz w:val="16"/>
              </w:rPr>
              <w:t>4 385</w:t>
            </w:r>
          </w:p>
        </w:tc>
        <w:tc>
          <w:tcPr>
            <w:tcW w:w="2848"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AC (Амортизирана стойност)</w:t>
            </w:r>
          </w:p>
        </w:tc>
        <w:tc>
          <w:tcPr>
            <w:tcW w:w="1366"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4 385 </w:t>
            </w:r>
          </w:p>
        </w:tc>
        <w:tc>
          <w:tcPr>
            <w:tcW w:w="2764" w:type="dxa"/>
            <w:noWrap/>
            <w:hideMark/>
          </w:tcPr>
          <w:p>
            <w:pPr>
              <w:pStyle w:val="ListParagraph"/>
              <w:numPr>
                <w:ilvl w:val="0"/>
                <w:numId w:val="73"/>
              </w:numPr>
              <w:suppressAutoHyphens w:val="0"/>
              <w:spacing w:line="256" w:lineRule="auto"/>
              <w:ind w:left="315" w:hanging="355"/>
              <w:rPr>
                <w:rFonts w:ascii="Arial" w:hAnsi="Arial" w:cs="Arial"/>
                <w:noProof/>
                <w:color w:val="000000"/>
                <w:sz w:val="16"/>
                <w:szCs w:val="16"/>
              </w:rPr>
            </w:pPr>
            <w:r>
              <w:rPr>
                <w:rFonts w:ascii="Arial" w:hAnsi="Arial"/>
                <w:noProof/>
                <w:color w:val="000000"/>
                <w:sz w:val="16"/>
              </w:rPr>
              <w:t>Други активи</w:t>
            </w:r>
          </w:p>
        </w:tc>
      </w:tr>
      <w:tr>
        <w:trPr>
          <w:trHeight w:val="277"/>
        </w:trPr>
        <w:tc>
          <w:tcPr>
            <w:tcW w:w="2848"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Общо активи</w:t>
            </w:r>
          </w:p>
        </w:tc>
        <w:tc>
          <w:tcPr>
            <w:tcW w:w="2848"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 </w:t>
            </w:r>
          </w:p>
        </w:tc>
        <w:tc>
          <w:tcPr>
            <w:tcW w:w="1366" w:type="dxa"/>
            <w:shd w:val="clear" w:color="auto" w:fill="BFBFBF"/>
            <w:noWrap/>
            <w:vAlign w:val="center"/>
            <w:hideMark/>
          </w:tcPr>
          <w:p>
            <w:pPr>
              <w:pStyle w:val="Normal9"/>
              <w:suppressAutoHyphens w:val="0"/>
              <w:spacing w:line="256" w:lineRule="auto"/>
              <w:jc w:val="right"/>
              <w:outlineLvl w:val="0"/>
              <w:rPr>
                <w:rFonts w:ascii="Arial" w:hAnsi="Arial" w:cs="Arial"/>
                <w:b/>
                <w:noProof/>
                <w:color w:val="000000"/>
                <w:sz w:val="16"/>
                <w:szCs w:val="16"/>
              </w:rPr>
            </w:pPr>
            <w:r>
              <w:rPr>
                <w:rFonts w:ascii="Arial" w:hAnsi="Arial"/>
                <w:b/>
                <w:noProof/>
                <w:color w:val="000000"/>
                <w:sz w:val="16"/>
              </w:rPr>
              <w:t>3 024 653</w:t>
            </w:r>
          </w:p>
        </w:tc>
        <w:tc>
          <w:tcPr>
            <w:tcW w:w="2848"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 </w:t>
            </w:r>
          </w:p>
        </w:tc>
        <w:tc>
          <w:tcPr>
            <w:tcW w:w="1366"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2 974 939</w:t>
            </w:r>
          </w:p>
        </w:tc>
        <w:tc>
          <w:tcPr>
            <w:tcW w:w="2764"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Общо активи</w:t>
            </w:r>
          </w:p>
        </w:tc>
      </w:tr>
    </w:tbl>
    <w:p>
      <w:pPr>
        <w:pStyle w:val="Normal1000"/>
        <w:autoSpaceDE w:val="0"/>
        <w:autoSpaceDN w:val="0"/>
        <w:adjustRightInd w:val="0"/>
        <w:spacing w:line="240" w:lineRule="auto"/>
        <w:rPr>
          <w:noProof/>
          <w:sz w:val="8"/>
          <w:szCs w:val="8"/>
        </w:rPr>
      </w:pPr>
    </w:p>
    <w:tbl>
      <w:tblPr>
        <w:tblW w:w="14060" w:type="dxa"/>
        <w:tblLook w:val="04A0" w:firstRow="1" w:lastRow="0" w:firstColumn="1" w:lastColumn="0" w:noHBand="0" w:noVBand="1"/>
      </w:tblPr>
      <w:tblGrid>
        <w:gridCol w:w="2835"/>
        <w:gridCol w:w="2835"/>
        <w:gridCol w:w="1360"/>
        <w:gridCol w:w="2835"/>
        <w:gridCol w:w="1360"/>
        <w:gridCol w:w="2835"/>
      </w:tblGrid>
      <w:tr>
        <w:trPr>
          <w:trHeight w:val="164"/>
        </w:trPr>
        <w:tc>
          <w:tcPr>
            <w:tcW w:w="2835"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ПАСИВИ (в хиляди евро)</w:t>
            </w:r>
          </w:p>
        </w:tc>
        <w:tc>
          <w:tcPr>
            <w:tcW w:w="2835" w:type="dxa"/>
            <w:tcBorders>
              <w:top w:val="nil"/>
              <w:left w:val="nil"/>
              <w:bottom w:val="single" w:sz="4" w:space="0" w:color="auto"/>
              <w:right w:val="nil"/>
            </w:tcBorders>
            <w:noWrap/>
            <w:vAlign w:val="bottom"/>
            <w:hideMark/>
          </w:tcPr>
          <w:p>
            <w:pPr>
              <w:pStyle w:val="Normal9"/>
              <w:rPr>
                <w:rFonts w:ascii="Arial" w:hAnsi="Arial" w:cs="Arial"/>
                <w:noProof/>
                <w:color w:val="000000"/>
                <w:sz w:val="16"/>
                <w:szCs w:val="16"/>
              </w:rPr>
            </w:pPr>
          </w:p>
        </w:tc>
        <w:tc>
          <w:tcPr>
            <w:tcW w:w="1360" w:type="dxa"/>
            <w:tcBorders>
              <w:top w:val="nil"/>
              <w:left w:val="nil"/>
              <w:bottom w:val="single" w:sz="4"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2835" w:type="dxa"/>
            <w:tcBorders>
              <w:top w:val="nil"/>
              <w:left w:val="nil"/>
              <w:bottom w:val="single" w:sz="4"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360" w:type="dxa"/>
            <w:tcBorders>
              <w:top w:val="nil"/>
              <w:left w:val="nil"/>
              <w:bottom w:val="single" w:sz="4"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2835" w:type="dxa"/>
            <w:tcBorders>
              <w:top w:val="nil"/>
              <w:left w:val="nil"/>
              <w:bottom w:val="single" w:sz="4"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74"/>
        </w:trPr>
        <w:tc>
          <w:tcPr>
            <w:tcW w:w="2835" w:type="dxa"/>
            <w:tcBorders>
              <w:top w:val="single" w:sz="4" w:space="0" w:color="auto"/>
              <w:left w:val="nil"/>
              <w:bottom w:val="single" w:sz="4" w:space="0" w:color="auto"/>
              <w:right w:val="nil"/>
            </w:tcBorders>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 xml:space="preserve">Отчет за финансовото състояние </w:t>
            </w:r>
            <w:r>
              <w:rPr>
                <w:rFonts w:ascii="Arial" w:hAnsi="Arial" w:cs="Arial"/>
                <w:b/>
                <w:noProof/>
                <w:color w:val="000000"/>
                <w:sz w:val="16"/>
                <w:szCs w:val="16"/>
              </w:rPr>
              <w:br/>
            </w:r>
            <w:r>
              <w:rPr>
                <w:rFonts w:ascii="Arial" w:hAnsi="Arial"/>
                <w:b/>
                <w:noProof/>
                <w:color w:val="000000"/>
                <w:sz w:val="16"/>
              </w:rPr>
              <w:t>към 31 декември 2017 г.</w:t>
            </w:r>
          </w:p>
        </w:tc>
        <w:tc>
          <w:tcPr>
            <w:tcW w:w="2835" w:type="dxa"/>
            <w:tcBorders>
              <w:top w:val="single" w:sz="4" w:space="0" w:color="auto"/>
              <w:left w:val="nil"/>
              <w:bottom w:val="single" w:sz="4" w:space="0" w:color="auto"/>
              <w:right w:val="nil"/>
            </w:tcBorders>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Категория на оценяване по МСС 39</w:t>
            </w:r>
          </w:p>
        </w:tc>
        <w:tc>
          <w:tcPr>
            <w:tcW w:w="1360" w:type="dxa"/>
            <w:tcBorders>
              <w:top w:val="single" w:sz="4" w:space="0" w:color="auto"/>
              <w:left w:val="nil"/>
              <w:bottom w:val="single" w:sz="4"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Нетна балансова стойност</w:t>
            </w:r>
          </w:p>
        </w:tc>
        <w:tc>
          <w:tcPr>
            <w:tcW w:w="2835" w:type="dxa"/>
            <w:tcBorders>
              <w:top w:val="single" w:sz="4" w:space="0" w:color="auto"/>
              <w:left w:val="nil"/>
              <w:bottom w:val="single" w:sz="4" w:space="0" w:color="auto"/>
              <w:right w:val="nil"/>
            </w:tcBorders>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Категория на оценяване по МСФО 9</w:t>
            </w:r>
          </w:p>
        </w:tc>
        <w:tc>
          <w:tcPr>
            <w:tcW w:w="1360" w:type="dxa"/>
            <w:tcBorders>
              <w:top w:val="single" w:sz="4" w:space="0" w:color="auto"/>
              <w:left w:val="nil"/>
              <w:bottom w:val="single" w:sz="4"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Нетна балансова стойност</w:t>
            </w:r>
          </w:p>
        </w:tc>
        <w:tc>
          <w:tcPr>
            <w:tcW w:w="2835" w:type="dxa"/>
            <w:tcBorders>
              <w:top w:val="single" w:sz="4" w:space="0" w:color="auto"/>
              <w:left w:val="nil"/>
              <w:bottom w:val="single" w:sz="4" w:space="0" w:color="auto"/>
              <w:right w:val="nil"/>
            </w:tcBorders>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 xml:space="preserve">Отчет за финансовото състояние </w:t>
            </w:r>
            <w:r>
              <w:rPr>
                <w:rFonts w:ascii="Arial" w:hAnsi="Arial" w:cs="Arial"/>
                <w:b/>
                <w:noProof/>
                <w:color w:val="000000"/>
                <w:sz w:val="16"/>
                <w:szCs w:val="16"/>
              </w:rPr>
              <w:br/>
            </w:r>
            <w:r>
              <w:rPr>
                <w:rFonts w:ascii="Arial" w:hAnsi="Arial"/>
                <w:b/>
                <w:noProof/>
                <w:color w:val="000000"/>
                <w:sz w:val="16"/>
              </w:rPr>
              <w:t>към 1 януари 2018 г.</w:t>
            </w:r>
          </w:p>
        </w:tc>
      </w:tr>
      <w:tr>
        <w:trPr>
          <w:trHeight w:val="274"/>
        </w:trPr>
        <w:tc>
          <w:tcPr>
            <w:tcW w:w="2835" w:type="dxa"/>
            <w:tcBorders>
              <w:top w:val="single" w:sz="4" w:space="0" w:color="auto"/>
              <w:left w:val="nil"/>
              <w:bottom w:val="nil"/>
              <w:right w:val="nil"/>
            </w:tcBorders>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color w:val="000000"/>
                <w:sz w:val="16"/>
              </w:rPr>
              <w:t>Дериватни финансови инструменти</w:t>
            </w:r>
          </w:p>
        </w:tc>
        <w:tc>
          <w:tcPr>
            <w:tcW w:w="2835" w:type="dxa"/>
            <w:tcBorders>
              <w:top w:val="single" w:sz="4" w:space="0" w:color="auto"/>
              <w:left w:val="nil"/>
              <w:bottom w:val="nil"/>
              <w:right w:val="nil"/>
            </w:tcBorders>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FVTPL (справедлива стойност през печалбата или загубата)</w:t>
            </w:r>
          </w:p>
        </w:tc>
        <w:tc>
          <w:tcPr>
            <w:tcW w:w="1360" w:type="dxa"/>
            <w:tcBorders>
              <w:top w:val="single" w:sz="4"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1 153 </w:t>
            </w:r>
          </w:p>
        </w:tc>
        <w:tc>
          <w:tcPr>
            <w:tcW w:w="2835" w:type="dxa"/>
            <w:tcBorders>
              <w:top w:val="single" w:sz="4" w:space="0" w:color="auto"/>
              <w:left w:val="nil"/>
              <w:bottom w:val="nil"/>
              <w:right w:val="nil"/>
            </w:tcBorders>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FVTPL (справедлива стойност през печалбата или загубата)</w:t>
            </w:r>
          </w:p>
        </w:tc>
        <w:tc>
          <w:tcPr>
            <w:tcW w:w="1360" w:type="dxa"/>
            <w:tcBorders>
              <w:top w:val="single" w:sz="4"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1 153 </w:t>
            </w:r>
          </w:p>
        </w:tc>
        <w:tc>
          <w:tcPr>
            <w:tcW w:w="2835" w:type="dxa"/>
            <w:tcBorders>
              <w:top w:val="single" w:sz="4" w:space="0" w:color="auto"/>
              <w:left w:val="nil"/>
              <w:bottom w:val="nil"/>
              <w:right w:val="nil"/>
            </w:tcBorders>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rPr>
            </w:pPr>
            <w:r>
              <w:rPr>
                <w:rFonts w:ascii="Arial" w:hAnsi="Arial"/>
                <w:noProof/>
                <w:color w:val="000000"/>
                <w:sz w:val="16"/>
              </w:rPr>
              <w:t>Дериватни финансови инструменти</w:t>
            </w:r>
          </w:p>
        </w:tc>
      </w:tr>
      <w:tr>
        <w:trPr>
          <w:trHeight w:val="274"/>
        </w:trPr>
        <w:tc>
          <w:tcPr>
            <w:tcW w:w="2835" w:type="dxa"/>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color w:val="000000"/>
                <w:sz w:val="16"/>
              </w:rPr>
              <w:t>Приходи за бъдещи периоди</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AC (Амортизирана стойност)</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25 802 </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AC (Амортизирана стойност)</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25 802 </w:t>
            </w:r>
          </w:p>
        </w:tc>
        <w:tc>
          <w:tcPr>
            <w:tcW w:w="2835" w:type="dxa"/>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rPr>
            </w:pPr>
            <w:r>
              <w:rPr>
                <w:rFonts w:ascii="Arial" w:hAnsi="Arial"/>
                <w:noProof/>
                <w:color w:val="000000"/>
                <w:sz w:val="16"/>
              </w:rPr>
              <w:t>Приходи за бъдещи периоди</w:t>
            </w:r>
          </w:p>
        </w:tc>
      </w:tr>
      <w:tr>
        <w:trPr>
          <w:trHeight w:val="274"/>
        </w:trPr>
        <w:tc>
          <w:tcPr>
            <w:tcW w:w="2835" w:type="dxa"/>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color w:val="000000"/>
                <w:sz w:val="16"/>
              </w:rPr>
              <w:t>Провизии за издадени гаранции</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Финансови гаранции</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484 </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Финансови гаранции</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484 </w:t>
            </w:r>
          </w:p>
        </w:tc>
        <w:tc>
          <w:tcPr>
            <w:tcW w:w="2835" w:type="dxa"/>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rPr>
            </w:pPr>
            <w:r>
              <w:rPr>
                <w:rFonts w:ascii="Arial" w:hAnsi="Arial"/>
                <w:noProof/>
                <w:color w:val="000000"/>
                <w:sz w:val="16"/>
              </w:rPr>
              <w:t>Провизии за издадени гаранции</w:t>
            </w:r>
          </w:p>
        </w:tc>
      </w:tr>
      <w:tr>
        <w:trPr>
          <w:trHeight w:val="274"/>
        </w:trPr>
        <w:tc>
          <w:tcPr>
            <w:tcW w:w="2835" w:type="dxa"/>
            <w:noWrap/>
            <w:vAlign w:val="center"/>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color w:val="000000"/>
                <w:sz w:val="16"/>
              </w:rPr>
              <w:t>Провизии за кредитни ангажименти</w:t>
            </w:r>
          </w:p>
        </w:tc>
        <w:tc>
          <w:tcPr>
            <w:tcW w:w="2835" w:type="dxa"/>
            <w:noWrap/>
            <w:vAlign w:val="center"/>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AC (Амортизирана стойност)</w:t>
            </w:r>
          </w:p>
        </w:tc>
        <w:tc>
          <w:tcPr>
            <w:tcW w:w="1360" w:type="dxa"/>
            <w:noWrap/>
            <w:vAlign w:val="center"/>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w:t>
            </w:r>
          </w:p>
        </w:tc>
        <w:tc>
          <w:tcPr>
            <w:tcW w:w="2835" w:type="dxa"/>
            <w:noWrap/>
            <w:vAlign w:val="center"/>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AC (Амортизирана стойност)</w:t>
            </w:r>
          </w:p>
        </w:tc>
        <w:tc>
          <w:tcPr>
            <w:tcW w:w="1360" w:type="dxa"/>
            <w:noWrap/>
            <w:vAlign w:val="center"/>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4 156</w:t>
            </w:r>
          </w:p>
        </w:tc>
        <w:tc>
          <w:tcPr>
            <w:tcW w:w="2835" w:type="dxa"/>
            <w:noWrap/>
            <w:vAlign w:val="center"/>
          </w:tcPr>
          <w:p>
            <w:pPr>
              <w:pStyle w:val="ListParagraph"/>
              <w:numPr>
                <w:ilvl w:val="0"/>
                <w:numId w:val="73"/>
              </w:numPr>
              <w:suppressAutoHyphens w:val="0"/>
              <w:spacing w:line="256" w:lineRule="auto"/>
              <w:ind w:left="360" w:hanging="357"/>
              <w:rPr>
                <w:rFonts w:ascii="Arial" w:hAnsi="Arial" w:cs="Arial"/>
                <w:noProof/>
                <w:color w:val="000000"/>
                <w:sz w:val="16"/>
                <w:szCs w:val="16"/>
              </w:rPr>
            </w:pPr>
            <w:r>
              <w:rPr>
                <w:rFonts w:ascii="Arial" w:hAnsi="Arial"/>
                <w:noProof/>
                <w:color w:val="000000"/>
                <w:sz w:val="16"/>
              </w:rPr>
              <w:t>Провизии за кредитни ангажименти</w:t>
            </w:r>
          </w:p>
        </w:tc>
      </w:tr>
      <w:tr>
        <w:trPr>
          <w:trHeight w:val="274"/>
        </w:trPr>
        <w:tc>
          <w:tcPr>
            <w:tcW w:w="2835" w:type="dxa"/>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color w:val="000000"/>
                <w:sz w:val="16"/>
              </w:rPr>
              <w:t>Дължими суми на трети страни</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AC (Амортизирана стойност)</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157 285 </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AC (Амортизирана стойност)</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157 285 </w:t>
            </w:r>
          </w:p>
        </w:tc>
        <w:tc>
          <w:tcPr>
            <w:tcW w:w="2835" w:type="dxa"/>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rPr>
            </w:pPr>
            <w:r>
              <w:rPr>
                <w:rFonts w:ascii="Arial" w:hAnsi="Arial"/>
                <w:noProof/>
                <w:color w:val="000000"/>
                <w:sz w:val="16"/>
              </w:rPr>
              <w:t>Дължими суми на трети страни</w:t>
            </w:r>
          </w:p>
        </w:tc>
      </w:tr>
      <w:tr>
        <w:trPr>
          <w:trHeight w:val="274"/>
        </w:trPr>
        <w:tc>
          <w:tcPr>
            <w:tcW w:w="2835" w:type="dxa"/>
            <w:noWrap/>
            <w:vAlign w:val="center"/>
            <w:hideMark/>
          </w:tcPr>
          <w:p>
            <w:pPr>
              <w:pStyle w:val="ListParagraph"/>
              <w:numPr>
                <w:ilvl w:val="0"/>
                <w:numId w:val="72"/>
              </w:numPr>
              <w:suppressAutoHyphens w:val="0"/>
              <w:spacing w:line="256" w:lineRule="auto"/>
              <w:ind w:left="345" w:hanging="362"/>
              <w:rPr>
                <w:rFonts w:ascii="Arial" w:hAnsi="Arial" w:cs="Arial"/>
                <w:noProof/>
                <w:color w:val="000000"/>
                <w:sz w:val="16"/>
                <w:szCs w:val="16"/>
              </w:rPr>
            </w:pPr>
            <w:r>
              <w:rPr>
                <w:rFonts w:ascii="Arial" w:hAnsi="Arial"/>
                <w:noProof/>
                <w:color w:val="000000"/>
                <w:sz w:val="16"/>
              </w:rPr>
              <w:t>Други пасиви</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AC (Амортизирана стойност)</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2 462 </w:t>
            </w:r>
          </w:p>
        </w:tc>
        <w:tc>
          <w:tcPr>
            <w:tcW w:w="2835" w:type="dxa"/>
            <w:noWrap/>
            <w:vAlign w:val="center"/>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AC (Амортизирана стойност)</w:t>
            </w:r>
          </w:p>
        </w:tc>
        <w:tc>
          <w:tcPr>
            <w:tcW w:w="1360"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2 462 </w:t>
            </w:r>
          </w:p>
        </w:tc>
        <w:tc>
          <w:tcPr>
            <w:tcW w:w="2835" w:type="dxa"/>
            <w:noWrap/>
            <w:vAlign w:val="center"/>
            <w:hideMark/>
          </w:tcPr>
          <w:p>
            <w:pPr>
              <w:pStyle w:val="ListParagraph"/>
              <w:numPr>
                <w:ilvl w:val="0"/>
                <w:numId w:val="73"/>
              </w:numPr>
              <w:suppressAutoHyphens w:val="0"/>
              <w:spacing w:line="256" w:lineRule="auto"/>
              <w:ind w:left="360" w:hanging="357"/>
              <w:rPr>
                <w:rFonts w:ascii="Arial" w:hAnsi="Arial" w:cs="Arial"/>
                <w:noProof/>
                <w:color w:val="000000"/>
                <w:sz w:val="16"/>
                <w:szCs w:val="16"/>
              </w:rPr>
            </w:pPr>
            <w:r>
              <w:rPr>
                <w:rFonts w:ascii="Arial" w:hAnsi="Arial"/>
                <w:noProof/>
                <w:color w:val="000000"/>
                <w:sz w:val="16"/>
              </w:rPr>
              <w:t>Други пасиви</w:t>
            </w:r>
          </w:p>
        </w:tc>
      </w:tr>
      <w:tr>
        <w:trPr>
          <w:trHeight w:val="274"/>
        </w:trPr>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Общо пасиви</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 </w:t>
            </w:r>
          </w:p>
        </w:tc>
        <w:tc>
          <w:tcPr>
            <w:tcW w:w="1360"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 xml:space="preserve">187 186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 </w:t>
            </w:r>
          </w:p>
        </w:tc>
        <w:tc>
          <w:tcPr>
            <w:tcW w:w="1360"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 xml:space="preserve">191 342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Общо пасиви</w:t>
            </w:r>
          </w:p>
        </w:tc>
      </w:tr>
      <w:tr>
        <w:trPr>
          <w:trHeight w:val="219"/>
        </w:trPr>
        <w:tc>
          <w:tcPr>
            <w:tcW w:w="2835"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2835"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36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c>
          <w:tcPr>
            <w:tcW w:w="2835"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360"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c>
          <w:tcPr>
            <w:tcW w:w="2835"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r>
      <w:tr>
        <w:trPr>
          <w:trHeight w:val="274"/>
        </w:trPr>
        <w:tc>
          <w:tcPr>
            <w:tcW w:w="2835" w:type="dxa"/>
            <w:noWrap/>
            <w:hideMark/>
          </w:tcPr>
          <w:p>
            <w:pPr>
              <w:pStyle w:val="ListParagraph"/>
              <w:numPr>
                <w:ilvl w:val="0"/>
                <w:numId w:val="72"/>
              </w:numPr>
              <w:suppressAutoHyphens w:val="0"/>
              <w:spacing w:line="256" w:lineRule="auto"/>
              <w:ind w:left="343"/>
              <w:rPr>
                <w:rFonts w:ascii="Arial" w:hAnsi="Arial" w:cs="Arial"/>
                <w:noProof/>
                <w:color w:val="000000"/>
                <w:sz w:val="16"/>
                <w:szCs w:val="16"/>
              </w:rPr>
            </w:pPr>
            <w:r>
              <w:rPr>
                <w:rFonts w:ascii="Arial" w:hAnsi="Arial"/>
                <w:noProof/>
                <w:color w:val="000000"/>
                <w:sz w:val="16"/>
              </w:rPr>
              <w:t>Ресурси на вносителите</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360"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360"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2835" w:type="dxa"/>
            <w:noWrap/>
            <w:hideMark/>
          </w:tcPr>
          <w:p>
            <w:pPr>
              <w:pStyle w:val="ListParagraph"/>
              <w:numPr>
                <w:ilvl w:val="0"/>
                <w:numId w:val="73"/>
              </w:numPr>
              <w:suppressAutoHyphens w:val="0"/>
              <w:spacing w:line="256" w:lineRule="auto"/>
              <w:ind w:left="363"/>
              <w:rPr>
                <w:rFonts w:ascii="Arial" w:hAnsi="Arial" w:cs="Arial"/>
                <w:noProof/>
                <w:color w:val="000000"/>
                <w:sz w:val="16"/>
                <w:szCs w:val="16"/>
              </w:rPr>
            </w:pPr>
            <w:r>
              <w:rPr>
                <w:rFonts w:ascii="Arial" w:hAnsi="Arial"/>
                <w:noProof/>
                <w:color w:val="000000"/>
                <w:sz w:val="16"/>
              </w:rPr>
              <w:t>Ресурси на вносителите</w:t>
            </w:r>
          </w:p>
        </w:tc>
      </w:tr>
      <w:tr>
        <w:trPr>
          <w:trHeight w:val="274"/>
        </w:trPr>
        <w:tc>
          <w:tcPr>
            <w:tcW w:w="2835" w:type="dxa"/>
            <w:noWrap/>
            <w:hideMark/>
          </w:tcPr>
          <w:p>
            <w:pPr>
              <w:pStyle w:val="ListParagraph"/>
              <w:numPr>
                <w:ilvl w:val="0"/>
                <w:numId w:val="74"/>
              </w:numPr>
              <w:suppressAutoHyphens w:val="0"/>
              <w:spacing w:line="256" w:lineRule="auto"/>
              <w:ind w:left="343"/>
              <w:rPr>
                <w:rFonts w:ascii="Arial" w:hAnsi="Arial" w:cs="Arial"/>
                <w:noProof/>
                <w:color w:val="000000"/>
                <w:sz w:val="16"/>
                <w:szCs w:val="16"/>
              </w:rPr>
            </w:pPr>
            <w:r>
              <w:rPr>
                <w:rFonts w:ascii="Arial" w:hAnsi="Arial"/>
                <w:noProof/>
                <w:color w:val="000000"/>
                <w:sz w:val="16"/>
              </w:rPr>
              <w:t>Поискана вноска от държавите членки</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360"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2 517 000 </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360"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2 517 000 </w:t>
            </w:r>
          </w:p>
        </w:tc>
        <w:tc>
          <w:tcPr>
            <w:tcW w:w="2835" w:type="dxa"/>
            <w:noWrap/>
            <w:hideMark/>
          </w:tcPr>
          <w:p>
            <w:pPr>
              <w:pStyle w:val="ListParagraph"/>
              <w:numPr>
                <w:ilvl w:val="0"/>
                <w:numId w:val="75"/>
              </w:numPr>
              <w:suppressAutoHyphens w:val="0"/>
              <w:spacing w:line="256" w:lineRule="auto"/>
              <w:ind w:left="363"/>
              <w:rPr>
                <w:rFonts w:ascii="Arial" w:hAnsi="Arial" w:cs="Arial"/>
                <w:noProof/>
                <w:color w:val="000000"/>
                <w:sz w:val="16"/>
                <w:szCs w:val="16"/>
              </w:rPr>
            </w:pPr>
            <w:r>
              <w:rPr>
                <w:rFonts w:ascii="Arial" w:hAnsi="Arial"/>
                <w:noProof/>
                <w:color w:val="000000"/>
                <w:sz w:val="16"/>
              </w:rPr>
              <w:t>Поискана вноска от държавите членки</w:t>
            </w:r>
          </w:p>
        </w:tc>
      </w:tr>
      <w:tr>
        <w:trPr>
          <w:trHeight w:val="274"/>
        </w:trPr>
        <w:tc>
          <w:tcPr>
            <w:tcW w:w="2835" w:type="dxa"/>
            <w:noWrap/>
            <w:hideMark/>
          </w:tcPr>
          <w:p>
            <w:pPr>
              <w:pStyle w:val="ListParagraph"/>
              <w:numPr>
                <w:ilvl w:val="0"/>
                <w:numId w:val="74"/>
              </w:numPr>
              <w:suppressAutoHyphens w:val="0"/>
              <w:spacing w:line="256" w:lineRule="auto"/>
              <w:ind w:left="343"/>
              <w:rPr>
                <w:rFonts w:ascii="Arial" w:hAnsi="Arial" w:cs="Arial"/>
                <w:noProof/>
                <w:color w:val="000000"/>
                <w:sz w:val="16"/>
                <w:szCs w:val="16"/>
              </w:rPr>
            </w:pPr>
            <w:r>
              <w:rPr>
                <w:rFonts w:ascii="Arial" w:hAnsi="Arial"/>
                <w:noProof/>
                <w:color w:val="000000"/>
                <w:sz w:val="16"/>
              </w:rPr>
              <w:t>Резерв на справедливата стойност</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360"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125 816 </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360"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2835" w:type="dxa"/>
            <w:noWrap/>
            <w:hideMark/>
          </w:tcPr>
          <w:p>
            <w:pPr>
              <w:pStyle w:val="ListParagraph"/>
              <w:numPr>
                <w:ilvl w:val="0"/>
                <w:numId w:val="75"/>
              </w:numPr>
              <w:suppressAutoHyphens w:val="0"/>
              <w:spacing w:line="256" w:lineRule="auto"/>
              <w:ind w:left="363"/>
              <w:rPr>
                <w:rFonts w:ascii="Arial" w:hAnsi="Arial" w:cs="Arial"/>
                <w:noProof/>
                <w:color w:val="000000"/>
                <w:sz w:val="16"/>
                <w:szCs w:val="16"/>
              </w:rPr>
            </w:pPr>
            <w:r>
              <w:rPr>
                <w:rFonts w:ascii="Arial" w:hAnsi="Arial"/>
                <w:noProof/>
                <w:color w:val="000000"/>
                <w:sz w:val="16"/>
              </w:rPr>
              <w:t>Резерв на справедливата стойност</w:t>
            </w:r>
          </w:p>
        </w:tc>
      </w:tr>
      <w:tr>
        <w:trPr>
          <w:trHeight w:val="274"/>
        </w:trPr>
        <w:tc>
          <w:tcPr>
            <w:tcW w:w="2835" w:type="dxa"/>
            <w:noWrap/>
            <w:hideMark/>
          </w:tcPr>
          <w:p>
            <w:pPr>
              <w:pStyle w:val="ListParagraph"/>
              <w:numPr>
                <w:ilvl w:val="0"/>
                <w:numId w:val="74"/>
              </w:numPr>
              <w:suppressAutoHyphens w:val="0"/>
              <w:spacing w:line="256" w:lineRule="auto"/>
              <w:ind w:left="343"/>
              <w:rPr>
                <w:rFonts w:ascii="Arial" w:hAnsi="Arial" w:cs="Arial"/>
                <w:noProof/>
                <w:color w:val="000000"/>
                <w:sz w:val="16"/>
                <w:szCs w:val="16"/>
              </w:rPr>
            </w:pPr>
            <w:r>
              <w:rPr>
                <w:rFonts w:ascii="Arial" w:hAnsi="Arial"/>
                <w:noProof/>
                <w:color w:val="000000"/>
                <w:sz w:val="16"/>
              </w:rPr>
              <w:t>Неразпределена печалба</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360"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194 651 </w:t>
            </w:r>
          </w:p>
        </w:tc>
        <w:tc>
          <w:tcPr>
            <w:tcW w:w="2835" w:type="dxa"/>
            <w:noWrap/>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360" w:type="dxa"/>
            <w:noWrap/>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266 597 </w:t>
            </w:r>
          </w:p>
        </w:tc>
        <w:tc>
          <w:tcPr>
            <w:tcW w:w="2835" w:type="dxa"/>
            <w:noWrap/>
            <w:hideMark/>
          </w:tcPr>
          <w:p>
            <w:pPr>
              <w:pStyle w:val="ListParagraph"/>
              <w:numPr>
                <w:ilvl w:val="0"/>
                <w:numId w:val="75"/>
              </w:numPr>
              <w:suppressAutoHyphens w:val="0"/>
              <w:spacing w:line="256" w:lineRule="auto"/>
              <w:ind w:left="363"/>
              <w:rPr>
                <w:rFonts w:ascii="Arial" w:hAnsi="Arial" w:cs="Arial"/>
                <w:noProof/>
                <w:color w:val="000000"/>
                <w:sz w:val="16"/>
                <w:szCs w:val="16"/>
              </w:rPr>
            </w:pPr>
            <w:r>
              <w:rPr>
                <w:rFonts w:ascii="Arial" w:hAnsi="Arial"/>
                <w:noProof/>
                <w:color w:val="000000"/>
                <w:sz w:val="16"/>
              </w:rPr>
              <w:t>Неразпределена печалба</w:t>
            </w:r>
          </w:p>
        </w:tc>
      </w:tr>
      <w:tr>
        <w:trPr>
          <w:trHeight w:val="274"/>
        </w:trPr>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 xml:space="preserve">Общо пасиви и собствен капитал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 </w:t>
            </w:r>
          </w:p>
        </w:tc>
        <w:tc>
          <w:tcPr>
            <w:tcW w:w="1360"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 xml:space="preserve">   3 024 653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 </w:t>
            </w:r>
          </w:p>
        </w:tc>
        <w:tc>
          <w:tcPr>
            <w:tcW w:w="1360"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 xml:space="preserve">2 974 939 </w:t>
            </w:r>
          </w:p>
        </w:tc>
        <w:tc>
          <w:tcPr>
            <w:tcW w:w="283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 xml:space="preserve">Общо пасиви и собствен капитал </w:t>
            </w:r>
          </w:p>
        </w:tc>
      </w:tr>
    </w:tbl>
    <w:p>
      <w:pPr>
        <w:pStyle w:val="Normal9"/>
        <w:suppressAutoHyphens w:val="0"/>
        <w:rPr>
          <w:rFonts w:ascii="Arial" w:hAnsi="Arial"/>
          <w:noProof/>
          <w:sz w:val="16"/>
          <w:szCs w:val="16"/>
        </w:rPr>
        <w:sectPr>
          <w:headerReference w:type="even" r:id="rId505"/>
          <w:headerReference w:type="default" r:id="rId506"/>
          <w:footerReference w:type="even" r:id="rId507"/>
          <w:footerReference w:type="default" r:id="rId508"/>
          <w:headerReference w:type="first" r:id="rId509"/>
          <w:footerReference w:type="first" r:id="rId510"/>
          <w:pgSz w:w="15840" w:h="12240" w:orient="landscape"/>
          <w:pgMar w:top="765" w:right="1134" w:bottom="765" w:left="1134" w:header="709" w:footer="709" w:gutter="0"/>
          <w:cols w:space="720"/>
        </w:sectPr>
      </w:pPr>
    </w:p>
    <w:p>
      <w:pPr>
        <w:pStyle w:val="Notes3"/>
        <w:numPr>
          <w:ilvl w:val="0"/>
          <w:numId w:val="0"/>
        </w:numPr>
        <w:tabs>
          <w:tab w:val="right" w:pos="-2700"/>
          <w:tab w:val="right" w:pos="720"/>
        </w:tabs>
        <w:spacing w:before="0" w:after="0"/>
        <w:rPr>
          <w:noProof/>
          <w:sz w:val="16"/>
          <w:szCs w:val="16"/>
        </w:rPr>
      </w:pPr>
      <w:r>
        <w:rPr>
          <w:b w:val="0"/>
          <w:noProof/>
          <w:sz w:val="16"/>
        </w:rPr>
        <w:t>В следната таблица се извършва равнение на балансовите стойности на активите и пасивите на механизма от тяхната предишна категория на оценяване съгласно МСС 39 към техните нови категории на оценяване след прехода към МСФО 9 на 1 януари 2018 г.</w:t>
      </w:r>
    </w:p>
    <w:p>
      <w:pPr>
        <w:pStyle w:val="Notes3"/>
        <w:numPr>
          <w:ilvl w:val="0"/>
          <w:numId w:val="0"/>
        </w:numPr>
        <w:tabs>
          <w:tab w:val="right" w:pos="-2700"/>
          <w:tab w:val="right" w:pos="720"/>
        </w:tabs>
        <w:spacing w:before="0" w:after="0"/>
        <w:rPr>
          <w:noProof/>
          <w:sz w:val="8"/>
          <w:szCs w:val="8"/>
        </w:rPr>
      </w:pPr>
    </w:p>
    <w:tbl>
      <w:tblPr>
        <w:tblW w:w="9862" w:type="dxa"/>
        <w:tblLook w:val="04A0" w:firstRow="1" w:lastRow="0" w:firstColumn="1" w:lastColumn="0" w:noHBand="0" w:noVBand="1"/>
      </w:tblPr>
      <w:tblGrid>
        <w:gridCol w:w="3679"/>
        <w:gridCol w:w="63"/>
        <w:gridCol w:w="1417"/>
        <w:gridCol w:w="60"/>
        <w:gridCol w:w="6"/>
        <w:gridCol w:w="1613"/>
        <w:gridCol w:w="60"/>
        <w:gridCol w:w="1490"/>
        <w:gridCol w:w="60"/>
        <w:gridCol w:w="1357"/>
        <w:gridCol w:w="57"/>
      </w:tblGrid>
      <w:tr>
        <w:trPr>
          <w:trHeight w:val="497"/>
        </w:trPr>
        <w:tc>
          <w:tcPr>
            <w:tcW w:w="3679" w:type="dxa"/>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ФИНАНСОВИ АКТИВИ</w:t>
            </w:r>
          </w:p>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в хиляди евро</w:t>
            </w:r>
          </w:p>
        </w:tc>
        <w:tc>
          <w:tcPr>
            <w:tcW w:w="1540" w:type="dxa"/>
            <w:gridSpan w:val="3"/>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Балансова стойност по МСС 39, 31.12.2017 г.</w:t>
            </w:r>
          </w:p>
        </w:tc>
        <w:tc>
          <w:tcPr>
            <w:tcW w:w="1679" w:type="dxa"/>
            <w:gridSpan w:val="3"/>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Прекласификации</w:t>
            </w:r>
          </w:p>
        </w:tc>
        <w:tc>
          <w:tcPr>
            <w:tcW w:w="1550" w:type="dxa"/>
            <w:gridSpan w:val="2"/>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Повторни оценки</w:t>
            </w:r>
          </w:p>
        </w:tc>
        <w:tc>
          <w:tcPr>
            <w:tcW w:w="1414" w:type="dxa"/>
            <w:gridSpan w:val="2"/>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Балансова стойност по МСФО 9, 1.1.2018 г.</w:t>
            </w:r>
          </w:p>
        </w:tc>
      </w:tr>
      <w:tr>
        <w:trPr>
          <w:trHeight w:val="227"/>
        </w:trPr>
        <w:tc>
          <w:tcPr>
            <w:tcW w:w="3679" w:type="dxa"/>
            <w:tcBorders>
              <w:top w:val="single" w:sz="4" w:space="0" w:color="auto"/>
              <w:left w:val="nil"/>
              <w:bottom w:val="single" w:sz="4" w:space="0" w:color="auto"/>
              <w:right w:val="nil"/>
            </w:tcBorders>
            <w:noWrap/>
            <w:vAlign w:val="bottom"/>
            <w:hideMark/>
          </w:tcPr>
          <w:p>
            <w:pPr>
              <w:pStyle w:val="Normal9"/>
              <w:suppressAutoHyphens w:val="0"/>
              <w:spacing w:line="256" w:lineRule="auto"/>
              <w:jc w:val="center"/>
              <w:rPr>
                <w:rFonts w:ascii="Arial" w:hAnsi="Arial" w:cs="Arial"/>
                <w:b/>
                <w:bCs/>
                <w:noProof/>
                <w:color w:val="000000"/>
                <w:sz w:val="16"/>
                <w:szCs w:val="16"/>
              </w:rPr>
            </w:pPr>
            <w:r>
              <w:rPr>
                <w:rFonts w:ascii="Arial" w:hAnsi="Arial"/>
                <w:b/>
                <w:noProof/>
                <w:color w:val="000000"/>
                <w:sz w:val="16"/>
              </w:rPr>
              <w:t>Амортизирана стойност</w:t>
            </w:r>
          </w:p>
        </w:tc>
        <w:tc>
          <w:tcPr>
            <w:tcW w:w="1540" w:type="dxa"/>
            <w:gridSpan w:val="3"/>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679" w:type="dxa"/>
            <w:gridSpan w:val="3"/>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550" w:type="dxa"/>
            <w:gridSpan w:val="2"/>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414" w:type="dxa"/>
            <w:gridSpan w:val="2"/>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1. Пари и парични еквиваленти</w:t>
            </w:r>
          </w:p>
        </w:tc>
        <w:tc>
          <w:tcPr>
            <w:tcW w:w="1540" w:type="dxa"/>
            <w:gridSpan w:val="3"/>
            <w:noWrap/>
            <w:vAlign w:val="bottom"/>
            <w:hideMark/>
          </w:tcPr>
          <w:p>
            <w:pPr>
              <w:pStyle w:val="Normal9"/>
              <w:rPr>
                <w:rFonts w:ascii="Arial" w:hAnsi="Arial" w:cs="Arial"/>
                <w:b/>
                <w:bCs/>
                <w:noProof/>
                <w:color w:val="000000"/>
                <w:sz w:val="16"/>
                <w:szCs w:val="16"/>
              </w:rPr>
            </w:pPr>
          </w:p>
        </w:tc>
        <w:tc>
          <w:tcPr>
            <w:tcW w:w="1679" w:type="dxa"/>
            <w:gridSpan w:val="3"/>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Начално салдо съгласно МСС 39 и крайно салдо съгласно МСФО 9</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549 101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549 101</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2. Вземания от вносителите</w:t>
            </w:r>
          </w:p>
        </w:tc>
        <w:tc>
          <w:tcPr>
            <w:tcW w:w="1540" w:type="dxa"/>
            <w:gridSpan w:val="3"/>
            <w:noWrap/>
            <w:vAlign w:val="bottom"/>
            <w:hideMark/>
          </w:tcPr>
          <w:p>
            <w:pPr>
              <w:pStyle w:val="Normal9"/>
              <w:rPr>
                <w:rFonts w:ascii="Arial" w:hAnsi="Arial" w:cs="Arial"/>
                <w:b/>
                <w:bCs/>
                <w:noProof/>
                <w:color w:val="000000"/>
                <w:sz w:val="16"/>
                <w:szCs w:val="16"/>
              </w:rPr>
            </w:pPr>
          </w:p>
        </w:tc>
        <w:tc>
          <w:tcPr>
            <w:tcW w:w="1679" w:type="dxa"/>
            <w:gridSpan w:val="3"/>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Начално салдо съгласно МСС 39 и крайно салдо съгласно МСФО 9</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150 000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150 000</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3. Касови финансови активи</w:t>
            </w:r>
          </w:p>
        </w:tc>
        <w:tc>
          <w:tcPr>
            <w:tcW w:w="1540" w:type="dxa"/>
            <w:gridSpan w:val="3"/>
            <w:noWrap/>
            <w:vAlign w:val="bottom"/>
            <w:hideMark/>
          </w:tcPr>
          <w:p>
            <w:pPr>
              <w:pStyle w:val="Normal9"/>
              <w:rPr>
                <w:rFonts w:ascii="Arial" w:hAnsi="Arial" w:cs="Arial"/>
                <w:b/>
                <w:bCs/>
                <w:noProof/>
                <w:color w:val="000000"/>
                <w:sz w:val="16"/>
                <w:szCs w:val="16"/>
              </w:rPr>
            </w:pPr>
          </w:p>
        </w:tc>
        <w:tc>
          <w:tcPr>
            <w:tcW w:w="1679" w:type="dxa"/>
            <w:gridSpan w:val="3"/>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Начално салдо съгласно МСС 39 и крайно салдо съгласно МСФО 9</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144 382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144 382</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4. Дериватни финансови инструменти</w:t>
            </w:r>
          </w:p>
        </w:tc>
        <w:tc>
          <w:tcPr>
            <w:tcW w:w="1540" w:type="dxa"/>
            <w:gridSpan w:val="3"/>
            <w:noWrap/>
            <w:vAlign w:val="bottom"/>
            <w:hideMark/>
          </w:tcPr>
          <w:p>
            <w:pPr>
              <w:pStyle w:val="Normal9"/>
              <w:rPr>
                <w:rFonts w:ascii="Arial" w:hAnsi="Arial" w:cs="Arial"/>
                <w:b/>
                <w:bCs/>
                <w:noProof/>
                <w:color w:val="000000"/>
                <w:sz w:val="16"/>
                <w:szCs w:val="16"/>
              </w:rPr>
            </w:pPr>
          </w:p>
        </w:tc>
        <w:tc>
          <w:tcPr>
            <w:tcW w:w="1679" w:type="dxa"/>
            <w:gridSpan w:val="3"/>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Начално салдо съгласно МСС 39 и крайно салдо съгласно МСФО 9</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12 521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12 521</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5. Заеми и аванси</w:t>
            </w:r>
          </w:p>
        </w:tc>
        <w:tc>
          <w:tcPr>
            <w:tcW w:w="1540" w:type="dxa"/>
            <w:gridSpan w:val="3"/>
            <w:noWrap/>
            <w:vAlign w:val="bottom"/>
            <w:hideMark/>
          </w:tcPr>
          <w:p>
            <w:pPr>
              <w:pStyle w:val="Normal9"/>
              <w:rPr>
                <w:rFonts w:ascii="Arial" w:hAnsi="Arial" w:cs="Arial"/>
                <w:b/>
                <w:bCs/>
                <w:noProof/>
                <w:color w:val="000000"/>
                <w:sz w:val="16"/>
                <w:szCs w:val="16"/>
              </w:rPr>
            </w:pPr>
          </w:p>
        </w:tc>
        <w:tc>
          <w:tcPr>
            <w:tcW w:w="1679" w:type="dxa"/>
            <w:gridSpan w:val="3"/>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Начално салдо съгласно МСС 39</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1 666 725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1 666 725</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Трансфер от AC към FVTPL</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-1 422</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-1 422</w:t>
            </w: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Повторна оценка: Средства за ОКЗ</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-49 714</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-49 714</w:t>
            </w:r>
          </w:p>
        </w:tc>
      </w:tr>
      <w:tr>
        <w:trPr>
          <w:trHeight w:val="227"/>
        </w:trPr>
        <w:tc>
          <w:tcPr>
            <w:tcW w:w="3679" w:type="dxa"/>
            <w:tcBorders>
              <w:top w:val="single" w:sz="4" w:space="0" w:color="000000"/>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Крайно салдо съгласно МСФО 9</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1 666 725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-1 422</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-49 714</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1 615 589</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7. Други активи</w:t>
            </w:r>
          </w:p>
        </w:tc>
        <w:tc>
          <w:tcPr>
            <w:tcW w:w="1540" w:type="dxa"/>
            <w:gridSpan w:val="3"/>
            <w:noWrap/>
            <w:vAlign w:val="bottom"/>
            <w:hideMark/>
          </w:tcPr>
          <w:p>
            <w:pPr>
              <w:pStyle w:val="Normal9"/>
              <w:rPr>
                <w:rFonts w:ascii="Arial" w:hAnsi="Arial" w:cs="Arial"/>
                <w:b/>
                <w:bCs/>
                <w:noProof/>
                <w:color w:val="000000"/>
                <w:sz w:val="16"/>
                <w:szCs w:val="16"/>
              </w:rPr>
            </w:pPr>
          </w:p>
        </w:tc>
        <w:tc>
          <w:tcPr>
            <w:tcW w:w="1679" w:type="dxa"/>
            <w:gridSpan w:val="3"/>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Начално салдо съгласно МСС 39 и крайно салдо съгласно МСФО 9</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4 385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4 385 </w:t>
            </w:r>
          </w:p>
        </w:tc>
      </w:tr>
      <w:tr>
        <w:trPr>
          <w:trHeight w:val="227"/>
        </w:trPr>
        <w:tc>
          <w:tcPr>
            <w:tcW w:w="3679" w:type="dxa"/>
            <w:tcBorders>
              <w:top w:val="single" w:sz="4" w:space="0" w:color="000000"/>
              <w:left w:val="nil"/>
              <w:bottom w:val="nil"/>
              <w:right w:val="nil"/>
            </w:tcBorders>
            <w:noWrap/>
            <w:vAlign w:val="bottom"/>
            <w:hideMark/>
          </w:tcPr>
          <w:p>
            <w:pPr>
              <w:pStyle w:val="Normal9"/>
              <w:rPr>
                <w:rFonts w:ascii="Arial" w:hAnsi="Arial" w:cs="Arial"/>
                <w:noProof/>
                <w:color w:val="000000"/>
                <w:sz w:val="16"/>
                <w:szCs w:val="16"/>
              </w:rPr>
            </w:pP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r>
      <w:tr>
        <w:trPr>
          <w:trHeight w:val="227"/>
        </w:trPr>
        <w:tc>
          <w:tcPr>
            <w:tcW w:w="3679" w:type="dxa"/>
            <w:shd w:val="clear" w:color="auto" w:fill="A6A6A6"/>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Общо финансови активи, оценени по амортизирана стойност</w:t>
            </w:r>
          </w:p>
        </w:tc>
        <w:tc>
          <w:tcPr>
            <w:tcW w:w="1540" w:type="dxa"/>
            <w:gridSpan w:val="3"/>
            <w:shd w:val="clear" w:color="auto" w:fill="A6A6A6"/>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2 527 114</w:t>
            </w:r>
          </w:p>
        </w:tc>
        <w:tc>
          <w:tcPr>
            <w:tcW w:w="1679" w:type="dxa"/>
            <w:gridSpan w:val="3"/>
            <w:shd w:val="clear" w:color="auto" w:fill="A6A6A6"/>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-1 422</w:t>
            </w:r>
          </w:p>
        </w:tc>
        <w:tc>
          <w:tcPr>
            <w:tcW w:w="1550" w:type="dxa"/>
            <w:gridSpan w:val="2"/>
            <w:shd w:val="clear" w:color="auto" w:fill="A6A6A6"/>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-49 714</w:t>
            </w:r>
          </w:p>
        </w:tc>
        <w:tc>
          <w:tcPr>
            <w:tcW w:w="1414" w:type="dxa"/>
            <w:gridSpan w:val="2"/>
            <w:shd w:val="clear" w:color="auto" w:fill="A6A6A6"/>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2 475 978</w:t>
            </w:r>
          </w:p>
        </w:tc>
      </w:tr>
      <w:tr>
        <w:trPr>
          <w:trHeight w:val="227"/>
        </w:trPr>
        <w:tc>
          <w:tcPr>
            <w:tcW w:w="3679" w:type="dxa"/>
            <w:tcBorders>
              <w:top w:val="nil"/>
              <w:left w:val="nil"/>
              <w:bottom w:val="single" w:sz="8" w:space="0" w:color="auto"/>
              <w:right w:val="nil"/>
            </w:tcBorders>
            <w:noWrap/>
            <w:vAlign w:val="bottom"/>
            <w:hideMark/>
          </w:tcPr>
          <w:p>
            <w:pPr>
              <w:pStyle w:val="Normal9"/>
              <w:rPr>
                <w:rFonts w:ascii="Arial" w:hAnsi="Arial" w:cs="Arial"/>
                <w:b/>
                <w:bCs/>
                <w:noProof/>
                <w:color w:val="000000"/>
                <w:sz w:val="16"/>
                <w:szCs w:val="16"/>
              </w:rPr>
            </w:pPr>
          </w:p>
        </w:tc>
        <w:tc>
          <w:tcPr>
            <w:tcW w:w="1540" w:type="dxa"/>
            <w:gridSpan w:val="3"/>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679" w:type="dxa"/>
            <w:gridSpan w:val="3"/>
            <w:tcBorders>
              <w:top w:val="nil"/>
              <w:left w:val="nil"/>
              <w:bottom w:val="single" w:sz="8"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 </w:t>
            </w:r>
          </w:p>
        </w:tc>
        <w:tc>
          <w:tcPr>
            <w:tcW w:w="1550" w:type="dxa"/>
            <w:gridSpan w:val="2"/>
            <w:tcBorders>
              <w:top w:val="nil"/>
              <w:left w:val="nil"/>
              <w:bottom w:val="single" w:sz="8" w:space="0" w:color="auto"/>
              <w:right w:val="nil"/>
            </w:tcBorders>
            <w:noWrap/>
            <w:vAlign w:val="bottom"/>
            <w:hideMark/>
          </w:tcPr>
          <w:p>
            <w:pPr>
              <w:pStyle w:val="Normal9"/>
              <w:rPr>
                <w:rFonts w:ascii="Arial" w:hAnsi="Arial" w:cs="Arial"/>
                <w:b/>
                <w:bCs/>
                <w:noProof/>
                <w:color w:val="000000"/>
                <w:sz w:val="16"/>
                <w:szCs w:val="16"/>
              </w:rPr>
            </w:pPr>
          </w:p>
        </w:tc>
        <w:tc>
          <w:tcPr>
            <w:tcW w:w="1414" w:type="dxa"/>
            <w:gridSpan w:val="2"/>
            <w:tcBorders>
              <w:top w:val="nil"/>
              <w:left w:val="nil"/>
              <w:bottom w:val="single" w:sz="8" w:space="0" w:color="auto"/>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540" w:type="dxa"/>
            <w:gridSpan w:val="3"/>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Балансова стойност по МСС 39, 31.12.2017 г.</w:t>
            </w:r>
          </w:p>
        </w:tc>
        <w:tc>
          <w:tcPr>
            <w:tcW w:w="1679" w:type="dxa"/>
            <w:gridSpan w:val="3"/>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Прекласификации</w:t>
            </w:r>
          </w:p>
        </w:tc>
        <w:tc>
          <w:tcPr>
            <w:tcW w:w="1550" w:type="dxa"/>
            <w:gridSpan w:val="2"/>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Повторни оценки</w:t>
            </w:r>
          </w:p>
        </w:tc>
        <w:tc>
          <w:tcPr>
            <w:tcW w:w="1414" w:type="dxa"/>
            <w:gridSpan w:val="2"/>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Балансова стойност по МСФО 9, 1.1.2018 г.</w:t>
            </w:r>
          </w:p>
        </w:tc>
      </w:tr>
      <w:tr>
        <w:trPr>
          <w:trHeight w:val="227"/>
        </w:trPr>
        <w:tc>
          <w:tcPr>
            <w:tcW w:w="3679" w:type="dxa"/>
            <w:tcBorders>
              <w:top w:val="single" w:sz="4" w:space="0" w:color="auto"/>
              <w:left w:val="nil"/>
              <w:bottom w:val="single" w:sz="4" w:space="0" w:color="auto"/>
              <w:right w:val="nil"/>
            </w:tcBorders>
            <w:noWrap/>
            <w:vAlign w:val="bottom"/>
            <w:hideMark/>
          </w:tcPr>
          <w:p>
            <w:pPr>
              <w:pStyle w:val="Normal9"/>
              <w:suppressAutoHyphens w:val="0"/>
              <w:spacing w:line="256" w:lineRule="auto"/>
              <w:jc w:val="center"/>
              <w:rPr>
                <w:rFonts w:ascii="Arial" w:hAnsi="Arial" w:cs="Arial"/>
                <w:b/>
                <w:bCs/>
                <w:noProof/>
                <w:color w:val="000000"/>
                <w:sz w:val="16"/>
                <w:szCs w:val="16"/>
              </w:rPr>
            </w:pPr>
            <w:r>
              <w:rPr>
                <w:rFonts w:ascii="Arial" w:hAnsi="Arial"/>
                <w:b/>
                <w:noProof/>
                <w:color w:val="000000"/>
                <w:sz w:val="16"/>
              </w:rPr>
              <w:t xml:space="preserve">Справедлива стойност чрез OCI/AFS </w:t>
            </w:r>
          </w:p>
        </w:tc>
        <w:tc>
          <w:tcPr>
            <w:tcW w:w="1540" w:type="dxa"/>
            <w:gridSpan w:val="3"/>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679" w:type="dxa"/>
            <w:gridSpan w:val="3"/>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550" w:type="dxa"/>
            <w:gridSpan w:val="2"/>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414" w:type="dxa"/>
            <w:gridSpan w:val="2"/>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6. Акции и други ценни книжа с променлива доходност</w:t>
            </w:r>
          </w:p>
        </w:tc>
        <w:tc>
          <w:tcPr>
            <w:tcW w:w="1540" w:type="dxa"/>
            <w:gridSpan w:val="3"/>
            <w:noWrap/>
            <w:vAlign w:val="bottom"/>
            <w:hideMark/>
          </w:tcPr>
          <w:p>
            <w:pPr>
              <w:pStyle w:val="Normal9"/>
              <w:rPr>
                <w:rFonts w:ascii="Arial" w:hAnsi="Arial" w:cs="Arial"/>
                <w:b/>
                <w:bCs/>
                <w:noProof/>
                <w:color w:val="000000"/>
                <w:sz w:val="16"/>
                <w:szCs w:val="16"/>
              </w:rPr>
            </w:pPr>
          </w:p>
        </w:tc>
        <w:tc>
          <w:tcPr>
            <w:tcW w:w="1679" w:type="dxa"/>
            <w:gridSpan w:val="3"/>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Начално салдо съгласно МСС 39</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497 539</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497 539</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Трансфер от AFS към FVTPL</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-497 539</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-497 539</w:t>
            </w: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Крайно салдо съгласно МСФО 9</w:t>
            </w:r>
          </w:p>
        </w:tc>
        <w:tc>
          <w:tcPr>
            <w:tcW w:w="1540" w:type="dxa"/>
            <w:gridSpan w:val="3"/>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497 539</w:t>
            </w:r>
          </w:p>
        </w:tc>
        <w:tc>
          <w:tcPr>
            <w:tcW w:w="1679" w:type="dxa"/>
            <w:gridSpan w:val="3"/>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-497 539</w:t>
            </w:r>
          </w:p>
        </w:tc>
        <w:tc>
          <w:tcPr>
            <w:tcW w:w="1550" w:type="dxa"/>
            <w:gridSpan w:val="2"/>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414" w:type="dxa"/>
            <w:gridSpan w:val="2"/>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Общо финансови активи, оценени по справедлива стойност чрез OCI</w:t>
            </w:r>
          </w:p>
        </w:tc>
        <w:tc>
          <w:tcPr>
            <w:tcW w:w="1540" w:type="dxa"/>
            <w:gridSpan w:val="3"/>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497 539</w:t>
            </w:r>
          </w:p>
        </w:tc>
        <w:tc>
          <w:tcPr>
            <w:tcW w:w="1679" w:type="dxa"/>
            <w:gridSpan w:val="3"/>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-497 539</w:t>
            </w:r>
          </w:p>
        </w:tc>
        <w:tc>
          <w:tcPr>
            <w:tcW w:w="1550" w:type="dxa"/>
            <w:gridSpan w:val="2"/>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414" w:type="dxa"/>
            <w:gridSpan w:val="2"/>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r>
      <w:tr>
        <w:trPr>
          <w:trHeight w:val="227"/>
        </w:trPr>
        <w:tc>
          <w:tcPr>
            <w:tcW w:w="3679" w:type="dxa"/>
            <w:tcBorders>
              <w:top w:val="nil"/>
              <w:left w:val="nil"/>
              <w:bottom w:val="single" w:sz="4" w:space="0" w:color="auto"/>
              <w:right w:val="nil"/>
            </w:tcBorders>
            <w:noWrap/>
            <w:vAlign w:val="bottom"/>
            <w:hideMark/>
          </w:tcPr>
          <w:p>
            <w:pPr>
              <w:pStyle w:val="Normal9"/>
              <w:rPr>
                <w:rFonts w:ascii="Arial" w:hAnsi="Arial" w:cs="Arial"/>
                <w:noProof/>
                <w:color w:val="000000"/>
                <w:sz w:val="16"/>
                <w:szCs w:val="16"/>
              </w:rPr>
            </w:pPr>
          </w:p>
        </w:tc>
        <w:tc>
          <w:tcPr>
            <w:tcW w:w="1540" w:type="dxa"/>
            <w:gridSpan w:val="3"/>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679" w:type="dxa"/>
            <w:gridSpan w:val="3"/>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tcBorders>
              <w:top w:val="single" w:sz="4" w:space="0" w:color="auto"/>
              <w:left w:val="nil"/>
              <w:bottom w:val="single" w:sz="4" w:space="0" w:color="auto"/>
              <w:right w:val="nil"/>
            </w:tcBorders>
            <w:noWrap/>
            <w:vAlign w:val="bottom"/>
            <w:hideMark/>
          </w:tcPr>
          <w:p>
            <w:pPr>
              <w:pStyle w:val="Normal9"/>
              <w:suppressAutoHyphens w:val="0"/>
              <w:spacing w:line="256" w:lineRule="auto"/>
              <w:jc w:val="center"/>
              <w:rPr>
                <w:rFonts w:ascii="Arial" w:hAnsi="Arial" w:cs="Arial"/>
                <w:b/>
                <w:bCs/>
                <w:noProof/>
                <w:color w:val="000000"/>
                <w:sz w:val="16"/>
                <w:szCs w:val="16"/>
              </w:rPr>
            </w:pPr>
            <w:r>
              <w:rPr>
                <w:rFonts w:ascii="Arial" w:hAnsi="Arial"/>
                <w:b/>
                <w:noProof/>
                <w:color w:val="000000"/>
                <w:sz w:val="16"/>
              </w:rPr>
              <w:t>Справедлива стойност през печалбата или загубата</w:t>
            </w:r>
          </w:p>
        </w:tc>
        <w:tc>
          <w:tcPr>
            <w:tcW w:w="1540" w:type="dxa"/>
            <w:gridSpan w:val="3"/>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c>
          <w:tcPr>
            <w:tcW w:w="1679" w:type="dxa"/>
            <w:gridSpan w:val="3"/>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c>
          <w:tcPr>
            <w:tcW w:w="1550" w:type="dxa"/>
            <w:gridSpan w:val="2"/>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c>
          <w:tcPr>
            <w:tcW w:w="1414" w:type="dxa"/>
            <w:gridSpan w:val="2"/>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r>
      <w:tr>
        <w:trPr>
          <w:trHeight w:val="227"/>
        </w:trPr>
        <w:tc>
          <w:tcPr>
            <w:tcW w:w="3679"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5. Заеми и аванси</w:t>
            </w:r>
          </w:p>
        </w:tc>
        <w:tc>
          <w:tcPr>
            <w:tcW w:w="1540" w:type="dxa"/>
            <w:gridSpan w:val="3"/>
            <w:noWrap/>
            <w:vAlign w:val="bottom"/>
            <w:hideMark/>
          </w:tcPr>
          <w:p>
            <w:pPr>
              <w:pStyle w:val="Normal9"/>
              <w:rPr>
                <w:rFonts w:ascii="Arial" w:hAnsi="Arial" w:cs="Arial"/>
                <w:b/>
                <w:bCs/>
                <w:noProof/>
                <w:color w:val="000000"/>
                <w:sz w:val="16"/>
                <w:szCs w:val="16"/>
              </w:rPr>
            </w:pPr>
          </w:p>
        </w:tc>
        <w:tc>
          <w:tcPr>
            <w:tcW w:w="1679" w:type="dxa"/>
            <w:gridSpan w:val="3"/>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Начално салдо съгласно МСС 39</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Трансфер от AC към FVTPL</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1 422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1 422 </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Повторна оценка: Средства за ОКЗ</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Крайно салдо съгласно МСФО 9</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1 422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1 422 </w:t>
            </w:r>
          </w:p>
        </w:tc>
      </w:tr>
      <w:tr>
        <w:trPr>
          <w:trHeight w:val="227"/>
        </w:trPr>
        <w:tc>
          <w:tcPr>
            <w:tcW w:w="3679" w:type="dxa"/>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6. Акции и други ценни книжа с променлива доходност</w:t>
            </w:r>
          </w:p>
        </w:tc>
        <w:tc>
          <w:tcPr>
            <w:tcW w:w="1540" w:type="dxa"/>
            <w:gridSpan w:val="3"/>
            <w:noWrap/>
            <w:vAlign w:val="bottom"/>
            <w:hideMark/>
          </w:tcPr>
          <w:p>
            <w:pPr>
              <w:pStyle w:val="Normal9"/>
              <w:rPr>
                <w:rFonts w:ascii="Arial" w:hAnsi="Arial" w:cs="Arial"/>
                <w:b/>
                <w:bCs/>
                <w:noProof/>
                <w:color w:val="000000"/>
                <w:sz w:val="16"/>
                <w:szCs w:val="16"/>
              </w:rPr>
            </w:pPr>
          </w:p>
        </w:tc>
        <w:tc>
          <w:tcPr>
            <w:tcW w:w="1679" w:type="dxa"/>
            <w:gridSpan w:val="3"/>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4" w:type="dxa"/>
            <w:gridSpan w:val="2"/>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179"/>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Начално салдо съгласно МСС 39</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r>
      <w:tr>
        <w:trPr>
          <w:trHeight w:val="227"/>
        </w:trPr>
        <w:tc>
          <w:tcPr>
            <w:tcW w:w="3679"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Трансфер от AFS към FVTPL</w:t>
            </w:r>
          </w:p>
        </w:tc>
        <w:tc>
          <w:tcPr>
            <w:tcW w:w="1540"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497 539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414"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497 539 </w:t>
            </w:r>
          </w:p>
        </w:tc>
      </w:tr>
      <w:tr>
        <w:trPr>
          <w:trHeight w:val="227"/>
        </w:trPr>
        <w:tc>
          <w:tcPr>
            <w:tcW w:w="3679" w:type="dxa"/>
            <w:tcBorders>
              <w:top w:val="nil"/>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Крайно салдо съгласно МСФО 9</w:t>
            </w:r>
          </w:p>
        </w:tc>
        <w:tc>
          <w:tcPr>
            <w:tcW w:w="1540" w:type="dxa"/>
            <w:gridSpan w:val="3"/>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679" w:type="dxa"/>
            <w:gridSpan w:val="3"/>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497 539 </w:t>
            </w:r>
          </w:p>
        </w:tc>
        <w:tc>
          <w:tcPr>
            <w:tcW w:w="1550" w:type="dxa"/>
            <w:gridSpan w:val="2"/>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414" w:type="dxa"/>
            <w:gridSpan w:val="2"/>
            <w:tcBorders>
              <w:top w:val="nil"/>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497 539 </w:t>
            </w:r>
          </w:p>
        </w:tc>
      </w:tr>
      <w:tr>
        <w:trPr>
          <w:trHeight w:val="227"/>
        </w:trPr>
        <w:tc>
          <w:tcPr>
            <w:tcW w:w="3679" w:type="dxa"/>
            <w:tcBorders>
              <w:top w:val="single" w:sz="4" w:space="0" w:color="000000"/>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Общо финансови активи, оценени по справедлива стойност чрез печалбата или загубата</w:t>
            </w:r>
          </w:p>
        </w:tc>
        <w:tc>
          <w:tcPr>
            <w:tcW w:w="1540" w:type="dxa"/>
            <w:gridSpan w:val="3"/>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679" w:type="dxa"/>
            <w:gridSpan w:val="3"/>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498 961</w:t>
            </w:r>
          </w:p>
        </w:tc>
        <w:tc>
          <w:tcPr>
            <w:tcW w:w="1550"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414"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498 961</w:t>
            </w:r>
          </w:p>
        </w:tc>
      </w:tr>
      <w:tr>
        <w:trPr>
          <w:trHeight w:val="227"/>
        </w:trPr>
        <w:tc>
          <w:tcPr>
            <w:tcW w:w="3679" w:type="dxa"/>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 </w:t>
            </w:r>
          </w:p>
        </w:tc>
        <w:tc>
          <w:tcPr>
            <w:tcW w:w="1540" w:type="dxa"/>
            <w:gridSpan w:val="3"/>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 </w:t>
            </w:r>
          </w:p>
        </w:tc>
        <w:tc>
          <w:tcPr>
            <w:tcW w:w="1679" w:type="dxa"/>
            <w:gridSpan w:val="3"/>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 </w:t>
            </w:r>
          </w:p>
        </w:tc>
        <w:tc>
          <w:tcPr>
            <w:tcW w:w="1550" w:type="dxa"/>
            <w:gridSpan w:val="2"/>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 </w:t>
            </w:r>
          </w:p>
        </w:tc>
        <w:tc>
          <w:tcPr>
            <w:tcW w:w="1414" w:type="dxa"/>
            <w:gridSpan w:val="2"/>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 </w:t>
            </w:r>
          </w:p>
        </w:tc>
      </w:tr>
      <w:tr>
        <w:trPr>
          <w:trHeight w:val="227"/>
        </w:trPr>
        <w:tc>
          <w:tcPr>
            <w:tcW w:w="3679" w:type="dxa"/>
            <w:shd w:val="clear" w:color="auto" w:fill="BFBFBF"/>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 xml:space="preserve">Общо финансови активи </w:t>
            </w:r>
          </w:p>
        </w:tc>
        <w:tc>
          <w:tcPr>
            <w:tcW w:w="1540" w:type="dxa"/>
            <w:gridSpan w:val="3"/>
            <w:shd w:val="clear" w:color="auto" w:fill="BFBFBF"/>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3 024 653</w:t>
            </w:r>
          </w:p>
        </w:tc>
        <w:tc>
          <w:tcPr>
            <w:tcW w:w="1679" w:type="dxa"/>
            <w:gridSpan w:val="3"/>
            <w:shd w:val="clear" w:color="auto" w:fill="BFBFBF"/>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w:t>
            </w:r>
          </w:p>
        </w:tc>
        <w:tc>
          <w:tcPr>
            <w:tcW w:w="1550" w:type="dxa"/>
            <w:gridSpan w:val="2"/>
            <w:shd w:val="clear" w:color="auto" w:fill="BFBFBF"/>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-49 714</w:t>
            </w:r>
          </w:p>
        </w:tc>
        <w:tc>
          <w:tcPr>
            <w:tcW w:w="1414" w:type="dxa"/>
            <w:gridSpan w:val="2"/>
            <w:shd w:val="clear" w:color="auto" w:fill="BFBFBF"/>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2 974 939</w:t>
            </w:r>
          </w:p>
        </w:tc>
      </w:tr>
      <w:tr>
        <w:trPr>
          <w:trHeight w:val="227"/>
        </w:trPr>
        <w:tc>
          <w:tcPr>
            <w:tcW w:w="3679" w:type="dxa"/>
            <w:shd w:val="clear" w:color="auto" w:fill="auto"/>
            <w:noWrap/>
            <w:vAlign w:val="bottom"/>
          </w:tcPr>
          <w:p>
            <w:pPr>
              <w:pStyle w:val="Normal9"/>
              <w:suppressAutoHyphens w:val="0"/>
              <w:spacing w:line="256" w:lineRule="auto"/>
              <w:rPr>
                <w:rFonts w:ascii="Arial" w:hAnsi="Arial" w:cs="Arial"/>
                <w:b/>
                <w:bCs/>
                <w:noProof/>
                <w:color w:val="000000"/>
                <w:sz w:val="16"/>
                <w:szCs w:val="16"/>
              </w:rPr>
            </w:pPr>
          </w:p>
        </w:tc>
        <w:tc>
          <w:tcPr>
            <w:tcW w:w="1546" w:type="dxa"/>
            <w:gridSpan w:val="4"/>
            <w:shd w:val="clear" w:color="auto" w:fill="auto"/>
            <w:noWrap/>
            <w:vAlign w:val="bottom"/>
          </w:tcPr>
          <w:p>
            <w:pPr>
              <w:pStyle w:val="Normal9"/>
              <w:suppressAutoHyphens w:val="0"/>
              <w:spacing w:line="256" w:lineRule="auto"/>
              <w:jc w:val="right"/>
              <w:rPr>
                <w:rFonts w:ascii="Arial" w:hAnsi="Arial" w:cs="Arial"/>
                <w:b/>
                <w:bCs/>
                <w:noProof/>
                <w:color w:val="000000"/>
                <w:sz w:val="16"/>
                <w:szCs w:val="16"/>
              </w:rPr>
            </w:pPr>
          </w:p>
        </w:tc>
        <w:tc>
          <w:tcPr>
            <w:tcW w:w="1673" w:type="dxa"/>
            <w:gridSpan w:val="2"/>
            <w:shd w:val="clear" w:color="auto" w:fill="auto"/>
            <w:noWrap/>
            <w:vAlign w:val="bottom"/>
          </w:tcPr>
          <w:p>
            <w:pPr>
              <w:pStyle w:val="Normal9"/>
              <w:suppressAutoHyphens w:val="0"/>
              <w:spacing w:line="256" w:lineRule="auto"/>
              <w:jc w:val="right"/>
              <w:rPr>
                <w:rFonts w:ascii="Arial" w:hAnsi="Arial" w:cs="Arial"/>
                <w:b/>
                <w:bCs/>
                <w:noProof/>
                <w:color w:val="000000"/>
                <w:sz w:val="16"/>
                <w:szCs w:val="16"/>
              </w:rPr>
            </w:pPr>
          </w:p>
        </w:tc>
        <w:tc>
          <w:tcPr>
            <w:tcW w:w="1550" w:type="dxa"/>
            <w:gridSpan w:val="2"/>
            <w:shd w:val="clear" w:color="auto" w:fill="auto"/>
            <w:noWrap/>
            <w:vAlign w:val="bottom"/>
          </w:tcPr>
          <w:p>
            <w:pPr>
              <w:pStyle w:val="Normal9"/>
              <w:suppressAutoHyphens w:val="0"/>
              <w:spacing w:line="256" w:lineRule="auto"/>
              <w:jc w:val="right"/>
              <w:rPr>
                <w:rFonts w:ascii="Arial" w:hAnsi="Arial" w:cs="Arial"/>
                <w:b/>
                <w:bCs/>
                <w:noProof/>
                <w:color w:val="000000"/>
                <w:sz w:val="16"/>
                <w:szCs w:val="16"/>
              </w:rPr>
            </w:pPr>
          </w:p>
        </w:tc>
        <w:tc>
          <w:tcPr>
            <w:tcW w:w="1414" w:type="dxa"/>
            <w:gridSpan w:val="2"/>
            <w:shd w:val="clear" w:color="auto" w:fill="auto"/>
            <w:noWrap/>
            <w:vAlign w:val="bottom"/>
          </w:tcPr>
          <w:p>
            <w:pPr>
              <w:pStyle w:val="Normal9"/>
              <w:suppressAutoHyphens w:val="0"/>
              <w:spacing w:line="256" w:lineRule="auto"/>
              <w:jc w:val="right"/>
              <w:rPr>
                <w:rFonts w:ascii="Arial" w:hAnsi="Arial" w:cs="Arial"/>
                <w:b/>
                <w:bCs/>
                <w:noProof/>
                <w:color w:val="000000"/>
                <w:sz w:val="16"/>
                <w:szCs w:val="16"/>
              </w:rPr>
            </w:pPr>
          </w:p>
        </w:tc>
      </w:tr>
      <w:tr>
        <w:trPr>
          <w:gridAfter w:val="1"/>
          <w:wAfter w:w="57" w:type="dxa"/>
          <w:trHeight w:val="228"/>
        </w:trPr>
        <w:tc>
          <w:tcPr>
            <w:tcW w:w="3742" w:type="dxa"/>
            <w:gridSpan w:val="2"/>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ФИНАНСОВИ ПАСИВИ</w:t>
            </w:r>
          </w:p>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в хиляди евро</w:t>
            </w:r>
          </w:p>
        </w:tc>
        <w:tc>
          <w:tcPr>
            <w:tcW w:w="1417" w:type="dxa"/>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Балансова стойност по МСС 39, 31.12.2017 г.</w:t>
            </w:r>
          </w:p>
        </w:tc>
        <w:tc>
          <w:tcPr>
            <w:tcW w:w="1679" w:type="dxa"/>
            <w:gridSpan w:val="3"/>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Прекласификации</w:t>
            </w:r>
          </w:p>
        </w:tc>
        <w:tc>
          <w:tcPr>
            <w:tcW w:w="1550" w:type="dxa"/>
            <w:gridSpan w:val="2"/>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Повторни оценки</w:t>
            </w:r>
          </w:p>
        </w:tc>
        <w:tc>
          <w:tcPr>
            <w:tcW w:w="1417" w:type="dxa"/>
            <w:gridSpan w:val="2"/>
            <w:tcBorders>
              <w:top w:val="single" w:sz="8" w:space="0" w:color="auto"/>
              <w:left w:val="nil"/>
              <w:bottom w:val="single" w:sz="4" w:space="0" w:color="auto"/>
              <w:right w:val="nil"/>
            </w:tcBorders>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Балансова стойност по МСФО 9, 1.1.2018 г.</w:t>
            </w:r>
          </w:p>
        </w:tc>
      </w:tr>
      <w:tr>
        <w:trPr>
          <w:gridAfter w:val="1"/>
          <w:wAfter w:w="57" w:type="dxa"/>
          <w:trHeight w:val="228"/>
        </w:trPr>
        <w:tc>
          <w:tcPr>
            <w:tcW w:w="3742" w:type="dxa"/>
            <w:gridSpan w:val="2"/>
            <w:tcBorders>
              <w:top w:val="single" w:sz="4" w:space="0" w:color="auto"/>
              <w:left w:val="nil"/>
              <w:bottom w:val="single" w:sz="8" w:space="0" w:color="auto"/>
              <w:right w:val="nil"/>
            </w:tcBorders>
            <w:noWrap/>
            <w:vAlign w:val="bottom"/>
            <w:hideMark/>
          </w:tcPr>
          <w:p>
            <w:pPr>
              <w:pStyle w:val="Normal9"/>
              <w:suppressAutoHyphens w:val="0"/>
              <w:spacing w:line="256" w:lineRule="auto"/>
              <w:jc w:val="center"/>
              <w:rPr>
                <w:rFonts w:ascii="Arial" w:hAnsi="Arial" w:cs="Arial"/>
                <w:b/>
                <w:bCs/>
                <w:noProof/>
                <w:color w:val="000000"/>
                <w:sz w:val="16"/>
                <w:szCs w:val="16"/>
              </w:rPr>
            </w:pPr>
            <w:r>
              <w:rPr>
                <w:rFonts w:ascii="Arial" w:hAnsi="Arial"/>
                <w:b/>
                <w:noProof/>
                <w:color w:val="000000"/>
                <w:sz w:val="16"/>
              </w:rPr>
              <w:t>Амортизирана стойност</w:t>
            </w:r>
          </w:p>
        </w:tc>
        <w:tc>
          <w:tcPr>
            <w:tcW w:w="1417" w:type="dxa"/>
            <w:tcBorders>
              <w:top w:val="single" w:sz="4" w:space="0" w:color="auto"/>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679" w:type="dxa"/>
            <w:gridSpan w:val="3"/>
            <w:tcBorders>
              <w:top w:val="single" w:sz="4" w:space="0" w:color="auto"/>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550" w:type="dxa"/>
            <w:gridSpan w:val="2"/>
            <w:tcBorders>
              <w:top w:val="single" w:sz="4" w:space="0" w:color="auto"/>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1417" w:type="dxa"/>
            <w:gridSpan w:val="2"/>
            <w:tcBorders>
              <w:top w:val="single" w:sz="4" w:space="0" w:color="auto"/>
              <w:left w:val="nil"/>
              <w:bottom w:val="single" w:sz="8"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r>
      <w:tr>
        <w:trPr>
          <w:gridAfter w:val="1"/>
          <w:wAfter w:w="57" w:type="dxa"/>
          <w:trHeight w:val="228"/>
        </w:trPr>
        <w:tc>
          <w:tcPr>
            <w:tcW w:w="3742" w:type="dxa"/>
            <w:gridSpan w:val="2"/>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9. Приходи за бъдещи периоди</w:t>
            </w:r>
          </w:p>
        </w:tc>
        <w:tc>
          <w:tcPr>
            <w:tcW w:w="1417" w:type="dxa"/>
            <w:tcBorders>
              <w:top w:val="single" w:sz="8" w:space="0" w:color="auto"/>
              <w:left w:val="nil"/>
              <w:bottom w:val="nil"/>
              <w:right w:val="nil"/>
            </w:tcBorders>
            <w:noWrap/>
            <w:vAlign w:val="bottom"/>
            <w:hideMark/>
          </w:tcPr>
          <w:p>
            <w:pPr>
              <w:pStyle w:val="Normal9"/>
              <w:rPr>
                <w:rFonts w:ascii="Arial" w:hAnsi="Arial" w:cs="Arial"/>
                <w:b/>
                <w:bCs/>
                <w:noProof/>
                <w:color w:val="000000"/>
                <w:sz w:val="16"/>
                <w:szCs w:val="16"/>
              </w:rPr>
            </w:pPr>
          </w:p>
        </w:tc>
        <w:tc>
          <w:tcPr>
            <w:tcW w:w="1679" w:type="dxa"/>
            <w:gridSpan w:val="3"/>
            <w:tcBorders>
              <w:top w:val="single" w:sz="8" w:space="0" w:color="auto"/>
              <w:left w:val="nil"/>
              <w:bottom w:val="nil"/>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550" w:type="dxa"/>
            <w:gridSpan w:val="2"/>
            <w:tcBorders>
              <w:top w:val="single" w:sz="8" w:space="0" w:color="auto"/>
              <w:left w:val="nil"/>
              <w:bottom w:val="nil"/>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c>
          <w:tcPr>
            <w:tcW w:w="1417" w:type="dxa"/>
            <w:gridSpan w:val="2"/>
            <w:tcBorders>
              <w:top w:val="single" w:sz="8" w:space="0" w:color="auto"/>
              <w:left w:val="nil"/>
              <w:bottom w:val="nil"/>
              <w:right w:val="nil"/>
            </w:tcBorders>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gridAfter w:val="1"/>
          <w:wAfter w:w="57" w:type="dxa"/>
          <w:trHeight w:val="228"/>
        </w:trPr>
        <w:tc>
          <w:tcPr>
            <w:tcW w:w="3742" w:type="dxa"/>
            <w:gridSpan w:val="2"/>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Начално салдо съгласно МСС 39 и крайно салдо съгласно МСФО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25 802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25 802 </w:t>
            </w:r>
          </w:p>
        </w:tc>
      </w:tr>
      <w:tr>
        <w:trPr>
          <w:gridAfter w:val="1"/>
          <w:wAfter w:w="57" w:type="dxa"/>
          <w:trHeight w:val="228"/>
        </w:trPr>
        <w:tc>
          <w:tcPr>
            <w:tcW w:w="3742" w:type="dxa"/>
            <w:gridSpan w:val="2"/>
            <w:tcBorders>
              <w:top w:val="single" w:sz="4" w:space="0" w:color="auto"/>
              <w:left w:val="nil"/>
              <w:bottom w:val="single" w:sz="4" w:space="0" w:color="auto"/>
              <w:right w:val="nil"/>
            </w:tcBorders>
            <w:noWrap/>
            <w:vAlign w:val="bottom"/>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10. Провизии за кредитни ангажименти</w:t>
            </w:r>
          </w:p>
        </w:tc>
        <w:tc>
          <w:tcPr>
            <w:tcW w:w="1417" w:type="dxa"/>
            <w:noWrap/>
            <w:vAlign w:val="bottom"/>
          </w:tcPr>
          <w:p>
            <w:pPr>
              <w:pStyle w:val="Normal9"/>
              <w:suppressAutoHyphens w:val="0"/>
              <w:spacing w:line="256" w:lineRule="auto"/>
              <w:jc w:val="right"/>
              <w:rPr>
                <w:rFonts w:ascii="Arial" w:hAnsi="Arial" w:cs="Arial"/>
                <w:b/>
                <w:bCs/>
                <w:noProof/>
                <w:color w:val="000000"/>
                <w:sz w:val="16"/>
                <w:szCs w:val="16"/>
              </w:rPr>
            </w:pPr>
          </w:p>
        </w:tc>
        <w:tc>
          <w:tcPr>
            <w:tcW w:w="1679" w:type="dxa"/>
            <w:gridSpan w:val="3"/>
            <w:noWrap/>
            <w:vAlign w:val="bottom"/>
          </w:tcPr>
          <w:p>
            <w:pPr>
              <w:pStyle w:val="Normal9"/>
              <w:suppressAutoHyphens w:val="0"/>
              <w:spacing w:line="256" w:lineRule="auto"/>
              <w:jc w:val="right"/>
              <w:rPr>
                <w:noProof/>
                <w:sz w:val="20"/>
                <w:szCs w:val="20"/>
              </w:rPr>
            </w:pPr>
          </w:p>
        </w:tc>
        <w:tc>
          <w:tcPr>
            <w:tcW w:w="1550" w:type="dxa"/>
            <w:gridSpan w:val="2"/>
            <w:noWrap/>
            <w:vAlign w:val="bottom"/>
          </w:tcPr>
          <w:p>
            <w:pPr>
              <w:pStyle w:val="Normal9"/>
              <w:suppressAutoHyphens w:val="0"/>
              <w:spacing w:line="256" w:lineRule="auto"/>
              <w:jc w:val="right"/>
              <w:rPr>
                <w:noProof/>
                <w:sz w:val="20"/>
                <w:szCs w:val="20"/>
              </w:rPr>
            </w:pPr>
          </w:p>
        </w:tc>
        <w:tc>
          <w:tcPr>
            <w:tcW w:w="1417" w:type="dxa"/>
            <w:gridSpan w:val="2"/>
            <w:noWrap/>
            <w:vAlign w:val="bottom"/>
          </w:tcPr>
          <w:p>
            <w:pPr>
              <w:pStyle w:val="Normal9"/>
              <w:suppressAutoHyphens w:val="0"/>
              <w:spacing w:line="256" w:lineRule="auto"/>
              <w:jc w:val="right"/>
              <w:rPr>
                <w:noProof/>
                <w:sz w:val="20"/>
                <w:szCs w:val="20"/>
              </w:rPr>
            </w:pPr>
          </w:p>
        </w:tc>
      </w:tr>
      <w:tr>
        <w:trPr>
          <w:gridAfter w:val="1"/>
          <w:wAfter w:w="57" w:type="dxa"/>
          <w:trHeight w:val="228"/>
        </w:trPr>
        <w:tc>
          <w:tcPr>
            <w:tcW w:w="3742" w:type="dxa"/>
            <w:gridSpan w:val="2"/>
            <w:tcBorders>
              <w:top w:val="single" w:sz="4" w:space="0" w:color="auto"/>
              <w:left w:val="nil"/>
              <w:right w:val="nil"/>
            </w:tcBorders>
            <w:noWrap/>
            <w:vAlign w:val="bottom"/>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xml:space="preserve">Начално салдо съгласно МСС 39 </w:t>
            </w:r>
          </w:p>
        </w:tc>
        <w:tc>
          <w:tcPr>
            <w:tcW w:w="1417" w:type="dxa"/>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679" w:type="dxa"/>
            <w:gridSpan w:val="3"/>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tcBorders>
              <w:top w:val="nil"/>
              <w:left w:val="nil"/>
              <w:right w:val="nil"/>
            </w:tcBorders>
            <w:noWrap/>
            <w:vAlign w:val="bottom"/>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Повторна оценка на средствата за ОКЗ</w:t>
            </w:r>
          </w:p>
        </w:tc>
        <w:tc>
          <w:tcPr>
            <w:tcW w:w="1417" w:type="dxa"/>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679" w:type="dxa"/>
            <w:gridSpan w:val="3"/>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4 156</w:t>
            </w: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4 156</w:t>
            </w:r>
          </w:p>
        </w:tc>
      </w:tr>
      <w:tr>
        <w:trPr>
          <w:gridAfter w:val="1"/>
          <w:wAfter w:w="57" w:type="dxa"/>
          <w:trHeight w:val="228"/>
        </w:trPr>
        <w:tc>
          <w:tcPr>
            <w:tcW w:w="3742" w:type="dxa"/>
            <w:gridSpan w:val="2"/>
            <w:tcBorders>
              <w:top w:val="nil"/>
              <w:left w:val="nil"/>
              <w:bottom w:val="single" w:sz="4" w:space="0" w:color="auto"/>
              <w:right w:val="nil"/>
            </w:tcBorders>
            <w:noWrap/>
            <w:vAlign w:val="bottom"/>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Крайно салдо съгласно МСФО 9</w:t>
            </w:r>
          </w:p>
        </w:tc>
        <w:tc>
          <w:tcPr>
            <w:tcW w:w="1417" w:type="dxa"/>
            <w:noWrap/>
            <w:vAlign w:val="bottom"/>
          </w:tcPr>
          <w:p>
            <w:pPr>
              <w:pStyle w:val="Normal9"/>
              <w:suppressAutoHyphens w:val="0"/>
              <w:spacing w:line="256" w:lineRule="auto"/>
              <w:jc w:val="right"/>
              <w:rPr>
                <w:rFonts w:ascii="Arial" w:hAnsi="Arial" w:cs="Arial"/>
                <w:noProof/>
                <w:color w:val="000000"/>
                <w:sz w:val="16"/>
                <w:szCs w:val="16"/>
              </w:rPr>
            </w:pPr>
          </w:p>
        </w:tc>
        <w:tc>
          <w:tcPr>
            <w:tcW w:w="1679" w:type="dxa"/>
            <w:gridSpan w:val="3"/>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4 156</w:t>
            </w: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4 156</w:t>
            </w:r>
          </w:p>
        </w:tc>
      </w:tr>
      <w:tr>
        <w:trPr>
          <w:gridAfter w:val="1"/>
          <w:wAfter w:w="57" w:type="dxa"/>
          <w:trHeight w:val="228"/>
        </w:trPr>
        <w:tc>
          <w:tcPr>
            <w:tcW w:w="3742" w:type="dxa"/>
            <w:gridSpan w:val="2"/>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b/>
                <w:noProof/>
                <w:color w:val="000000"/>
                <w:sz w:val="16"/>
              </w:rPr>
              <w:t>11. Дължими суми на трети страни</w:t>
            </w:r>
          </w:p>
        </w:tc>
        <w:tc>
          <w:tcPr>
            <w:tcW w:w="1417" w:type="dxa"/>
            <w:noWrap/>
            <w:vAlign w:val="bottom"/>
          </w:tcPr>
          <w:p>
            <w:pPr>
              <w:pStyle w:val="Normal9"/>
              <w:suppressAutoHyphens w:val="0"/>
              <w:spacing w:line="256" w:lineRule="auto"/>
              <w:jc w:val="right"/>
              <w:rPr>
                <w:rFonts w:ascii="Arial" w:hAnsi="Arial" w:cs="Arial"/>
                <w:noProof/>
                <w:color w:val="000000"/>
                <w:sz w:val="16"/>
                <w:szCs w:val="16"/>
              </w:rPr>
            </w:pPr>
          </w:p>
        </w:tc>
        <w:tc>
          <w:tcPr>
            <w:tcW w:w="1679" w:type="dxa"/>
            <w:gridSpan w:val="3"/>
            <w:noWrap/>
            <w:vAlign w:val="bottom"/>
          </w:tcPr>
          <w:p>
            <w:pPr>
              <w:pStyle w:val="Normal9"/>
              <w:suppressAutoHyphens w:val="0"/>
              <w:spacing w:line="256" w:lineRule="auto"/>
              <w:jc w:val="right"/>
              <w:rPr>
                <w:rFonts w:ascii="Arial" w:hAnsi="Arial" w:cs="Arial"/>
                <w:noProof/>
                <w:color w:val="000000"/>
                <w:sz w:val="16"/>
                <w:szCs w:val="16"/>
              </w:rPr>
            </w:pP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rPr>
            </w:pP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tcBorders>
              <w:top w:val="single" w:sz="4" w:space="0" w:color="auto"/>
              <w:left w:val="nil"/>
              <w:bottom w:val="single" w:sz="4" w:space="0" w:color="000000"/>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Начално салдо съгласно МСС 39 и крайно салдо съгласно МСФО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157 285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157 285 </w:t>
            </w:r>
          </w:p>
        </w:tc>
      </w:tr>
      <w:tr>
        <w:trPr>
          <w:gridAfter w:val="1"/>
          <w:wAfter w:w="57" w:type="dxa"/>
          <w:trHeight w:val="228"/>
        </w:trPr>
        <w:tc>
          <w:tcPr>
            <w:tcW w:w="3742"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12. Други пасиви</w:t>
            </w:r>
          </w:p>
        </w:tc>
        <w:tc>
          <w:tcPr>
            <w:tcW w:w="1417" w:type="dxa"/>
            <w:tcBorders>
              <w:top w:val="single" w:sz="4" w:space="0" w:color="FFFFFF"/>
              <w:left w:val="nil"/>
              <w:bottom w:val="single" w:sz="4" w:space="0" w:color="FFFFFF"/>
              <w:right w:val="nil"/>
            </w:tcBorders>
            <w:noWrap/>
            <w:vAlign w:val="bottom"/>
          </w:tcPr>
          <w:p>
            <w:pPr>
              <w:pStyle w:val="Normal9"/>
              <w:suppressAutoHyphens w:val="0"/>
              <w:spacing w:line="256" w:lineRule="auto"/>
              <w:jc w:val="right"/>
              <w:rPr>
                <w:rFonts w:ascii="Arial" w:hAnsi="Arial" w:cs="Arial"/>
                <w:b/>
                <w:bCs/>
                <w:noProof/>
                <w:color w:val="000000"/>
                <w:sz w:val="16"/>
                <w:szCs w:val="16"/>
              </w:rPr>
            </w:pPr>
          </w:p>
        </w:tc>
        <w:tc>
          <w:tcPr>
            <w:tcW w:w="1679" w:type="dxa"/>
            <w:gridSpan w:val="3"/>
            <w:tcBorders>
              <w:top w:val="single" w:sz="4" w:space="0" w:color="FFFFFF"/>
              <w:left w:val="nil"/>
              <w:bottom w:val="single" w:sz="4" w:space="0" w:color="FFFFFF"/>
              <w:right w:val="nil"/>
            </w:tcBorders>
            <w:noWrap/>
            <w:vAlign w:val="bottom"/>
          </w:tcPr>
          <w:p>
            <w:pPr>
              <w:pStyle w:val="Normal9"/>
              <w:suppressAutoHyphens w:val="0"/>
              <w:spacing w:line="256" w:lineRule="auto"/>
              <w:jc w:val="right"/>
              <w:rPr>
                <w:rFonts w:ascii="Arial" w:hAnsi="Arial" w:cs="Arial"/>
                <w:b/>
                <w:bCs/>
                <w:noProof/>
                <w:color w:val="000000"/>
                <w:sz w:val="16"/>
                <w:szCs w:val="16"/>
              </w:rPr>
            </w:pPr>
          </w:p>
        </w:tc>
        <w:tc>
          <w:tcPr>
            <w:tcW w:w="1550" w:type="dxa"/>
            <w:gridSpan w:val="2"/>
            <w:tcBorders>
              <w:top w:val="single" w:sz="4" w:space="0" w:color="FFFFFF"/>
              <w:left w:val="nil"/>
              <w:bottom w:val="single" w:sz="4" w:space="0" w:color="FFFFFF"/>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417" w:type="dxa"/>
            <w:gridSpan w:val="2"/>
            <w:tcBorders>
              <w:top w:val="single" w:sz="4" w:space="0" w:color="FFFFFF"/>
              <w:left w:val="nil"/>
              <w:bottom w:val="single" w:sz="4" w:space="0" w:color="FFFFFF"/>
              <w:right w:val="nil"/>
            </w:tcBorders>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tcBorders>
              <w:top w:val="nil"/>
              <w:left w:val="nil"/>
              <w:bottom w:val="single" w:sz="4" w:space="0" w:color="FFFFFF"/>
              <w:right w:val="nil"/>
            </w:tcBorders>
            <w:shd w:val="clear" w:color="auto" w:fill="FFFFFF"/>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noProof/>
                <w:color w:val="000000"/>
                <w:sz w:val="16"/>
              </w:rPr>
              <w:t>Начално салдо съгласно МСС 39 и крайно салдо съгласно МСФО 9</w:t>
            </w:r>
          </w:p>
        </w:tc>
        <w:tc>
          <w:tcPr>
            <w:tcW w:w="1417" w:type="dxa"/>
            <w:tcBorders>
              <w:top w:val="nil"/>
              <w:left w:val="nil"/>
              <w:bottom w:val="single" w:sz="4" w:space="0" w:color="FFFFFF"/>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2 462 </w:t>
            </w:r>
          </w:p>
        </w:tc>
        <w:tc>
          <w:tcPr>
            <w:tcW w:w="1679" w:type="dxa"/>
            <w:gridSpan w:val="3"/>
            <w:tcBorders>
              <w:top w:val="nil"/>
              <w:left w:val="nil"/>
              <w:bottom w:val="single" w:sz="4" w:space="0" w:color="FFFFFF"/>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tcBorders>
              <w:top w:val="nil"/>
              <w:left w:val="nil"/>
              <w:bottom w:val="single" w:sz="4" w:space="0" w:color="FFFFFF"/>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w:t>
            </w:r>
          </w:p>
        </w:tc>
        <w:tc>
          <w:tcPr>
            <w:tcW w:w="1417" w:type="dxa"/>
            <w:gridSpan w:val="2"/>
            <w:tcBorders>
              <w:top w:val="nil"/>
              <w:left w:val="nil"/>
              <w:bottom w:val="single" w:sz="4" w:space="0" w:color="FFFFFF"/>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2 462 </w:t>
            </w:r>
          </w:p>
        </w:tc>
      </w:tr>
      <w:tr>
        <w:trPr>
          <w:gridAfter w:val="1"/>
          <w:wAfter w:w="57" w:type="dxa"/>
          <w:trHeight w:val="228"/>
        </w:trPr>
        <w:tc>
          <w:tcPr>
            <w:tcW w:w="3742" w:type="dxa"/>
            <w:gridSpan w:val="2"/>
            <w:tcBorders>
              <w:top w:val="single" w:sz="4" w:space="0" w:color="FFFFFF"/>
              <w:left w:val="nil"/>
              <w:bottom w:val="nil"/>
              <w:right w:val="nil"/>
            </w:tcBorders>
            <w:shd w:val="clear" w:color="auto" w:fill="FFFFFF"/>
            <w:noWrap/>
            <w:vAlign w:val="bottom"/>
          </w:tcPr>
          <w:p>
            <w:pPr>
              <w:pStyle w:val="Normal9"/>
              <w:suppressAutoHyphens w:val="0"/>
              <w:spacing w:line="256" w:lineRule="auto"/>
              <w:rPr>
                <w:rFonts w:ascii="Arial" w:hAnsi="Arial" w:cs="Arial"/>
                <w:noProof/>
                <w:color w:val="000000"/>
                <w:sz w:val="16"/>
                <w:szCs w:val="16"/>
              </w:rPr>
            </w:pPr>
          </w:p>
        </w:tc>
        <w:tc>
          <w:tcPr>
            <w:tcW w:w="1417" w:type="dxa"/>
            <w:tcBorders>
              <w:top w:val="single" w:sz="4" w:space="0" w:color="FFFFFF"/>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679" w:type="dxa"/>
            <w:gridSpan w:val="3"/>
            <w:tcBorders>
              <w:top w:val="single" w:sz="4" w:space="0" w:color="FFFFFF"/>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550" w:type="dxa"/>
            <w:gridSpan w:val="2"/>
            <w:tcBorders>
              <w:top w:val="single" w:sz="4" w:space="0" w:color="FFFFFF"/>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417" w:type="dxa"/>
            <w:gridSpan w:val="2"/>
            <w:tcBorders>
              <w:top w:val="single" w:sz="4" w:space="0" w:color="FFFFFF"/>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shd w:val="clear" w:color="auto" w:fill="BFBFBF"/>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Общо финансови пасиви, оценени по амортизирана стойност</w:t>
            </w:r>
          </w:p>
        </w:tc>
        <w:tc>
          <w:tcPr>
            <w:tcW w:w="1417" w:type="dxa"/>
            <w:shd w:val="clear" w:color="auto" w:fill="BFBFBF"/>
            <w:noWrap/>
            <w:vAlign w:val="center"/>
            <w:hideMark/>
          </w:tcPr>
          <w:p>
            <w:pPr>
              <w:pStyle w:val="Normal9"/>
              <w:suppressAutoHyphens w:val="0"/>
              <w:spacing w:line="256" w:lineRule="auto"/>
              <w:jc w:val="center"/>
              <w:rPr>
                <w:rFonts w:ascii="Arial" w:hAnsi="Arial" w:cs="Arial"/>
                <w:b/>
                <w:bCs/>
                <w:noProof/>
                <w:color w:val="000000"/>
                <w:sz w:val="16"/>
                <w:szCs w:val="16"/>
              </w:rPr>
            </w:pPr>
            <w:r>
              <w:rPr>
                <w:rFonts w:ascii="Arial" w:hAnsi="Arial"/>
                <w:b/>
                <w:noProof/>
                <w:color w:val="000000"/>
                <w:sz w:val="16"/>
              </w:rPr>
              <w:t>185 549</w:t>
            </w:r>
          </w:p>
        </w:tc>
        <w:tc>
          <w:tcPr>
            <w:tcW w:w="1679" w:type="dxa"/>
            <w:gridSpan w:val="3"/>
            <w:shd w:val="clear" w:color="auto" w:fill="BFBFBF"/>
            <w:noWrap/>
            <w:vAlign w:val="center"/>
            <w:hideMark/>
          </w:tcPr>
          <w:p>
            <w:pPr>
              <w:pStyle w:val="Normal9"/>
              <w:suppressAutoHyphens w:val="0"/>
              <w:spacing w:line="256" w:lineRule="auto"/>
              <w:jc w:val="center"/>
              <w:rPr>
                <w:noProof/>
                <w:sz w:val="20"/>
                <w:szCs w:val="20"/>
              </w:rPr>
            </w:pPr>
            <w:r>
              <w:rPr>
                <w:rFonts w:ascii="Arial" w:hAnsi="Arial"/>
                <w:b/>
                <w:noProof/>
                <w:color w:val="000000"/>
                <w:sz w:val="16"/>
              </w:rPr>
              <w:t>-</w:t>
            </w:r>
          </w:p>
        </w:tc>
        <w:tc>
          <w:tcPr>
            <w:tcW w:w="1550" w:type="dxa"/>
            <w:gridSpan w:val="2"/>
            <w:shd w:val="clear" w:color="auto" w:fill="BFBFBF"/>
            <w:noWrap/>
            <w:vAlign w:val="center"/>
            <w:hideMark/>
          </w:tcPr>
          <w:p>
            <w:pPr>
              <w:pStyle w:val="Normal9"/>
              <w:suppressAutoHyphens w:val="0"/>
              <w:spacing w:line="256" w:lineRule="auto"/>
              <w:jc w:val="right"/>
              <w:rPr>
                <w:noProof/>
                <w:sz w:val="20"/>
                <w:szCs w:val="20"/>
              </w:rPr>
            </w:pPr>
            <w:r>
              <w:rPr>
                <w:rFonts w:ascii="Arial" w:hAnsi="Arial"/>
                <w:b/>
                <w:noProof/>
                <w:color w:val="000000"/>
                <w:sz w:val="16"/>
              </w:rPr>
              <w:t>4 156</w:t>
            </w:r>
          </w:p>
        </w:tc>
        <w:tc>
          <w:tcPr>
            <w:tcW w:w="1417" w:type="dxa"/>
            <w:gridSpan w:val="2"/>
            <w:shd w:val="clear" w:color="auto" w:fill="BFBFBF"/>
            <w:noWrap/>
            <w:vAlign w:val="center"/>
            <w:hideMark/>
          </w:tcPr>
          <w:p>
            <w:pPr>
              <w:pStyle w:val="Normal9"/>
              <w:suppressAutoHyphens w:val="0"/>
              <w:spacing w:line="256" w:lineRule="auto"/>
              <w:jc w:val="right"/>
              <w:rPr>
                <w:noProof/>
                <w:sz w:val="20"/>
                <w:szCs w:val="20"/>
              </w:rPr>
            </w:pPr>
            <w:r>
              <w:rPr>
                <w:rFonts w:ascii="Arial" w:hAnsi="Arial"/>
                <w:b/>
                <w:noProof/>
                <w:color w:val="000000"/>
                <w:sz w:val="16"/>
              </w:rPr>
              <w:t>189 705</w:t>
            </w:r>
          </w:p>
        </w:tc>
      </w:tr>
      <w:tr>
        <w:trPr>
          <w:gridAfter w:val="1"/>
          <w:wAfter w:w="57" w:type="dxa"/>
          <w:trHeight w:val="228"/>
        </w:trPr>
        <w:tc>
          <w:tcPr>
            <w:tcW w:w="3742" w:type="dxa"/>
            <w:gridSpan w:val="2"/>
            <w:tcBorders>
              <w:top w:val="nil"/>
              <w:left w:val="nil"/>
              <w:bottom w:val="single" w:sz="4" w:space="0" w:color="000000"/>
              <w:right w:val="nil"/>
            </w:tcBorders>
            <w:noWrap/>
            <w:vAlign w:val="bottom"/>
          </w:tcPr>
          <w:p>
            <w:pPr>
              <w:pStyle w:val="Normal9"/>
              <w:suppressAutoHyphens w:val="0"/>
              <w:spacing w:line="256" w:lineRule="auto"/>
              <w:rPr>
                <w:rFonts w:ascii="Arial" w:hAnsi="Arial" w:cs="Arial"/>
                <w:noProof/>
                <w:color w:val="000000"/>
                <w:sz w:val="16"/>
                <w:szCs w:val="16"/>
              </w:rPr>
            </w:pPr>
          </w:p>
        </w:tc>
        <w:tc>
          <w:tcPr>
            <w:tcW w:w="1417" w:type="dxa"/>
            <w:tcBorders>
              <w:top w:val="nil"/>
              <w:left w:val="nil"/>
              <w:bottom w:val="single" w:sz="4" w:space="0" w:color="000000"/>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679" w:type="dxa"/>
            <w:gridSpan w:val="3"/>
            <w:tcBorders>
              <w:top w:val="nil"/>
              <w:left w:val="nil"/>
              <w:bottom w:val="single" w:sz="4" w:space="0" w:color="000000"/>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550" w:type="dxa"/>
            <w:gridSpan w:val="2"/>
            <w:tcBorders>
              <w:top w:val="nil"/>
              <w:left w:val="nil"/>
              <w:bottom w:val="single" w:sz="4" w:space="0" w:color="000000"/>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417" w:type="dxa"/>
            <w:gridSpan w:val="2"/>
            <w:tcBorders>
              <w:top w:val="nil"/>
              <w:left w:val="nil"/>
              <w:bottom w:val="single" w:sz="4" w:space="0" w:color="000000"/>
              <w:right w:val="nil"/>
            </w:tcBorders>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tcBorders>
              <w:top w:val="single" w:sz="4" w:space="0" w:color="000000"/>
              <w:left w:val="nil"/>
              <w:bottom w:val="single" w:sz="4" w:space="0" w:color="000000"/>
              <w:right w:val="nil"/>
            </w:tcBorders>
            <w:noWrap/>
            <w:vAlign w:val="center"/>
            <w:hideMark/>
          </w:tcPr>
          <w:p>
            <w:pPr>
              <w:pStyle w:val="Normal9"/>
              <w:suppressAutoHyphens w:val="0"/>
              <w:spacing w:line="256" w:lineRule="auto"/>
              <w:jc w:val="center"/>
              <w:rPr>
                <w:rFonts w:ascii="Arial" w:hAnsi="Arial" w:cs="Arial"/>
                <w:noProof/>
                <w:color w:val="000000"/>
                <w:sz w:val="16"/>
                <w:szCs w:val="16"/>
              </w:rPr>
            </w:pPr>
            <w:r>
              <w:rPr>
                <w:rFonts w:ascii="Arial" w:hAnsi="Arial"/>
                <w:b/>
                <w:noProof/>
                <w:color w:val="000000"/>
                <w:sz w:val="16"/>
              </w:rPr>
              <w:t>Справедлива стойност през печалбата или загубата</w:t>
            </w:r>
          </w:p>
        </w:tc>
        <w:tc>
          <w:tcPr>
            <w:tcW w:w="1417" w:type="dxa"/>
            <w:tcBorders>
              <w:top w:val="single" w:sz="4" w:space="0" w:color="000000"/>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c>
          <w:tcPr>
            <w:tcW w:w="1679" w:type="dxa"/>
            <w:gridSpan w:val="3"/>
            <w:tcBorders>
              <w:top w:val="single" w:sz="4" w:space="0" w:color="000000"/>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c>
          <w:tcPr>
            <w:tcW w:w="1550" w:type="dxa"/>
            <w:gridSpan w:val="2"/>
            <w:tcBorders>
              <w:top w:val="single" w:sz="4" w:space="0" w:color="000000"/>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c>
          <w:tcPr>
            <w:tcW w:w="1417" w:type="dxa"/>
            <w:gridSpan w:val="2"/>
            <w:tcBorders>
              <w:top w:val="single" w:sz="4" w:space="0" w:color="000000"/>
              <w:left w:val="nil"/>
              <w:bottom w:val="single" w:sz="4" w:space="0" w:color="000000"/>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r>
      <w:tr>
        <w:trPr>
          <w:gridAfter w:val="1"/>
          <w:wAfter w:w="57" w:type="dxa"/>
          <w:trHeight w:val="228"/>
        </w:trPr>
        <w:tc>
          <w:tcPr>
            <w:tcW w:w="3742" w:type="dxa"/>
            <w:gridSpan w:val="2"/>
            <w:tcBorders>
              <w:top w:val="single" w:sz="4" w:space="0" w:color="000000"/>
              <w:left w:val="nil"/>
              <w:bottom w:val="nil"/>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b/>
                <w:noProof/>
                <w:color w:val="000000"/>
                <w:sz w:val="16"/>
              </w:rPr>
              <w:t>13. Дериватни финансови инструменти</w:t>
            </w:r>
          </w:p>
        </w:tc>
        <w:tc>
          <w:tcPr>
            <w:tcW w:w="1417" w:type="dxa"/>
            <w:tcBorders>
              <w:top w:val="single" w:sz="4" w:space="0" w:color="000000"/>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679" w:type="dxa"/>
            <w:gridSpan w:val="3"/>
            <w:tcBorders>
              <w:top w:val="single" w:sz="4" w:space="0" w:color="000000"/>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550" w:type="dxa"/>
            <w:gridSpan w:val="2"/>
            <w:tcBorders>
              <w:top w:val="single" w:sz="4" w:space="0" w:color="000000"/>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c>
          <w:tcPr>
            <w:tcW w:w="1417" w:type="dxa"/>
            <w:gridSpan w:val="2"/>
            <w:tcBorders>
              <w:top w:val="single" w:sz="4" w:space="0" w:color="000000"/>
              <w:left w:val="nil"/>
              <w:bottom w:val="nil"/>
              <w:right w:val="nil"/>
            </w:tcBorders>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Начално салдо съгласно МСС 39 и крайно салдо съгласно МСФО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1 153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1 153 </w:t>
            </w:r>
          </w:p>
        </w:tc>
      </w:tr>
      <w:tr>
        <w:trPr>
          <w:gridAfter w:val="1"/>
          <w:wAfter w:w="57" w:type="dxa"/>
          <w:trHeight w:val="228"/>
        </w:trPr>
        <w:tc>
          <w:tcPr>
            <w:tcW w:w="3742" w:type="dxa"/>
            <w:gridSpan w:val="2"/>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14. Провизии за издадени гаранции</w:t>
            </w:r>
          </w:p>
        </w:tc>
        <w:tc>
          <w:tcPr>
            <w:tcW w:w="1417" w:type="dxa"/>
            <w:noWrap/>
            <w:vAlign w:val="bottom"/>
          </w:tcPr>
          <w:p>
            <w:pPr>
              <w:pStyle w:val="Normal9"/>
              <w:suppressAutoHyphens w:val="0"/>
              <w:spacing w:line="256" w:lineRule="auto"/>
              <w:jc w:val="right"/>
              <w:rPr>
                <w:rFonts w:ascii="Arial" w:hAnsi="Arial" w:cs="Arial"/>
                <w:b/>
                <w:bCs/>
                <w:noProof/>
                <w:color w:val="000000"/>
                <w:sz w:val="16"/>
                <w:szCs w:val="16"/>
              </w:rPr>
            </w:pPr>
          </w:p>
        </w:tc>
        <w:tc>
          <w:tcPr>
            <w:tcW w:w="1679" w:type="dxa"/>
            <w:gridSpan w:val="3"/>
            <w:noWrap/>
            <w:vAlign w:val="bottom"/>
          </w:tcPr>
          <w:p>
            <w:pPr>
              <w:pStyle w:val="Normal9"/>
              <w:suppressAutoHyphens w:val="0"/>
              <w:spacing w:line="256" w:lineRule="auto"/>
              <w:jc w:val="right"/>
              <w:rPr>
                <w:noProof/>
                <w:sz w:val="20"/>
                <w:szCs w:val="20"/>
              </w:rPr>
            </w:pPr>
          </w:p>
        </w:tc>
        <w:tc>
          <w:tcPr>
            <w:tcW w:w="1550" w:type="dxa"/>
            <w:gridSpan w:val="2"/>
            <w:noWrap/>
            <w:vAlign w:val="bottom"/>
          </w:tcPr>
          <w:p>
            <w:pPr>
              <w:pStyle w:val="Normal9"/>
              <w:suppressAutoHyphens w:val="0"/>
              <w:spacing w:line="256" w:lineRule="auto"/>
              <w:jc w:val="right"/>
              <w:rPr>
                <w:noProof/>
                <w:sz w:val="20"/>
                <w:szCs w:val="20"/>
              </w:rPr>
            </w:pPr>
          </w:p>
        </w:tc>
        <w:tc>
          <w:tcPr>
            <w:tcW w:w="1417" w:type="dxa"/>
            <w:gridSpan w:val="2"/>
            <w:noWrap/>
            <w:vAlign w:val="bottom"/>
          </w:tcPr>
          <w:p>
            <w:pPr>
              <w:pStyle w:val="Normal9"/>
              <w:suppressAutoHyphens w:val="0"/>
              <w:spacing w:line="256" w:lineRule="auto"/>
              <w:jc w:val="right"/>
              <w:rPr>
                <w:noProof/>
                <w:sz w:val="20"/>
                <w:szCs w:val="20"/>
              </w:rPr>
            </w:pPr>
          </w:p>
        </w:tc>
      </w:tr>
      <w:tr>
        <w:trPr>
          <w:gridAfter w:val="1"/>
          <w:wAfter w:w="57" w:type="dxa"/>
          <w:trHeight w:val="228"/>
        </w:trPr>
        <w:tc>
          <w:tcPr>
            <w:tcW w:w="3742" w:type="dxa"/>
            <w:gridSpan w:val="2"/>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Начално салдо съгласно МСС 39 и крайно салдо съгласно МСФО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484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484 </w:t>
            </w:r>
          </w:p>
        </w:tc>
      </w:tr>
      <w:tr>
        <w:trPr>
          <w:gridAfter w:val="1"/>
          <w:wAfter w:w="57" w:type="dxa"/>
          <w:trHeight w:val="228"/>
        </w:trPr>
        <w:tc>
          <w:tcPr>
            <w:tcW w:w="3742" w:type="dxa"/>
            <w:gridSpan w:val="2"/>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Повторна оценка на средствата за ОКЗ</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r>
      <w:tr>
        <w:trPr>
          <w:gridAfter w:val="1"/>
          <w:wAfter w:w="57" w:type="dxa"/>
          <w:trHeight w:val="228"/>
        </w:trPr>
        <w:tc>
          <w:tcPr>
            <w:tcW w:w="3742" w:type="dxa"/>
            <w:gridSpan w:val="2"/>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Крайно салдо съгласно МСФО 9</w:t>
            </w:r>
          </w:p>
        </w:tc>
        <w:tc>
          <w:tcPr>
            <w:tcW w:w="1417"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484 </w:t>
            </w:r>
          </w:p>
        </w:tc>
        <w:tc>
          <w:tcPr>
            <w:tcW w:w="1679" w:type="dxa"/>
            <w:gridSpan w:val="3"/>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550"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417" w:type="dxa"/>
            <w:gridSpan w:val="2"/>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484 </w:t>
            </w:r>
          </w:p>
        </w:tc>
      </w:tr>
      <w:tr>
        <w:trPr>
          <w:gridAfter w:val="1"/>
          <w:wAfter w:w="57" w:type="dxa"/>
          <w:trHeight w:val="228"/>
        </w:trPr>
        <w:tc>
          <w:tcPr>
            <w:tcW w:w="3742" w:type="dxa"/>
            <w:gridSpan w:val="2"/>
            <w:noWrap/>
            <w:vAlign w:val="bottom"/>
          </w:tcPr>
          <w:p>
            <w:pPr>
              <w:pStyle w:val="Normal9"/>
              <w:suppressAutoHyphens w:val="0"/>
              <w:spacing w:line="256" w:lineRule="auto"/>
              <w:rPr>
                <w:rFonts w:ascii="Arial" w:hAnsi="Arial" w:cs="Arial"/>
                <w:noProof/>
                <w:color w:val="000000"/>
                <w:sz w:val="16"/>
                <w:szCs w:val="16"/>
              </w:rPr>
            </w:pPr>
          </w:p>
        </w:tc>
        <w:tc>
          <w:tcPr>
            <w:tcW w:w="1417" w:type="dxa"/>
            <w:noWrap/>
            <w:vAlign w:val="bottom"/>
          </w:tcPr>
          <w:p>
            <w:pPr>
              <w:pStyle w:val="Normal9"/>
              <w:suppressAutoHyphens w:val="0"/>
              <w:spacing w:line="256" w:lineRule="auto"/>
              <w:jc w:val="right"/>
              <w:rPr>
                <w:rFonts w:ascii="Arial" w:hAnsi="Arial" w:cs="Arial"/>
                <w:noProof/>
                <w:color w:val="000000"/>
                <w:sz w:val="16"/>
                <w:szCs w:val="16"/>
              </w:rPr>
            </w:pPr>
          </w:p>
        </w:tc>
        <w:tc>
          <w:tcPr>
            <w:tcW w:w="1679" w:type="dxa"/>
            <w:gridSpan w:val="3"/>
            <w:noWrap/>
            <w:vAlign w:val="bottom"/>
          </w:tcPr>
          <w:p>
            <w:pPr>
              <w:pStyle w:val="Normal9"/>
              <w:suppressAutoHyphens w:val="0"/>
              <w:spacing w:line="256" w:lineRule="auto"/>
              <w:jc w:val="right"/>
              <w:rPr>
                <w:rFonts w:ascii="Arial" w:hAnsi="Arial" w:cs="Arial"/>
                <w:noProof/>
                <w:color w:val="000000"/>
                <w:sz w:val="16"/>
                <w:szCs w:val="16"/>
              </w:rPr>
            </w:pPr>
          </w:p>
        </w:tc>
        <w:tc>
          <w:tcPr>
            <w:tcW w:w="1550" w:type="dxa"/>
            <w:gridSpan w:val="2"/>
            <w:noWrap/>
            <w:vAlign w:val="bottom"/>
          </w:tcPr>
          <w:p>
            <w:pPr>
              <w:pStyle w:val="Normal9"/>
              <w:suppressAutoHyphens w:val="0"/>
              <w:spacing w:line="256" w:lineRule="auto"/>
              <w:jc w:val="right"/>
              <w:rPr>
                <w:rFonts w:ascii="Arial" w:hAnsi="Arial" w:cs="Arial"/>
                <w:noProof/>
                <w:color w:val="000000"/>
                <w:sz w:val="16"/>
                <w:szCs w:val="16"/>
              </w:rPr>
            </w:pPr>
          </w:p>
        </w:tc>
        <w:tc>
          <w:tcPr>
            <w:tcW w:w="1417" w:type="dxa"/>
            <w:gridSpan w:val="2"/>
            <w:noWrap/>
            <w:vAlign w:val="bottom"/>
          </w:tcPr>
          <w:p>
            <w:pPr>
              <w:pStyle w:val="Normal9"/>
              <w:suppressAutoHyphens w:val="0"/>
              <w:spacing w:line="256" w:lineRule="auto"/>
              <w:jc w:val="right"/>
              <w:rPr>
                <w:rFonts w:ascii="Arial" w:hAnsi="Arial" w:cs="Arial"/>
                <w:noProof/>
                <w:color w:val="000000"/>
                <w:sz w:val="16"/>
                <w:szCs w:val="16"/>
              </w:rPr>
            </w:pPr>
          </w:p>
        </w:tc>
      </w:tr>
      <w:tr>
        <w:trPr>
          <w:gridAfter w:val="1"/>
          <w:wAfter w:w="57" w:type="dxa"/>
          <w:trHeight w:val="228"/>
        </w:trPr>
        <w:tc>
          <w:tcPr>
            <w:tcW w:w="3742"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Общо финансови пасиви, оценени по справедлива стойност чрез печалбата или загубата</w:t>
            </w:r>
          </w:p>
        </w:tc>
        <w:tc>
          <w:tcPr>
            <w:tcW w:w="1417" w:type="dxa"/>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b/>
                <w:noProof/>
                <w:color w:val="000000"/>
                <w:sz w:val="16"/>
              </w:rPr>
              <w:t xml:space="preserve">1 637 </w:t>
            </w:r>
          </w:p>
        </w:tc>
        <w:tc>
          <w:tcPr>
            <w:tcW w:w="1679" w:type="dxa"/>
            <w:gridSpan w:val="3"/>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 xml:space="preserve">                   -   </w:t>
            </w:r>
          </w:p>
        </w:tc>
        <w:tc>
          <w:tcPr>
            <w:tcW w:w="1550"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w:t>
            </w:r>
            <w:r>
              <w:rPr>
                <w:rFonts w:ascii="Arial" w:hAnsi="Arial"/>
                <w:b/>
                <w:noProof/>
                <w:color w:val="000000"/>
                <w:sz w:val="16"/>
              </w:rPr>
              <w:t xml:space="preserve">  </w:t>
            </w:r>
          </w:p>
        </w:tc>
        <w:tc>
          <w:tcPr>
            <w:tcW w:w="1417" w:type="dxa"/>
            <w:gridSpan w:val="2"/>
            <w:tcBorders>
              <w:top w:val="single" w:sz="4" w:space="0" w:color="000000"/>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 xml:space="preserve">1 637 </w:t>
            </w:r>
          </w:p>
        </w:tc>
      </w:tr>
      <w:tr>
        <w:trPr>
          <w:gridAfter w:val="1"/>
          <w:wAfter w:w="57" w:type="dxa"/>
          <w:trHeight w:val="228"/>
        </w:trPr>
        <w:tc>
          <w:tcPr>
            <w:tcW w:w="3742" w:type="dxa"/>
            <w:gridSpan w:val="2"/>
            <w:noWrap/>
            <w:vAlign w:val="bottom"/>
          </w:tcPr>
          <w:p>
            <w:pPr>
              <w:pStyle w:val="Normal9"/>
              <w:suppressAutoHyphens w:val="0"/>
              <w:spacing w:line="256" w:lineRule="auto"/>
              <w:rPr>
                <w:rFonts w:ascii="Arial" w:hAnsi="Arial" w:cs="Arial"/>
                <w:b/>
                <w:bCs/>
                <w:noProof/>
                <w:color w:val="000000"/>
                <w:sz w:val="16"/>
                <w:szCs w:val="16"/>
              </w:rPr>
            </w:pPr>
          </w:p>
        </w:tc>
        <w:tc>
          <w:tcPr>
            <w:tcW w:w="1417" w:type="dxa"/>
            <w:noWrap/>
            <w:vAlign w:val="bottom"/>
          </w:tcPr>
          <w:p>
            <w:pPr>
              <w:pStyle w:val="Normal9"/>
              <w:suppressAutoHyphens w:val="0"/>
              <w:spacing w:line="256" w:lineRule="auto"/>
              <w:jc w:val="right"/>
              <w:rPr>
                <w:rFonts w:ascii="Arial" w:hAnsi="Arial" w:cs="Arial"/>
                <w:b/>
                <w:bCs/>
                <w:noProof/>
                <w:color w:val="000000"/>
                <w:sz w:val="16"/>
                <w:szCs w:val="16"/>
              </w:rPr>
            </w:pPr>
          </w:p>
        </w:tc>
        <w:tc>
          <w:tcPr>
            <w:tcW w:w="1679" w:type="dxa"/>
            <w:gridSpan w:val="3"/>
            <w:noWrap/>
            <w:vAlign w:val="bottom"/>
          </w:tcPr>
          <w:p>
            <w:pPr>
              <w:pStyle w:val="Normal9"/>
              <w:suppressAutoHyphens w:val="0"/>
              <w:spacing w:line="256" w:lineRule="auto"/>
              <w:jc w:val="right"/>
              <w:rPr>
                <w:rFonts w:ascii="Arial" w:hAnsi="Arial" w:cs="Arial"/>
                <w:b/>
                <w:bCs/>
                <w:noProof/>
                <w:color w:val="000000"/>
                <w:sz w:val="16"/>
                <w:szCs w:val="16"/>
              </w:rPr>
            </w:pPr>
          </w:p>
        </w:tc>
        <w:tc>
          <w:tcPr>
            <w:tcW w:w="1550" w:type="dxa"/>
            <w:gridSpan w:val="2"/>
            <w:noWrap/>
            <w:vAlign w:val="bottom"/>
          </w:tcPr>
          <w:p>
            <w:pPr>
              <w:pStyle w:val="Normal9"/>
              <w:suppressAutoHyphens w:val="0"/>
              <w:spacing w:line="256" w:lineRule="auto"/>
              <w:jc w:val="right"/>
              <w:rPr>
                <w:rFonts w:ascii="Arial" w:hAnsi="Arial" w:cs="Arial"/>
                <w:b/>
                <w:bCs/>
                <w:noProof/>
                <w:color w:val="000000"/>
                <w:sz w:val="16"/>
                <w:szCs w:val="16"/>
              </w:rPr>
            </w:pPr>
          </w:p>
        </w:tc>
        <w:tc>
          <w:tcPr>
            <w:tcW w:w="1417" w:type="dxa"/>
            <w:gridSpan w:val="2"/>
            <w:noWrap/>
            <w:vAlign w:val="bottom"/>
          </w:tcPr>
          <w:p>
            <w:pPr>
              <w:pStyle w:val="Normal9"/>
              <w:suppressAutoHyphens w:val="0"/>
              <w:spacing w:line="256" w:lineRule="auto"/>
              <w:jc w:val="right"/>
              <w:rPr>
                <w:rFonts w:ascii="Arial" w:hAnsi="Arial" w:cs="Arial"/>
                <w:b/>
                <w:bCs/>
                <w:noProof/>
                <w:color w:val="000000"/>
                <w:sz w:val="16"/>
                <w:szCs w:val="16"/>
              </w:rPr>
            </w:pPr>
          </w:p>
        </w:tc>
      </w:tr>
      <w:tr>
        <w:trPr>
          <w:gridAfter w:val="1"/>
          <w:wAfter w:w="57" w:type="dxa"/>
          <w:trHeight w:val="228"/>
        </w:trPr>
        <w:tc>
          <w:tcPr>
            <w:tcW w:w="3742" w:type="dxa"/>
            <w:gridSpan w:val="2"/>
            <w:shd w:val="clear" w:color="auto" w:fill="BFBFBF"/>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Общо финансови пасиви</w:t>
            </w:r>
          </w:p>
        </w:tc>
        <w:tc>
          <w:tcPr>
            <w:tcW w:w="1417" w:type="dxa"/>
            <w:shd w:val="clear" w:color="auto" w:fill="BFBFBF"/>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187 186</w:t>
            </w:r>
          </w:p>
        </w:tc>
        <w:tc>
          <w:tcPr>
            <w:tcW w:w="1679" w:type="dxa"/>
            <w:gridSpan w:val="3"/>
            <w:shd w:val="clear" w:color="auto" w:fill="BFBFBF"/>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 xml:space="preserve">                   -   </w:t>
            </w:r>
          </w:p>
        </w:tc>
        <w:tc>
          <w:tcPr>
            <w:tcW w:w="1550" w:type="dxa"/>
            <w:gridSpan w:val="2"/>
            <w:shd w:val="clear" w:color="auto" w:fill="BFBFBF"/>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 xml:space="preserve">                4 156</w:t>
            </w:r>
          </w:p>
        </w:tc>
        <w:tc>
          <w:tcPr>
            <w:tcW w:w="1417" w:type="dxa"/>
            <w:gridSpan w:val="2"/>
            <w:shd w:val="clear" w:color="auto" w:fill="BFBFBF"/>
            <w:noWrap/>
            <w:vAlign w:val="center"/>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191 342</w:t>
            </w:r>
          </w:p>
        </w:tc>
      </w:tr>
    </w:tbl>
    <w:p>
      <w:pPr>
        <w:pStyle w:val="Title111"/>
        <w:numPr>
          <w:ilvl w:val="0"/>
          <w:numId w:val="0"/>
        </w:numPr>
        <w:ind w:left="680" w:hanging="680"/>
        <w:rPr>
          <w:i/>
          <w:noProof/>
          <w:sz w:val="8"/>
          <w:szCs w:val="8"/>
        </w:rPr>
      </w:pPr>
    </w:p>
    <w:p>
      <w:pPr>
        <w:pStyle w:val="Notes1"/>
        <w:numPr>
          <w:ilvl w:val="0"/>
          <w:numId w:val="0"/>
        </w:numPr>
        <w:tabs>
          <w:tab w:val="right" w:pos="-2700"/>
        </w:tabs>
        <w:spacing w:before="0" w:after="0"/>
        <w:rPr>
          <w:iCs/>
          <w:noProof/>
          <w:sz w:val="16"/>
          <w:szCs w:val="16"/>
        </w:rPr>
      </w:pPr>
      <w:r>
        <w:rPr>
          <w:b w:val="0"/>
          <w:noProof/>
          <w:sz w:val="16"/>
        </w:rPr>
        <w:t xml:space="preserve">Следната таблица анализира въздействието на прехода към МСФО 9 върху ресурсите на вносителите на механизма към 1 януари 2018 г. Въздействието е свързано с резерва на справедливата стойност. Няма въздействие върху други компоненти на ресурсите на вносителите. </w:t>
      </w:r>
    </w:p>
    <w:p>
      <w:pPr>
        <w:pStyle w:val="Notes1"/>
        <w:numPr>
          <w:ilvl w:val="0"/>
          <w:numId w:val="0"/>
        </w:numPr>
        <w:tabs>
          <w:tab w:val="right" w:pos="-2700"/>
        </w:tabs>
        <w:spacing w:before="0" w:after="0"/>
        <w:rPr>
          <w:iCs/>
          <w:noProof/>
          <w:sz w:val="8"/>
          <w:szCs w:val="8"/>
        </w:rPr>
      </w:pPr>
    </w:p>
    <w:tbl>
      <w:tblPr>
        <w:tblW w:w="9654" w:type="dxa"/>
        <w:tblLook w:val="04A0" w:firstRow="1" w:lastRow="0" w:firstColumn="1" w:lastColumn="0" w:noHBand="0" w:noVBand="1"/>
      </w:tblPr>
      <w:tblGrid>
        <w:gridCol w:w="7122"/>
        <w:gridCol w:w="2532"/>
      </w:tblGrid>
      <w:tr>
        <w:trPr>
          <w:trHeight w:val="269"/>
        </w:trPr>
        <w:tc>
          <w:tcPr>
            <w:tcW w:w="7122" w:type="dxa"/>
            <w:tcBorders>
              <w:top w:val="single" w:sz="8"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в хиляди евро</w:t>
            </w:r>
          </w:p>
        </w:tc>
        <w:tc>
          <w:tcPr>
            <w:tcW w:w="2532" w:type="dxa"/>
            <w:tcBorders>
              <w:top w:val="single" w:sz="8"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b/>
                <w:noProof/>
                <w:color w:val="000000"/>
                <w:sz w:val="16"/>
              </w:rPr>
              <w:t>Резерв по справедлива стойност</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Крайно салдо съгласно МСС 39 (31 декември 2017 г.)</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 xml:space="preserve">125 816 </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Прекласификация на акции и други ценни книжа с променлива доходност от AFS на FVTPL</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-125 816 </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Начално салдо съгласно МСФО 9 (1 януари 2018 г.)</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 xml:space="preserve">-   </w:t>
            </w:r>
          </w:p>
        </w:tc>
      </w:tr>
      <w:tr>
        <w:trPr>
          <w:trHeight w:val="269"/>
        </w:trPr>
        <w:tc>
          <w:tcPr>
            <w:tcW w:w="7122" w:type="dxa"/>
            <w:noWrap/>
            <w:vAlign w:val="bottom"/>
            <w:hideMark/>
          </w:tcPr>
          <w:p>
            <w:pPr>
              <w:pStyle w:val="Normal9"/>
              <w:rPr>
                <w:rFonts w:ascii="Arial" w:hAnsi="Arial" w:cs="Arial"/>
                <w:b/>
                <w:bCs/>
                <w:noProof/>
                <w:color w:val="000000"/>
                <w:sz w:val="16"/>
                <w:szCs w:val="16"/>
              </w:rPr>
            </w:pPr>
          </w:p>
        </w:tc>
        <w:tc>
          <w:tcPr>
            <w:tcW w:w="2532"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69"/>
        </w:trPr>
        <w:tc>
          <w:tcPr>
            <w:tcW w:w="7122" w:type="dxa"/>
            <w:tcBorders>
              <w:top w:val="nil"/>
              <w:left w:val="nil"/>
              <w:bottom w:val="single" w:sz="4" w:space="0" w:color="auto"/>
              <w:right w:val="nil"/>
            </w:tcBorders>
            <w:noWrap/>
            <w:vAlign w:val="bottom"/>
          </w:tcPr>
          <w:p>
            <w:pPr>
              <w:pStyle w:val="Normal9"/>
              <w:suppressAutoHyphens w:val="0"/>
              <w:spacing w:line="256" w:lineRule="auto"/>
              <w:rPr>
                <w:rFonts w:ascii="Arial" w:hAnsi="Arial" w:cs="Arial"/>
                <w:b/>
                <w:noProof/>
                <w:color w:val="000000"/>
                <w:sz w:val="16"/>
                <w:szCs w:val="16"/>
              </w:rPr>
            </w:pP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b/>
                <w:noProof/>
                <w:color w:val="000000"/>
                <w:sz w:val="16"/>
              </w:rPr>
              <w:t>Неразпределена печалба</w:t>
            </w:r>
          </w:p>
        </w:tc>
      </w:tr>
      <w:tr>
        <w:trPr>
          <w:trHeight w:val="269"/>
        </w:trPr>
        <w:tc>
          <w:tcPr>
            <w:tcW w:w="7122" w:type="dxa"/>
            <w:tcBorders>
              <w:top w:val="single" w:sz="4" w:space="0" w:color="auto"/>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Крайно салдо съгласно МСС 39 (31 декември 2017 г.)</w:t>
            </w:r>
          </w:p>
        </w:tc>
        <w:tc>
          <w:tcPr>
            <w:tcW w:w="2532" w:type="dxa"/>
            <w:tcBorders>
              <w:top w:val="single" w:sz="4" w:space="0" w:color="auto"/>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 xml:space="preserve">194 651 </w:t>
            </w:r>
          </w:p>
        </w:tc>
      </w:tr>
      <w:tr>
        <w:trPr>
          <w:trHeight w:val="269"/>
        </w:trPr>
        <w:tc>
          <w:tcPr>
            <w:tcW w:w="7122" w:type="dxa"/>
            <w:noWrap/>
            <w:vAlign w:val="bottom"/>
            <w:hideMark/>
          </w:tcPr>
          <w:p>
            <w:pPr>
              <w:pStyle w:val="Normal9"/>
              <w:rPr>
                <w:rFonts w:ascii="Arial" w:hAnsi="Arial" w:cs="Arial"/>
                <w:b/>
                <w:bCs/>
                <w:noProof/>
                <w:color w:val="000000"/>
                <w:sz w:val="16"/>
                <w:szCs w:val="16"/>
              </w:rPr>
            </w:pPr>
          </w:p>
        </w:tc>
        <w:tc>
          <w:tcPr>
            <w:tcW w:w="2532" w:type="dxa"/>
            <w:noWrap/>
            <w:vAlign w:val="bottom"/>
            <w:hideMark/>
          </w:tcPr>
          <w:p>
            <w:pPr>
              <w:pStyle w:val="Normal9"/>
              <w:suppressAutoHyphens w:val="0"/>
              <w:spacing w:line="256" w:lineRule="auto"/>
              <w:rPr>
                <w:rFonts w:asciiTheme="minorHAnsi" w:eastAsiaTheme="minorHAnsi" w:hAnsiTheme="minorHAnsi" w:cstheme="minorBidi"/>
                <w:noProof/>
                <w:sz w:val="20"/>
                <w:szCs w:val="20"/>
              </w:rPr>
            </w:pPr>
          </w:p>
        </w:tc>
      </w:tr>
      <w:tr>
        <w:trPr>
          <w:trHeight w:val="269"/>
        </w:trPr>
        <w:tc>
          <w:tcPr>
            <w:tcW w:w="7122"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Прекласификация на акции и други ценни книжа с променлива доходност от AFS на FVTPL</w:t>
            </w:r>
          </w:p>
        </w:tc>
        <w:tc>
          <w:tcPr>
            <w:tcW w:w="2532"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125 816 </w:t>
            </w:r>
          </w:p>
        </w:tc>
      </w:tr>
      <w:tr>
        <w:trPr>
          <w:trHeight w:val="269"/>
        </w:trPr>
        <w:tc>
          <w:tcPr>
            <w:tcW w:w="7122"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xml:space="preserve">Признаване на ОКЗ съгласно МСФО 9 (заеми и аванси) </w:t>
            </w:r>
          </w:p>
        </w:tc>
        <w:tc>
          <w:tcPr>
            <w:tcW w:w="2532"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-49 712 </w:t>
            </w:r>
          </w:p>
        </w:tc>
      </w:tr>
      <w:tr>
        <w:trPr>
          <w:trHeight w:val="269"/>
        </w:trPr>
        <w:tc>
          <w:tcPr>
            <w:tcW w:w="7122" w:type="dxa"/>
            <w:noWrap/>
            <w:vAlign w:val="bottom"/>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xml:space="preserve">Признаване на провизии съгласно МСФО 9 (кредитни ангажименти) </w:t>
            </w:r>
          </w:p>
        </w:tc>
        <w:tc>
          <w:tcPr>
            <w:tcW w:w="2532" w:type="dxa"/>
            <w:noWrap/>
            <w:vAlign w:val="bottom"/>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-4 156</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r>
      <w:tr>
        <w:trPr>
          <w:trHeight w:val="269"/>
        </w:trPr>
        <w:tc>
          <w:tcPr>
            <w:tcW w:w="7122" w:type="dxa"/>
            <w:tcBorders>
              <w:top w:val="nil"/>
              <w:left w:val="nil"/>
              <w:bottom w:val="single" w:sz="4" w:space="0" w:color="auto"/>
              <w:right w:val="nil"/>
            </w:tcBorders>
            <w:noWrap/>
            <w:vAlign w:val="bottom"/>
            <w:hideMark/>
          </w:tcPr>
          <w:p>
            <w:pPr>
              <w:pStyle w:val="Normal9"/>
              <w:suppressAutoHyphens w:val="0"/>
              <w:spacing w:line="256" w:lineRule="auto"/>
              <w:rPr>
                <w:rFonts w:ascii="Arial" w:hAnsi="Arial" w:cs="Arial"/>
                <w:b/>
                <w:bCs/>
                <w:noProof/>
                <w:color w:val="000000"/>
                <w:sz w:val="16"/>
                <w:szCs w:val="16"/>
              </w:rPr>
            </w:pPr>
            <w:r>
              <w:rPr>
                <w:rFonts w:ascii="Arial" w:hAnsi="Arial"/>
                <w:b/>
                <w:noProof/>
                <w:color w:val="000000"/>
                <w:sz w:val="16"/>
              </w:rPr>
              <w:t>Начално салдо съгласно МСФО 9 (1 януари 2018 г.)</w:t>
            </w:r>
          </w:p>
        </w:tc>
        <w:tc>
          <w:tcPr>
            <w:tcW w:w="2532" w:type="dxa"/>
            <w:tcBorders>
              <w:top w:val="nil"/>
              <w:left w:val="nil"/>
              <w:bottom w:val="single" w:sz="4" w:space="0" w:color="auto"/>
              <w:right w:val="nil"/>
            </w:tcBorders>
            <w:noWrap/>
            <w:vAlign w:val="bottom"/>
            <w:hideMark/>
          </w:tcPr>
          <w:p>
            <w:pPr>
              <w:pStyle w:val="Normal9"/>
              <w:suppressAutoHyphens w:val="0"/>
              <w:spacing w:line="256" w:lineRule="auto"/>
              <w:jc w:val="right"/>
              <w:rPr>
                <w:rFonts w:ascii="Arial" w:hAnsi="Arial" w:cs="Arial"/>
                <w:b/>
                <w:bCs/>
                <w:noProof/>
                <w:color w:val="000000"/>
                <w:sz w:val="16"/>
                <w:szCs w:val="16"/>
              </w:rPr>
            </w:pPr>
            <w:r>
              <w:rPr>
                <w:rFonts w:ascii="Arial" w:hAnsi="Arial"/>
                <w:b/>
                <w:noProof/>
                <w:color w:val="000000"/>
                <w:sz w:val="16"/>
              </w:rPr>
              <w:t xml:space="preserve">266 599 </w:t>
            </w:r>
          </w:p>
        </w:tc>
      </w:tr>
      <w:tr>
        <w:trPr>
          <w:trHeight w:val="269"/>
        </w:trPr>
        <w:tc>
          <w:tcPr>
            <w:tcW w:w="7122"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 </w:t>
            </w:r>
          </w:p>
        </w:tc>
        <w:tc>
          <w:tcPr>
            <w:tcW w:w="2532" w:type="dxa"/>
            <w:noWrap/>
            <w:vAlign w:val="bottom"/>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w:t>
            </w:r>
          </w:p>
        </w:tc>
      </w:tr>
      <w:tr>
        <w:trPr>
          <w:trHeight w:val="269"/>
        </w:trPr>
        <w:tc>
          <w:tcPr>
            <w:tcW w:w="7122" w:type="dxa"/>
            <w:shd w:val="clear" w:color="auto" w:fill="BFBFBF"/>
            <w:noWrap/>
            <w:vAlign w:val="center"/>
            <w:hideMark/>
          </w:tcPr>
          <w:p>
            <w:pPr>
              <w:pStyle w:val="Normal9"/>
              <w:suppressAutoHyphens w:val="0"/>
              <w:spacing w:line="256" w:lineRule="auto"/>
              <w:rPr>
                <w:rFonts w:ascii="Arial" w:hAnsi="Arial" w:cs="Arial"/>
                <w:b/>
                <w:bCs/>
                <w:iCs/>
                <w:noProof/>
                <w:color w:val="000000"/>
                <w:sz w:val="16"/>
                <w:szCs w:val="16"/>
              </w:rPr>
            </w:pPr>
            <w:r>
              <w:rPr>
                <w:rFonts w:ascii="Arial" w:hAnsi="Arial"/>
                <w:b/>
                <w:noProof/>
                <w:color w:val="000000"/>
                <w:sz w:val="16"/>
              </w:rPr>
              <w:t>Общо промени в собствения капитал, дължащи се на приемането на МСФО 9</w:t>
            </w:r>
          </w:p>
        </w:tc>
        <w:tc>
          <w:tcPr>
            <w:tcW w:w="2532" w:type="dxa"/>
            <w:shd w:val="clear" w:color="auto" w:fill="BFBFBF"/>
            <w:noWrap/>
            <w:vAlign w:val="center"/>
            <w:hideMark/>
          </w:tcPr>
          <w:p>
            <w:pPr>
              <w:pStyle w:val="Normal9"/>
              <w:suppressAutoHyphens w:val="0"/>
              <w:spacing w:line="256" w:lineRule="auto"/>
              <w:jc w:val="right"/>
              <w:rPr>
                <w:rFonts w:ascii="Arial" w:hAnsi="Arial" w:cs="Arial"/>
                <w:b/>
                <w:bCs/>
                <w:iCs/>
                <w:noProof/>
                <w:color w:val="000000"/>
                <w:sz w:val="16"/>
                <w:szCs w:val="16"/>
              </w:rPr>
            </w:pPr>
            <w:r>
              <w:rPr>
                <w:rFonts w:ascii="Arial" w:hAnsi="Arial"/>
                <w:b/>
                <w:noProof/>
                <w:color w:val="000000"/>
                <w:sz w:val="16"/>
              </w:rPr>
              <w:t xml:space="preserve">- 53,868 </w:t>
            </w:r>
          </w:p>
        </w:tc>
      </w:tr>
    </w:tbl>
    <w:p>
      <w:pPr>
        <w:pStyle w:val="Notes1"/>
        <w:numPr>
          <w:ilvl w:val="0"/>
          <w:numId w:val="0"/>
        </w:numPr>
        <w:tabs>
          <w:tab w:val="right" w:pos="-2700"/>
        </w:tabs>
        <w:spacing w:before="60" w:after="60"/>
        <w:rPr>
          <w:iCs/>
          <w:noProof/>
          <w:sz w:val="16"/>
          <w:szCs w:val="16"/>
        </w:rPr>
      </w:pPr>
      <w:r>
        <w:rPr>
          <w:b w:val="0"/>
          <w:noProof/>
          <w:sz w:val="16"/>
        </w:rPr>
        <w:t>В следната таблица се извършва равнение на средствата за обезценка в края на периода, оценени в съответствие с МСС 39, към новите средства за обезценка, оценени в съответствие с МСФО 9:</w:t>
      </w:r>
    </w:p>
    <w:tbl>
      <w:tblPr>
        <w:tblW w:w="9648" w:type="dxa"/>
        <w:tblLook w:val="04A0" w:firstRow="1" w:lastRow="0" w:firstColumn="1" w:lastColumn="0" w:noHBand="0" w:noVBand="1"/>
      </w:tblPr>
      <w:tblGrid>
        <w:gridCol w:w="3224"/>
        <w:gridCol w:w="1074"/>
        <w:gridCol w:w="1659"/>
        <w:gridCol w:w="1618"/>
        <w:gridCol w:w="795"/>
        <w:gridCol w:w="1278"/>
      </w:tblGrid>
      <w:tr>
        <w:trPr>
          <w:trHeight w:val="266"/>
        </w:trPr>
        <w:tc>
          <w:tcPr>
            <w:tcW w:w="3224" w:type="dxa"/>
            <w:tcBorders>
              <w:top w:val="single" w:sz="8" w:space="0" w:color="auto"/>
              <w:left w:val="nil"/>
              <w:bottom w:val="nil"/>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в хиляди евро</w:t>
            </w:r>
          </w:p>
        </w:tc>
        <w:tc>
          <w:tcPr>
            <w:tcW w:w="5146" w:type="dxa"/>
            <w:gridSpan w:val="4"/>
            <w:tcBorders>
              <w:top w:val="single" w:sz="8" w:space="0" w:color="auto"/>
              <w:left w:val="nil"/>
              <w:bottom w:val="single" w:sz="8" w:space="0" w:color="auto"/>
              <w:right w:val="nil"/>
            </w:tcBorders>
            <w:vAlign w:val="bottom"/>
            <w:hideMark/>
          </w:tcPr>
          <w:p>
            <w:pPr>
              <w:pStyle w:val="Normal9"/>
              <w:suppressAutoHyphens w:val="0"/>
              <w:spacing w:line="256" w:lineRule="auto"/>
              <w:jc w:val="center"/>
              <w:rPr>
                <w:rFonts w:ascii="Arial" w:hAnsi="Arial" w:cs="Arial"/>
                <w:b/>
                <w:noProof/>
                <w:color w:val="000000"/>
                <w:sz w:val="16"/>
                <w:szCs w:val="16"/>
              </w:rPr>
            </w:pPr>
            <w:r>
              <w:rPr>
                <w:rFonts w:ascii="Arial" w:hAnsi="Arial"/>
                <w:b/>
                <w:noProof/>
                <w:color w:val="000000"/>
                <w:sz w:val="16"/>
              </w:rPr>
              <w:t>1.1.2018 г.</w:t>
            </w:r>
          </w:p>
        </w:tc>
        <w:tc>
          <w:tcPr>
            <w:tcW w:w="1278" w:type="dxa"/>
            <w:tcBorders>
              <w:top w:val="single" w:sz="8" w:space="0" w:color="auto"/>
              <w:left w:val="nil"/>
              <w:bottom w:val="single" w:sz="8" w:space="0" w:color="auto"/>
              <w:right w:val="nil"/>
            </w:tcBorders>
            <w:noWrap/>
            <w:vAlign w:val="bottom"/>
            <w:hideMark/>
          </w:tcPr>
          <w:p>
            <w:pPr>
              <w:pStyle w:val="Normal9"/>
              <w:suppressAutoHyphens w:val="0"/>
              <w:spacing w:line="256" w:lineRule="auto"/>
              <w:jc w:val="center"/>
              <w:rPr>
                <w:rFonts w:ascii="Arial" w:hAnsi="Arial" w:cs="Arial"/>
                <w:b/>
                <w:noProof/>
                <w:color w:val="000000"/>
                <w:sz w:val="16"/>
                <w:szCs w:val="16"/>
              </w:rPr>
            </w:pPr>
            <w:r>
              <w:rPr>
                <w:rFonts w:ascii="Arial" w:hAnsi="Arial"/>
                <w:b/>
                <w:noProof/>
                <w:color w:val="000000"/>
                <w:sz w:val="16"/>
              </w:rPr>
              <w:t>31.12.2017 г.</w:t>
            </w:r>
          </w:p>
        </w:tc>
      </w:tr>
      <w:tr>
        <w:trPr>
          <w:trHeight w:val="399"/>
        </w:trPr>
        <w:tc>
          <w:tcPr>
            <w:tcW w:w="3224" w:type="dxa"/>
            <w:tcBorders>
              <w:top w:val="nil"/>
              <w:left w:val="nil"/>
              <w:bottom w:val="single" w:sz="8" w:space="0" w:color="auto"/>
              <w:right w:val="nil"/>
            </w:tcBorders>
            <w:noWrap/>
            <w:vAlign w:val="bottom"/>
            <w:hideMark/>
          </w:tcPr>
          <w:p>
            <w:pPr>
              <w:pStyle w:val="Normal9"/>
              <w:suppressAutoHyphens w:val="0"/>
              <w:spacing w:line="256" w:lineRule="auto"/>
              <w:jc w:val="center"/>
              <w:rPr>
                <w:rFonts w:ascii="Arial" w:hAnsi="Arial" w:cs="Arial"/>
                <w:b/>
                <w:noProof/>
                <w:color w:val="000000"/>
                <w:sz w:val="16"/>
                <w:szCs w:val="16"/>
              </w:rPr>
            </w:pPr>
            <w:r>
              <w:rPr>
                <w:rFonts w:ascii="Arial" w:hAnsi="Arial"/>
                <w:b/>
                <w:noProof/>
                <w:color w:val="000000"/>
                <w:sz w:val="16"/>
              </w:rPr>
              <w:t>Средства за обезценка за</w:t>
            </w:r>
          </w:p>
        </w:tc>
        <w:tc>
          <w:tcPr>
            <w:tcW w:w="1074"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12-месечни ОКЗ (етап 1)</w:t>
            </w:r>
          </w:p>
        </w:tc>
        <w:tc>
          <w:tcPr>
            <w:tcW w:w="1659"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ОКЗ през целия жизнен цикъл без кредитна обезценка (етап 2)</w:t>
            </w:r>
          </w:p>
        </w:tc>
        <w:tc>
          <w:tcPr>
            <w:tcW w:w="1618" w:type="dxa"/>
            <w:tcBorders>
              <w:top w:val="single" w:sz="8" w:space="0" w:color="auto"/>
              <w:left w:val="nil"/>
              <w:bottom w:val="single" w:sz="8" w:space="0" w:color="auto"/>
              <w:right w:val="nil"/>
            </w:tcBorders>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ОКЗ през целия жизнен цикъл с кредитна обезценка (етап 3)</w:t>
            </w:r>
          </w:p>
        </w:tc>
        <w:tc>
          <w:tcPr>
            <w:tcW w:w="795" w:type="dxa"/>
            <w:tcBorders>
              <w:top w:val="single" w:sz="8" w:space="0" w:color="auto"/>
              <w:left w:val="nil"/>
              <w:bottom w:val="single" w:sz="8" w:space="0" w:color="auto"/>
              <w:right w:val="nil"/>
            </w:tcBorders>
            <w:vAlign w:val="bottom"/>
            <w:hideMark/>
          </w:tcPr>
          <w:p>
            <w:pPr>
              <w:pStyle w:val="Normal9"/>
              <w:suppressAutoHyphens w:val="0"/>
              <w:spacing w:line="256" w:lineRule="auto"/>
              <w:jc w:val="center"/>
              <w:rPr>
                <w:rFonts w:ascii="Arial" w:hAnsi="Arial" w:cs="Arial"/>
                <w:b/>
                <w:noProof/>
                <w:color w:val="000000"/>
                <w:sz w:val="16"/>
                <w:szCs w:val="16"/>
              </w:rPr>
            </w:pPr>
            <w:r>
              <w:rPr>
                <w:rFonts w:ascii="Arial" w:hAnsi="Arial"/>
                <w:b/>
                <w:noProof/>
                <w:color w:val="000000"/>
                <w:sz w:val="16"/>
              </w:rPr>
              <w:t>Общо</w:t>
            </w:r>
          </w:p>
        </w:tc>
        <w:tc>
          <w:tcPr>
            <w:tcW w:w="1278" w:type="dxa"/>
            <w:tcBorders>
              <w:top w:val="single" w:sz="8" w:space="0" w:color="auto"/>
              <w:left w:val="nil"/>
              <w:bottom w:val="single" w:sz="8" w:space="0" w:color="auto"/>
              <w:right w:val="nil"/>
            </w:tcBorders>
            <w:noWrap/>
            <w:vAlign w:val="bottom"/>
            <w:hideMark/>
          </w:tcPr>
          <w:p>
            <w:pPr>
              <w:pStyle w:val="Normal9"/>
              <w:suppressAutoHyphens w:val="0"/>
              <w:spacing w:line="256" w:lineRule="auto"/>
              <w:jc w:val="center"/>
              <w:rPr>
                <w:rFonts w:ascii="Arial" w:hAnsi="Arial" w:cs="Arial"/>
                <w:b/>
                <w:noProof/>
                <w:color w:val="000000"/>
                <w:sz w:val="16"/>
                <w:szCs w:val="16"/>
              </w:rPr>
            </w:pPr>
            <w:r>
              <w:rPr>
                <w:rFonts w:ascii="Arial" w:hAnsi="Arial"/>
                <w:b/>
                <w:noProof/>
                <w:color w:val="000000"/>
                <w:sz w:val="16"/>
              </w:rPr>
              <w:t>Общо</w:t>
            </w:r>
          </w:p>
        </w:tc>
      </w:tr>
      <w:tr>
        <w:trPr>
          <w:trHeight w:val="266"/>
        </w:trPr>
        <w:tc>
          <w:tcPr>
            <w:tcW w:w="3224" w:type="dxa"/>
            <w:tcBorders>
              <w:top w:val="single" w:sz="8" w:space="0" w:color="auto"/>
              <w:left w:val="nil"/>
              <w:bottom w:val="nil"/>
              <w:right w:val="nil"/>
            </w:tcBorders>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1. Пари и парични еквиваленти по АС съгласно МСС 39 и МСФО 9</w:t>
            </w:r>
          </w:p>
        </w:tc>
        <w:tc>
          <w:tcPr>
            <w:tcW w:w="1074"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659"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618"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795"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278" w:type="dxa"/>
            <w:tcBorders>
              <w:top w:val="single" w:sz="8" w:space="0" w:color="auto"/>
              <w:left w:val="nil"/>
              <w:bottom w:val="nil"/>
              <w:right w:val="nil"/>
            </w:tcBorders>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r>
      <w:tr>
        <w:trPr>
          <w:trHeight w:val="266"/>
        </w:trPr>
        <w:tc>
          <w:tcPr>
            <w:tcW w:w="3224" w:type="dxa"/>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2. Касови финансови активи</w:t>
            </w:r>
          </w:p>
        </w:tc>
        <w:tc>
          <w:tcPr>
            <w:tcW w:w="1074"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659"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161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795"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27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r>
      <w:tr>
        <w:trPr>
          <w:trHeight w:val="266"/>
        </w:trPr>
        <w:tc>
          <w:tcPr>
            <w:tcW w:w="3224" w:type="dxa"/>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3.1 Кредити и аванси — счетоводен баланс</w:t>
            </w:r>
          </w:p>
        </w:tc>
        <w:tc>
          <w:tcPr>
            <w:tcW w:w="1074"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19 738 </w:t>
            </w:r>
          </w:p>
        </w:tc>
        <w:tc>
          <w:tcPr>
            <w:tcW w:w="1659"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29 976 </w:t>
            </w:r>
          </w:p>
        </w:tc>
        <w:tc>
          <w:tcPr>
            <w:tcW w:w="161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113 255 </w:t>
            </w:r>
          </w:p>
        </w:tc>
        <w:tc>
          <w:tcPr>
            <w:tcW w:w="795"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162 969 </w:t>
            </w:r>
          </w:p>
        </w:tc>
        <w:tc>
          <w:tcPr>
            <w:tcW w:w="127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113 255 </w:t>
            </w:r>
          </w:p>
        </w:tc>
      </w:tr>
      <w:tr>
        <w:trPr>
          <w:trHeight w:val="266"/>
        </w:trPr>
        <w:tc>
          <w:tcPr>
            <w:tcW w:w="3224" w:type="dxa"/>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3.2 Кредитни ангажименти — задбалансови позиции</w:t>
            </w:r>
          </w:p>
        </w:tc>
        <w:tc>
          <w:tcPr>
            <w:tcW w:w="1074"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1 993 </w:t>
            </w:r>
          </w:p>
        </w:tc>
        <w:tc>
          <w:tcPr>
            <w:tcW w:w="1659"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2 163 </w:t>
            </w:r>
          </w:p>
        </w:tc>
        <w:tc>
          <w:tcPr>
            <w:tcW w:w="161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795"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4 156 </w:t>
            </w:r>
          </w:p>
        </w:tc>
        <w:tc>
          <w:tcPr>
            <w:tcW w:w="127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r>
      <w:tr>
        <w:trPr>
          <w:trHeight w:val="266"/>
        </w:trPr>
        <w:tc>
          <w:tcPr>
            <w:tcW w:w="3224" w:type="dxa"/>
            <w:noWrap/>
            <w:vAlign w:val="bottom"/>
            <w:hideMark/>
          </w:tcPr>
          <w:p>
            <w:pPr>
              <w:pStyle w:val="Normal9"/>
              <w:suppressAutoHyphens w:val="0"/>
              <w:spacing w:line="256" w:lineRule="auto"/>
              <w:rPr>
                <w:rFonts w:ascii="Arial" w:hAnsi="Arial" w:cs="Arial"/>
                <w:noProof/>
                <w:color w:val="000000"/>
                <w:sz w:val="16"/>
                <w:szCs w:val="16"/>
              </w:rPr>
            </w:pPr>
            <w:r>
              <w:rPr>
                <w:rFonts w:ascii="Arial" w:hAnsi="Arial"/>
                <w:noProof/>
                <w:color w:val="000000"/>
                <w:sz w:val="16"/>
              </w:rPr>
              <w:t>4. Договори за издадени финансови гаранции</w:t>
            </w:r>
          </w:p>
        </w:tc>
        <w:tc>
          <w:tcPr>
            <w:tcW w:w="1074"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w:t>
            </w:r>
          </w:p>
        </w:tc>
        <w:tc>
          <w:tcPr>
            <w:tcW w:w="1659"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484 </w:t>
            </w:r>
          </w:p>
        </w:tc>
        <w:tc>
          <w:tcPr>
            <w:tcW w:w="161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   </w:t>
            </w:r>
          </w:p>
        </w:tc>
        <w:tc>
          <w:tcPr>
            <w:tcW w:w="795"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484 </w:t>
            </w:r>
          </w:p>
        </w:tc>
        <w:tc>
          <w:tcPr>
            <w:tcW w:w="1278" w:type="dxa"/>
            <w:noWrap/>
            <w:vAlign w:val="center"/>
            <w:hideMark/>
          </w:tcPr>
          <w:p>
            <w:pPr>
              <w:pStyle w:val="Normal9"/>
              <w:suppressAutoHyphens w:val="0"/>
              <w:spacing w:line="256" w:lineRule="auto"/>
              <w:jc w:val="right"/>
              <w:rPr>
                <w:rFonts w:ascii="Arial" w:hAnsi="Arial" w:cs="Arial"/>
                <w:noProof/>
                <w:color w:val="000000"/>
                <w:sz w:val="16"/>
                <w:szCs w:val="16"/>
              </w:rPr>
            </w:pPr>
            <w:r>
              <w:rPr>
                <w:rFonts w:ascii="Arial" w:hAnsi="Arial"/>
                <w:noProof/>
                <w:color w:val="000000"/>
                <w:sz w:val="16"/>
              </w:rPr>
              <w:t xml:space="preserve">  484 </w:t>
            </w:r>
          </w:p>
        </w:tc>
      </w:tr>
      <w:tr>
        <w:trPr>
          <w:trHeight w:val="266"/>
        </w:trPr>
        <w:tc>
          <w:tcPr>
            <w:tcW w:w="3224"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Общо</w:t>
            </w:r>
          </w:p>
        </w:tc>
        <w:tc>
          <w:tcPr>
            <w:tcW w:w="1074"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 xml:space="preserve">21 731 </w:t>
            </w:r>
          </w:p>
        </w:tc>
        <w:tc>
          <w:tcPr>
            <w:tcW w:w="1659"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 xml:space="preserve">                   32 623 </w:t>
            </w:r>
          </w:p>
        </w:tc>
        <w:tc>
          <w:tcPr>
            <w:tcW w:w="1618"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 xml:space="preserve">               113 255 </w:t>
            </w:r>
          </w:p>
        </w:tc>
        <w:tc>
          <w:tcPr>
            <w:tcW w:w="795" w:type="dxa"/>
            <w:shd w:val="clear" w:color="auto" w:fill="BFBFBF"/>
            <w:noWrap/>
            <w:vAlign w:val="center"/>
            <w:hideMark/>
          </w:tcPr>
          <w:p>
            <w:pPr>
              <w:pStyle w:val="Normal9"/>
              <w:suppressAutoHyphens w:val="0"/>
              <w:spacing w:line="256" w:lineRule="auto"/>
              <w:rPr>
                <w:rFonts w:ascii="Arial" w:hAnsi="Arial" w:cs="Arial"/>
                <w:b/>
                <w:noProof/>
                <w:color w:val="000000"/>
                <w:sz w:val="16"/>
                <w:szCs w:val="16"/>
              </w:rPr>
            </w:pPr>
            <w:r>
              <w:rPr>
                <w:rFonts w:ascii="Arial" w:hAnsi="Arial"/>
                <w:b/>
                <w:noProof/>
                <w:color w:val="000000"/>
                <w:sz w:val="16"/>
              </w:rPr>
              <w:t xml:space="preserve">167 609 </w:t>
            </w:r>
          </w:p>
        </w:tc>
        <w:tc>
          <w:tcPr>
            <w:tcW w:w="1278" w:type="dxa"/>
            <w:shd w:val="clear" w:color="auto" w:fill="BFBFBF"/>
            <w:noWrap/>
            <w:vAlign w:val="center"/>
            <w:hideMark/>
          </w:tcPr>
          <w:p>
            <w:pPr>
              <w:pStyle w:val="Normal9"/>
              <w:suppressAutoHyphens w:val="0"/>
              <w:spacing w:line="256" w:lineRule="auto"/>
              <w:jc w:val="right"/>
              <w:rPr>
                <w:rFonts w:ascii="Arial" w:hAnsi="Arial" w:cs="Arial"/>
                <w:b/>
                <w:noProof/>
                <w:color w:val="000000"/>
                <w:sz w:val="16"/>
                <w:szCs w:val="16"/>
              </w:rPr>
            </w:pPr>
            <w:r>
              <w:rPr>
                <w:rFonts w:ascii="Arial" w:hAnsi="Arial"/>
                <w:b/>
                <w:noProof/>
                <w:color w:val="000000"/>
                <w:sz w:val="16"/>
              </w:rPr>
              <w:t xml:space="preserve">        113 739 </w:t>
            </w:r>
          </w:p>
        </w:tc>
      </w:tr>
    </w:tbl>
    <w:p>
      <w:pPr>
        <w:pStyle w:val="Notes2"/>
        <w:pageBreakBefore/>
        <w:numPr>
          <w:ilvl w:val="0"/>
          <w:numId w:val="0"/>
        </w:numPr>
        <w:ind w:left="432" w:hanging="432"/>
        <w:rPr>
          <w:noProof/>
        </w:rPr>
      </w:pPr>
      <w:r>
        <w:rPr>
          <w:noProof/>
        </w:rPr>
        <w:t>3</w:t>
      </w:r>
      <w:r>
        <w:rPr>
          <w:noProof/>
        </w:rPr>
        <w:tab/>
        <w:t>Управление на риска</w:t>
      </w:r>
    </w:p>
    <w:p>
      <w:pPr>
        <w:pStyle w:val="Title11a"/>
        <w:numPr>
          <w:ilvl w:val="0"/>
          <w:numId w:val="0"/>
        </w:numPr>
        <w:spacing w:before="60" w:after="60"/>
        <w:rPr>
          <w:noProof/>
          <w:sz w:val="16"/>
          <w:szCs w:val="16"/>
        </w:rPr>
      </w:pPr>
    </w:p>
    <w:p>
      <w:pPr>
        <w:pStyle w:val="Notes2"/>
        <w:numPr>
          <w:ilvl w:val="0"/>
          <w:numId w:val="0"/>
        </w:numPr>
        <w:tabs>
          <w:tab w:val="clear" w:pos="4320"/>
          <w:tab w:val="clear" w:pos="8640"/>
          <w:tab w:val="right" w:pos="-2700"/>
        </w:tabs>
        <w:spacing w:before="60" w:after="60"/>
        <w:rPr>
          <w:b w:val="0"/>
          <w:iCs/>
          <w:noProof/>
          <w:sz w:val="16"/>
          <w:szCs w:val="16"/>
        </w:rPr>
      </w:pPr>
      <w:r>
        <w:rPr>
          <w:b w:val="0"/>
          <w:noProof/>
          <w:sz w:val="16"/>
        </w:rPr>
        <w:t>Настоящата бележка съдържа информация за експозицията на механизма и неговото управление и контрол на финансовите и кредитните рискове, и по-специално на основните рискове, свързани с използването на финансови инструменти. Те са:</w:t>
      </w:r>
    </w:p>
    <w:p>
      <w:pPr>
        <w:pStyle w:val="Notes2"/>
        <w:numPr>
          <w:ilvl w:val="0"/>
          <w:numId w:val="0"/>
        </w:numPr>
        <w:tabs>
          <w:tab w:val="clear" w:pos="4320"/>
          <w:tab w:val="clear" w:pos="8640"/>
          <w:tab w:val="right" w:pos="-2700"/>
        </w:tabs>
        <w:spacing w:before="60" w:after="60"/>
        <w:rPr>
          <w:b w:val="0"/>
          <w:iCs/>
          <w:noProof/>
          <w:sz w:val="16"/>
          <w:szCs w:val="16"/>
        </w:rPr>
      </w:pPr>
    </w:p>
    <w:p>
      <w:pPr>
        <w:pStyle w:val="Notes2"/>
        <w:numPr>
          <w:ilvl w:val="0"/>
          <w:numId w:val="76"/>
        </w:numPr>
        <w:spacing w:before="60" w:after="60"/>
        <w:rPr>
          <w:b w:val="0"/>
          <w:noProof/>
          <w:sz w:val="16"/>
          <w:szCs w:val="16"/>
        </w:rPr>
      </w:pPr>
      <w:r>
        <w:rPr>
          <w:b w:val="0"/>
          <w:noProof/>
          <w:sz w:val="16"/>
        </w:rPr>
        <w:t>кредитен риск — рискът от загуба, която е резултат от неизпълнение на клиент или контрагент, и произтичащ от кредитна експозиция във всякаква форма, включително риска от неизпълнение на плащане;</w:t>
      </w:r>
    </w:p>
    <w:p>
      <w:pPr>
        <w:pStyle w:val="Notes2"/>
        <w:numPr>
          <w:ilvl w:val="0"/>
          <w:numId w:val="76"/>
        </w:numPr>
        <w:spacing w:before="60" w:after="60"/>
        <w:rPr>
          <w:b w:val="0"/>
          <w:noProof/>
          <w:sz w:val="16"/>
          <w:szCs w:val="16"/>
        </w:rPr>
      </w:pPr>
      <w:r>
        <w:rPr>
          <w:b w:val="0"/>
          <w:noProof/>
          <w:sz w:val="16"/>
        </w:rPr>
        <w:t>ликвиден риск — рискът даден субект да не бъде в състояние да финансира увеличения на активите и да изпълнява задължения, когато те станат изискуеми, без да търпи неприемливи загуби;</w:t>
      </w:r>
    </w:p>
    <w:p>
      <w:pPr>
        <w:pStyle w:val="Notes2"/>
        <w:numPr>
          <w:ilvl w:val="0"/>
          <w:numId w:val="76"/>
        </w:numPr>
        <w:spacing w:before="60" w:after="60"/>
        <w:rPr>
          <w:noProof/>
          <w:sz w:val="16"/>
          <w:szCs w:val="16"/>
        </w:rPr>
      </w:pPr>
      <w:r>
        <w:rPr>
          <w:b w:val="0"/>
          <w:noProof/>
          <w:sz w:val="16"/>
        </w:rPr>
        <w:t>пазарен риск — рискът, че промените в пазарните цени и проценти, например лихвени проценти, цени на капиталови инструменти, валутни курсове, ще засегнат приходите на субекта или стойността на неговото участие във финансови инструменти.</w:t>
      </w:r>
    </w:p>
    <w:p>
      <w:pPr>
        <w:pStyle w:val="Notes2"/>
        <w:numPr>
          <w:ilvl w:val="0"/>
          <w:numId w:val="0"/>
        </w:numPr>
        <w:spacing w:before="60" w:after="60"/>
        <w:rPr>
          <w:b w:val="0"/>
          <w:noProof/>
          <w:sz w:val="16"/>
          <w:szCs w:val="16"/>
        </w:rPr>
      </w:pPr>
    </w:p>
    <w:p>
      <w:pPr>
        <w:pStyle w:val="Title110"/>
        <w:numPr>
          <w:ilvl w:val="0"/>
          <w:numId w:val="0"/>
        </w:numPr>
        <w:spacing w:before="60" w:after="60"/>
        <w:rPr>
          <w:b/>
          <w:noProof/>
          <w:sz w:val="16"/>
          <w:szCs w:val="16"/>
        </w:rPr>
      </w:pPr>
      <w:r>
        <w:rPr>
          <w:b/>
          <w:noProof/>
          <w:sz w:val="16"/>
        </w:rPr>
        <w:t>3.1. Организация на управлението на риска</w:t>
      </w:r>
    </w:p>
    <w:p>
      <w:pPr>
        <w:pStyle w:val="Title110"/>
        <w:numPr>
          <w:ilvl w:val="0"/>
          <w:numId w:val="0"/>
        </w:numPr>
        <w:jc w:val="center"/>
        <w:rPr>
          <w:noProof/>
          <w:sz w:val="16"/>
          <w:szCs w:val="16"/>
        </w:rPr>
      </w:pPr>
    </w:p>
    <w:p>
      <w:pPr>
        <w:pStyle w:val="Notes2"/>
        <w:numPr>
          <w:ilvl w:val="0"/>
          <w:numId w:val="0"/>
        </w:numPr>
        <w:tabs>
          <w:tab w:val="clear" w:pos="4320"/>
          <w:tab w:val="clear" w:pos="8640"/>
          <w:tab w:val="right" w:pos="-2700"/>
        </w:tabs>
        <w:spacing w:before="60" w:after="60"/>
        <w:rPr>
          <w:b w:val="0"/>
          <w:noProof/>
          <w:sz w:val="16"/>
          <w:szCs w:val="16"/>
        </w:rPr>
      </w:pPr>
      <w:r>
        <w:rPr>
          <w:b w:val="0"/>
          <w:noProof/>
          <w:sz w:val="16"/>
        </w:rPr>
        <w:t>Европейската инвестиционна банка постоянно адаптира своето управление на риска.</w:t>
      </w:r>
    </w:p>
    <w:p>
      <w:pPr>
        <w:pStyle w:val="Title11a"/>
        <w:numPr>
          <w:ilvl w:val="0"/>
          <w:numId w:val="0"/>
        </w:numPr>
        <w:spacing w:before="60" w:after="60"/>
        <w:rPr>
          <w:noProof/>
          <w:sz w:val="16"/>
          <w:szCs w:val="16"/>
        </w:rPr>
      </w:pPr>
    </w:p>
    <w:p>
      <w:pPr>
        <w:pStyle w:val="Title11a"/>
        <w:numPr>
          <w:ilvl w:val="0"/>
          <w:numId w:val="0"/>
        </w:numPr>
        <w:spacing w:before="60" w:after="60"/>
        <w:rPr>
          <w:b w:val="0"/>
          <w:noProof/>
          <w:sz w:val="16"/>
          <w:szCs w:val="16"/>
        </w:rPr>
      </w:pPr>
      <w:r>
        <w:rPr>
          <w:b w:val="0"/>
          <w:noProof/>
          <w:sz w:val="16"/>
        </w:rPr>
        <w:t>Дирекцията по управление на риска на ЕИБ независимо идентифицира, оценява, наблюдава и докладва за рисковете, спрямо които механизмът е изложен. В определени рамки, позволяващи запазване на разделението на задълженията, управлението на риска е независимо от фронт офиса. На равнище ЕИБ генералният директор по управлението на риска докладва по въпросите на риска пред определения за целта заместник-председателя по въпросите на управлението на риска. Определеният заместник-председател е отговорен за надзора на докладването на рисковете пред управителния комитет и борда на директорите на Европейската инвестиционна банка.</w:t>
      </w:r>
    </w:p>
    <w:p>
      <w:pPr>
        <w:pStyle w:val="Normal17"/>
        <w:tabs>
          <w:tab w:val="left" w:pos="1065"/>
        </w:tabs>
        <w:spacing w:before="60" w:after="60"/>
        <w:jc w:val="both"/>
        <w:rPr>
          <w:rFonts w:ascii="Arial" w:hAnsi="Arial" w:cs="Arial"/>
          <w:iCs/>
          <w:noProof/>
          <w:sz w:val="16"/>
          <w:szCs w:val="16"/>
        </w:rPr>
      </w:pPr>
      <w:r>
        <w:rPr>
          <w:noProof/>
        </w:rPr>
        <w:t xml:space="preserve"> </w:t>
      </w:r>
    </w:p>
    <w:p>
      <w:pPr>
        <w:pStyle w:val="Title1110"/>
        <w:numPr>
          <w:ilvl w:val="0"/>
          <w:numId w:val="0"/>
        </w:numPr>
        <w:rPr>
          <w:b/>
          <w:noProof/>
          <w:sz w:val="16"/>
          <w:szCs w:val="16"/>
        </w:rPr>
      </w:pPr>
      <w:r>
        <w:rPr>
          <w:b/>
          <w:noProof/>
          <w:sz w:val="16"/>
        </w:rPr>
        <w:t>3.2 Кредитен риск</w:t>
      </w:r>
    </w:p>
    <w:p>
      <w:pPr>
        <w:pStyle w:val="Title1110"/>
        <w:numPr>
          <w:ilvl w:val="0"/>
          <w:numId w:val="0"/>
        </w:numPr>
        <w:rPr>
          <w:noProof/>
          <w:sz w:val="16"/>
          <w:szCs w:val="16"/>
        </w:rPr>
      </w:pPr>
    </w:p>
    <w:p>
      <w:pPr>
        <w:pStyle w:val="Normal18"/>
        <w:spacing w:before="60" w:after="60"/>
        <w:jc w:val="both"/>
        <w:rPr>
          <w:rFonts w:ascii="Arial" w:hAnsi="Arial"/>
          <w:noProof/>
          <w:sz w:val="16"/>
          <w:szCs w:val="16"/>
        </w:rPr>
      </w:pPr>
      <w:r>
        <w:rPr>
          <w:rFonts w:ascii="Arial" w:hAnsi="Arial"/>
          <w:noProof/>
          <w:sz w:val="16"/>
        </w:rPr>
        <w:t>Кредитният риск представлява потенциалната загуба, която може да бъде в резултат на неизпълнение на клиент или контрагент и която произтича от кредитна експозиция във всякаква форма, включително неизпълнение на плащане.</w:t>
      </w:r>
    </w:p>
    <w:p>
      <w:pPr>
        <w:pStyle w:val="Normal18"/>
        <w:spacing w:before="60" w:after="60"/>
        <w:jc w:val="both"/>
        <w:rPr>
          <w:rFonts w:ascii="Arial" w:hAnsi="Arial"/>
          <w:noProof/>
          <w:sz w:val="16"/>
          <w:szCs w:val="16"/>
        </w:rPr>
      </w:pPr>
    </w:p>
    <w:p>
      <w:pPr>
        <w:pStyle w:val="Title1110"/>
        <w:numPr>
          <w:ilvl w:val="0"/>
          <w:numId w:val="0"/>
        </w:numPr>
        <w:tabs>
          <w:tab w:val="clear" w:pos="720"/>
        </w:tabs>
        <w:rPr>
          <w:rStyle w:val="Title111Char0"/>
          <w:b/>
          <w:noProof/>
          <w:sz w:val="16"/>
          <w:szCs w:val="16"/>
        </w:rPr>
      </w:pPr>
      <w:r>
        <w:rPr>
          <w:rStyle w:val="Title111Char0"/>
          <w:b/>
          <w:noProof/>
          <w:sz w:val="16"/>
        </w:rPr>
        <w:t>3.2.1 Политика за кредитния риск</w:t>
      </w:r>
    </w:p>
    <w:p>
      <w:pPr>
        <w:pStyle w:val="Normal18"/>
        <w:spacing w:before="60" w:after="60"/>
        <w:jc w:val="both"/>
        <w:rPr>
          <w:rFonts w:ascii="Arial" w:hAnsi="Arial"/>
          <w:noProof/>
          <w:sz w:val="16"/>
          <w:szCs w:val="16"/>
        </w:rPr>
      </w:pPr>
    </w:p>
    <w:p>
      <w:pPr>
        <w:pStyle w:val="Normal18"/>
        <w:autoSpaceDE w:val="0"/>
        <w:autoSpaceDN w:val="0"/>
        <w:adjustRightInd w:val="0"/>
        <w:spacing w:before="60" w:after="60"/>
        <w:jc w:val="both"/>
        <w:rPr>
          <w:rFonts w:ascii="Arial" w:hAnsi="Arial"/>
          <w:noProof/>
          <w:sz w:val="16"/>
          <w:szCs w:val="16"/>
        </w:rPr>
      </w:pPr>
      <w:r>
        <w:rPr>
          <w:rFonts w:ascii="Arial" w:hAnsi="Arial"/>
          <w:noProof/>
          <w:sz w:val="16"/>
        </w:rPr>
        <w:t>При извършването на кредитния анализ на контрагентите по даден заем ЕИБ оценява кредитния риск и очакваната загуба, с оглед да го измери количествено и да определи цената на риска. ЕИБ е разработила методика на вътрешния рейтинг (МВР) за определяне на вътрешните рейтинги на своите заемополучатели/гаранти. Методиката се основава на система от точкови списъци, създадени за всеки от основните видове кредитни партньори (например търговски предприятия, банки, предприятия от публичния сектор и т.н.). Като се вземат предвид „Най-добрите банкови практики“ и принципите, определени по Международното споразумението от Базел за капиталовите изисквания (Базел II), всички партньори, които са от значение за кредитния профил на специфична трансакция, се класифицират в категории за вътрешен рейтинг, като се използва МВР за отделните видове партньори. За всеки партньор се определя вътрешен рейтинг, отразяващ вероятността от неизпълнение на валутен рейтинг след задълбочен анализ на рисковия профил на бизнеса и финансите на партньора и рисковия контекст на неговата страна.</w:t>
      </w:r>
    </w:p>
    <w:p>
      <w:pPr>
        <w:pStyle w:val="Normal18"/>
        <w:spacing w:before="60" w:after="60"/>
        <w:jc w:val="both"/>
        <w:rPr>
          <w:rFonts w:ascii="Arial" w:hAnsi="Arial"/>
          <w:noProof/>
          <w:sz w:val="16"/>
          <w:szCs w:val="16"/>
        </w:rPr>
      </w:pPr>
    </w:p>
    <w:p>
      <w:pPr>
        <w:pStyle w:val="Normal18"/>
        <w:autoSpaceDE w:val="0"/>
        <w:autoSpaceDN w:val="0"/>
        <w:adjustRightInd w:val="0"/>
        <w:spacing w:before="60" w:after="240"/>
        <w:jc w:val="both"/>
        <w:rPr>
          <w:rFonts w:ascii="Arial" w:hAnsi="Arial"/>
          <w:noProof/>
          <w:sz w:val="16"/>
          <w:szCs w:val="16"/>
        </w:rPr>
      </w:pPr>
      <w:r>
        <w:rPr>
          <w:rFonts w:ascii="Arial" w:hAnsi="Arial"/>
          <w:noProof/>
          <w:sz w:val="16"/>
        </w:rPr>
        <w:t>Кредитната оценка на финансирането на проекти и други структурирани дейности с ограничен обхват използва инструменти за кредитен риск, подходящи за този сектор, които са основно съсредоточени върху наличността на паричния поток и капацитета за обслужване на дълга. Тези инструменти включват анализ на договорната рамка на проектите, анализ на партньора и симулации на паричния поток. Както за търговските предприятия и финансовите институции, за всеки проект се определя вътрешен рисков рейтинг.</w:t>
      </w:r>
    </w:p>
    <w:p>
      <w:pPr>
        <w:pStyle w:val="Normal18"/>
        <w:autoSpaceDE w:val="0"/>
        <w:autoSpaceDN w:val="0"/>
        <w:adjustRightInd w:val="0"/>
        <w:spacing w:before="60" w:after="240"/>
        <w:jc w:val="both"/>
        <w:rPr>
          <w:rFonts w:ascii="Arial" w:hAnsi="Arial"/>
          <w:noProof/>
          <w:sz w:val="16"/>
          <w:szCs w:val="16"/>
        </w:rPr>
      </w:pPr>
      <w:r>
        <w:rPr>
          <w:rFonts w:ascii="Arial" w:hAnsi="Arial"/>
          <w:noProof/>
          <w:sz w:val="16"/>
        </w:rPr>
        <w:t xml:space="preserve">Всички вътрешни рейтинги се следят в хода на заема и периодично се актуализират. </w:t>
      </w:r>
    </w:p>
    <w:p>
      <w:pPr>
        <w:pStyle w:val="Normal18"/>
        <w:autoSpaceDE w:val="0"/>
        <w:autoSpaceDN w:val="0"/>
        <w:adjustRightInd w:val="0"/>
        <w:spacing w:before="60" w:after="60"/>
        <w:jc w:val="both"/>
        <w:rPr>
          <w:rFonts w:ascii="Arial" w:hAnsi="Arial"/>
          <w:noProof/>
          <w:sz w:val="16"/>
          <w:szCs w:val="16"/>
        </w:rPr>
      </w:pPr>
      <w:r>
        <w:rPr>
          <w:rFonts w:ascii="Arial" w:hAnsi="Arial"/>
          <w:noProof/>
          <w:sz w:val="16"/>
        </w:rPr>
        <w:t>Всички недържавни операции (или гарантирани/приравнени към недържавни) операции са обект на специални ограничения за размера на трансакциите и на партньорите. Ограниченията за партньорите се определят на консолидирано групово ниво на експозиция, когато е приложимо. Тези ограничения обикновено отразяват размера на собствените средства на партньора.</w:t>
      </w:r>
    </w:p>
    <w:p>
      <w:pPr>
        <w:pStyle w:val="Normal18"/>
        <w:autoSpaceDE w:val="0"/>
        <w:autoSpaceDN w:val="0"/>
        <w:adjustRightInd w:val="0"/>
        <w:spacing w:before="60" w:after="60"/>
        <w:jc w:val="both"/>
        <w:rPr>
          <w:rFonts w:ascii="Arial" w:hAnsi="Arial" w:cs="Arial"/>
          <w:iCs/>
          <w:noProof/>
          <w:sz w:val="16"/>
          <w:szCs w:val="16"/>
        </w:rPr>
      </w:pPr>
    </w:p>
    <w:p>
      <w:pPr>
        <w:pStyle w:val="Normal18"/>
        <w:autoSpaceDE w:val="0"/>
        <w:autoSpaceDN w:val="0"/>
        <w:adjustRightInd w:val="0"/>
        <w:spacing w:before="60" w:after="60"/>
        <w:jc w:val="both"/>
        <w:rPr>
          <w:rFonts w:ascii="Arial" w:hAnsi="Arial" w:cs="Arial"/>
          <w:iCs/>
          <w:noProof/>
          <w:sz w:val="16"/>
          <w:szCs w:val="16"/>
        </w:rPr>
      </w:pPr>
      <w:r>
        <w:rPr>
          <w:rFonts w:ascii="Arial" w:hAnsi="Arial"/>
          <w:noProof/>
          <w:sz w:val="16"/>
        </w:rPr>
        <w:t>За да смекчи кредитния риск, ЕИБ използва, когато е уместно и с оглед на всеки отделен случай, различни кредитни подобрения, които са:</w:t>
      </w:r>
    </w:p>
    <w:p>
      <w:pPr>
        <w:pStyle w:val="Normal18"/>
        <w:tabs>
          <w:tab w:val="left" w:pos="1065"/>
        </w:tabs>
        <w:suppressAutoHyphens w:val="0"/>
        <w:autoSpaceDE w:val="0"/>
        <w:autoSpaceDN w:val="0"/>
        <w:adjustRightInd w:val="0"/>
        <w:spacing w:before="60" w:after="60"/>
        <w:rPr>
          <w:rFonts w:ascii="Arial" w:hAnsi="Arial" w:cs="Arial"/>
          <w:iCs/>
          <w:noProof/>
          <w:sz w:val="16"/>
          <w:szCs w:val="16"/>
        </w:rPr>
      </w:pPr>
    </w:p>
    <w:p>
      <w:pPr>
        <w:pStyle w:val="Normal18"/>
        <w:numPr>
          <w:ilvl w:val="0"/>
          <w:numId w:val="77"/>
        </w:numPr>
        <w:tabs>
          <w:tab w:val="left" w:pos="1065"/>
        </w:tabs>
        <w:suppressAutoHyphens w:val="0"/>
        <w:autoSpaceDE w:val="0"/>
        <w:autoSpaceDN w:val="0"/>
        <w:adjustRightInd w:val="0"/>
        <w:spacing w:before="60" w:after="60"/>
        <w:rPr>
          <w:rFonts w:ascii="Arial" w:hAnsi="Arial" w:cs="Arial"/>
          <w:iCs/>
          <w:noProof/>
          <w:sz w:val="16"/>
          <w:szCs w:val="16"/>
        </w:rPr>
      </w:pPr>
      <w:r>
        <w:rPr>
          <w:rFonts w:ascii="Arial" w:hAnsi="Arial"/>
          <w:noProof/>
          <w:sz w:val="16"/>
        </w:rPr>
        <w:t>гаранции, свързани с контрагента или с проекта (напр. залог върху акциите; залог върху активите; предоставяне на права; залог върху сметките); или/и</w:t>
      </w:r>
    </w:p>
    <w:p>
      <w:pPr>
        <w:pStyle w:val="Normal18"/>
        <w:numPr>
          <w:ilvl w:val="0"/>
          <w:numId w:val="77"/>
        </w:numPr>
        <w:tabs>
          <w:tab w:val="left" w:pos="1065"/>
        </w:tabs>
        <w:suppressAutoHyphens w:val="0"/>
        <w:autoSpaceDE w:val="0"/>
        <w:autoSpaceDN w:val="0"/>
        <w:adjustRightInd w:val="0"/>
        <w:spacing w:before="60" w:after="60"/>
        <w:rPr>
          <w:rFonts w:ascii="Arial" w:hAnsi="Arial" w:cs="Arial"/>
          <w:iCs/>
          <w:noProof/>
          <w:sz w:val="16"/>
          <w:szCs w:val="16"/>
        </w:rPr>
      </w:pPr>
      <w:r>
        <w:rPr>
          <w:rFonts w:ascii="Arial" w:hAnsi="Arial"/>
          <w:noProof/>
          <w:sz w:val="16"/>
        </w:rPr>
        <w:t>гаранции, обикновено предоставени от спонсора на финансирания проект (например гаранции за приключване, гаранции при първо поискване) или банкови гаранции.</w:t>
      </w:r>
    </w:p>
    <w:p>
      <w:pPr>
        <w:pStyle w:val="Normal18"/>
        <w:tabs>
          <w:tab w:val="left" w:pos="1065"/>
        </w:tabs>
        <w:jc w:val="both"/>
        <w:rPr>
          <w:rFonts w:ascii="Arial" w:hAnsi="Arial" w:cs="Arial"/>
          <w:iCs/>
          <w:noProof/>
          <w:sz w:val="16"/>
          <w:szCs w:val="16"/>
        </w:rPr>
      </w:pPr>
    </w:p>
    <w:p>
      <w:pPr>
        <w:pStyle w:val="Normal18"/>
        <w:tabs>
          <w:tab w:val="left" w:pos="1065"/>
        </w:tabs>
        <w:jc w:val="both"/>
        <w:rPr>
          <w:rFonts w:ascii="Arial" w:hAnsi="Arial" w:cs="Arial"/>
          <w:iCs/>
          <w:noProof/>
          <w:sz w:val="16"/>
          <w:szCs w:val="16"/>
        </w:rPr>
      </w:pPr>
      <w:r>
        <w:rPr>
          <w:rFonts w:ascii="Arial" w:hAnsi="Arial"/>
          <w:noProof/>
          <w:sz w:val="16"/>
        </w:rPr>
        <w:t>Механизмът не използва кредитни деривати за намаляване на кредитния риск.</w:t>
      </w:r>
    </w:p>
    <w:p>
      <w:pPr>
        <w:pStyle w:val="Title321"/>
        <w:pageBreakBefore/>
        <w:ind w:hanging="822"/>
        <w:rPr>
          <w:noProof/>
          <w:sz w:val="16"/>
          <w:szCs w:val="16"/>
        </w:rPr>
      </w:pPr>
      <w:r>
        <w:rPr>
          <w:noProof/>
          <w:sz w:val="16"/>
        </w:rPr>
        <w:t>Максимална експозиция на кредитен риск, без да се вземат предвид обезпечения и други кредитни подобрения</w:t>
      </w:r>
    </w:p>
    <w:p>
      <w:pPr>
        <w:pStyle w:val="Notes5"/>
        <w:numPr>
          <w:ilvl w:val="0"/>
          <w:numId w:val="0"/>
        </w:numPr>
        <w:tabs>
          <w:tab w:val="clear" w:pos="4320"/>
          <w:tab w:val="clear" w:pos="8640"/>
          <w:tab w:val="right" w:pos="-2700"/>
        </w:tabs>
        <w:spacing w:before="60" w:after="60"/>
        <w:ind w:left="431"/>
        <w:rPr>
          <w:noProof/>
          <w:sz w:val="16"/>
          <w:szCs w:val="16"/>
        </w:rPr>
      </w:pPr>
    </w:p>
    <w:p>
      <w:pPr>
        <w:pStyle w:val="Notes5"/>
        <w:numPr>
          <w:ilvl w:val="0"/>
          <w:numId w:val="0"/>
        </w:numPr>
        <w:tabs>
          <w:tab w:val="clear" w:pos="4320"/>
          <w:tab w:val="clear" w:pos="8640"/>
          <w:tab w:val="right" w:pos="-2700"/>
          <w:tab w:val="right" w:pos="720"/>
        </w:tabs>
        <w:spacing w:before="60" w:after="60"/>
        <w:rPr>
          <w:b w:val="0"/>
          <w:iCs/>
          <w:noProof/>
          <w:sz w:val="16"/>
          <w:szCs w:val="16"/>
        </w:rPr>
      </w:pPr>
      <w:r>
        <w:rPr>
          <w:b w:val="0"/>
          <w:noProof/>
          <w:sz w:val="16"/>
        </w:rPr>
        <w:t>Следната таблица показва максималната експозиция на кредитен риск за компонентите на отчета за финансовото състояние, включително и на дериватите. Максималната експозиция е показана в брутна стойност преди ефекта от смекчаването посредством използване на обезпечение.</w:t>
      </w:r>
    </w:p>
    <w:p>
      <w:pPr>
        <w:pStyle w:val="Normal19"/>
        <w:suppressAutoHyphens w:val="0"/>
        <w:spacing w:before="60" w:after="60"/>
        <w:jc w:val="both"/>
        <w:rPr>
          <w:rFonts w:ascii="Arial" w:hAnsi="Arial"/>
          <w:noProof/>
          <w:sz w:val="16"/>
          <w:szCs w:val="16"/>
        </w:rPr>
      </w:pPr>
      <w:r>
        <w:rPr>
          <w:noProof/>
        </w:rPr>
        <w:t xml:space="preserve"> </w:t>
      </w:r>
    </w:p>
    <w:tbl>
      <w:tblPr>
        <w:tblStyle w:val="CDMRange11"/>
        <w:tblW w:w="9975" w:type="dxa"/>
        <w:tblLayout w:type="fixed"/>
        <w:tblLook w:val="0600" w:firstRow="0" w:lastRow="0" w:firstColumn="0" w:lastColumn="0" w:noHBand="1" w:noVBand="1"/>
      </w:tblPr>
      <w:tblGrid>
        <w:gridCol w:w="6975"/>
        <w:gridCol w:w="1500"/>
        <w:gridCol w:w="1500"/>
      </w:tblGrid>
      <w:tr>
        <w:trPr>
          <w:trHeight w:hRule="exact" w:val="270"/>
        </w:trPr>
        <w:tc>
          <w:tcPr>
            <w:tcW w:w="69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0"/>
              <w:rPr>
                <w:rFonts w:ascii="Arial" w:eastAsia="Arial" w:hAnsi="Arial" w:cs="Arial"/>
                <w:b/>
                <w:noProof/>
                <w:color w:val="000000"/>
                <w:sz w:val="16"/>
              </w:rPr>
            </w:pPr>
            <w:r>
              <w:rPr>
                <w:rFonts w:ascii="Arial" w:hAnsi="Arial"/>
                <w:b/>
                <w:noProof/>
                <w:color w:val="000000"/>
                <w:sz w:val="16"/>
              </w:rPr>
              <w:t>Максимална експозиция (хиляди евро)</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color w:val="000000"/>
                <w:sz w:val="16"/>
              </w:rPr>
              <w:t>31.12.2018 г.</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color w:val="000000"/>
                <w:sz w:val="16"/>
              </w:rPr>
              <w:t>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b/>
                <w:noProof/>
                <w:color w:val="000000"/>
                <w:sz w:val="16"/>
              </w:rPr>
            </w:pPr>
            <w:r>
              <w:rPr>
                <w:rFonts w:ascii="Arial" w:hAnsi="Arial"/>
                <w:b/>
                <w:noProof/>
                <w:color w:val="000000"/>
                <w:sz w:val="16"/>
              </w:rPr>
              <w:t>АКТИВИ</w:t>
            </w:r>
          </w:p>
        </w:tc>
        <w:tc>
          <w:tcPr>
            <w:tcW w:w="1500"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color w:val="000000"/>
                <w:sz w:val="16"/>
              </w:rPr>
              <w:t>Пари и парични еквиваленти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573 708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549 101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color w:val="000000"/>
                <w:sz w:val="16"/>
              </w:rPr>
              <w:t>Вземания от вносителите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100 000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150 000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color w:val="000000"/>
                <w:sz w:val="16"/>
              </w:rPr>
              <w:t>Касови финансови активи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335 140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144 382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color w:val="000000"/>
                <w:sz w:val="16"/>
              </w:rPr>
              <w:t>Дериватни финансови инструменти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9 873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12 521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color w:val="000000"/>
                <w:sz w:val="16"/>
              </w:rPr>
              <w:t>Заеми и аванси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1 540 991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1 666 725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color w:val="000000"/>
                <w:sz w:val="16"/>
              </w:rPr>
              <w:t>Други активи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171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4 385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20"/>
              <w:rPr>
                <w:rFonts w:ascii="Arial" w:eastAsia="Arial" w:hAnsi="Arial" w:cs="Arial"/>
                <w:b/>
                <w:noProof/>
                <w:color w:val="000000"/>
                <w:sz w:val="16"/>
              </w:rPr>
            </w:pPr>
            <w:r>
              <w:rPr>
                <w:rFonts w:ascii="Arial" w:hAnsi="Arial"/>
                <w:b/>
                <w:noProof/>
                <w:color w:val="000000"/>
                <w:sz w:val="16"/>
              </w:rPr>
              <w:t>Общо активи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color w:val="000000"/>
                <w:sz w:val="16"/>
              </w:rPr>
              <w:t>2 559 883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color w:val="000000"/>
                <w:sz w:val="16"/>
              </w:rPr>
              <w:t>2 527 114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20"/>
              <w:rPr>
                <w:rFonts w:ascii="Arial" w:eastAsia="Arial" w:hAnsi="Arial" w:cs="Arial"/>
                <w:b/>
                <w:noProof/>
                <w:color w:val="000000"/>
                <w:sz w:val="16"/>
              </w:rPr>
            </w:pPr>
            <w:r>
              <w:rPr>
                <w:rFonts w:ascii="Arial" w:hAnsi="Arial"/>
                <w:b/>
                <w:noProof/>
                <w:color w:val="000000"/>
                <w:sz w:val="16"/>
              </w:rPr>
              <w:t>Провизии за кредитни ангажименти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color w:val="000000"/>
                <w:sz w:val="16"/>
              </w:rPr>
              <w:t>-23 822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color w:val="000000"/>
                <w:sz w:val="16"/>
              </w:rPr>
              <w:t xml:space="preserve">-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b/>
                <w:noProof/>
                <w:color w:val="000000"/>
                <w:sz w:val="16"/>
              </w:rPr>
            </w:pPr>
            <w:r>
              <w:rPr>
                <w:rFonts w:ascii="Arial" w:hAnsi="Arial"/>
                <w:b/>
                <w:noProof/>
                <w:color w:val="000000"/>
                <w:sz w:val="16"/>
              </w:rPr>
              <w:t>ЗАДБАЛАНСОВА ЧАСТ</w:t>
            </w: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color w:val="000000"/>
                <w:sz w:val="16"/>
              </w:rPr>
              <w:t>ЗАДБАЛАНСОВА ЧАСТ</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color w:val="000000"/>
                <w:sz w:val="16"/>
              </w:rPr>
              <w:t>Условни пасиви</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color w:val="000000"/>
                <w:sz w:val="16"/>
              </w:rPr>
              <w:t>- 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1 553 668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74 569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color w:val="000000"/>
                <w:sz w:val="16"/>
              </w:rPr>
              <w:t>Поети задължения</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color w:val="000000"/>
                <w:sz w:val="16"/>
              </w:rPr>
              <w:t>- Неизплатени заеми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1 283 931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869 983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20"/>
              <w:rPr>
                <w:rFonts w:ascii="Arial" w:eastAsia="Arial" w:hAnsi="Arial" w:cs="Arial"/>
                <w:noProof/>
                <w:color w:val="000000"/>
                <w:sz w:val="16"/>
              </w:rPr>
            </w:pPr>
            <w:r>
              <w:rPr>
                <w:rFonts w:ascii="Arial" w:hAnsi="Arial"/>
                <w:noProof/>
                <w:color w:val="000000"/>
                <w:sz w:val="16"/>
              </w:rPr>
              <w:t>- Неиздадени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2 800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0"/>
              <w:jc w:val="right"/>
              <w:rPr>
                <w:rFonts w:ascii="Arial" w:eastAsia="Arial" w:hAnsi="Arial" w:cs="Arial"/>
                <w:noProof/>
                <w:color w:val="000000"/>
                <w:sz w:val="16"/>
              </w:rPr>
            </w:pPr>
            <w:r>
              <w:rPr>
                <w:rFonts w:ascii="Arial" w:hAnsi="Arial"/>
                <w:noProof/>
                <w:color w:val="000000"/>
                <w:sz w:val="16"/>
              </w:rPr>
              <w:t>7 682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20"/>
              <w:rPr>
                <w:rFonts w:ascii="Arial" w:eastAsia="Arial" w:hAnsi="Arial" w:cs="Arial"/>
                <w:b/>
                <w:noProof/>
                <w:color w:val="000000"/>
                <w:sz w:val="16"/>
              </w:rPr>
            </w:pPr>
            <w:r>
              <w:rPr>
                <w:rFonts w:ascii="Arial" w:hAnsi="Arial"/>
                <w:b/>
                <w:noProof/>
                <w:color w:val="000000"/>
                <w:sz w:val="16"/>
              </w:rPr>
              <w:t>Общо задбалансова част</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color w:val="000000"/>
                <w:sz w:val="16"/>
              </w:rPr>
              <w:t>2 840 399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color w:val="000000"/>
                <w:sz w:val="16"/>
              </w:rPr>
              <w:t>952 234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20"/>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2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20"/>
              <w:rPr>
                <w:rFonts w:ascii="Arial" w:eastAsia="Arial" w:hAnsi="Arial" w:cs="Arial"/>
                <w:b/>
                <w:noProof/>
                <w:color w:val="000000"/>
                <w:sz w:val="16"/>
              </w:rPr>
            </w:pPr>
            <w:r>
              <w:rPr>
                <w:rFonts w:ascii="Arial" w:hAnsi="Arial"/>
                <w:b/>
                <w:noProof/>
                <w:color w:val="000000"/>
                <w:sz w:val="16"/>
              </w:rPr>
              <w:t>Общо кредитна експозиция</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color w:val="000000"/>
                <w:sz w:val="16"/>
              </w:rPr>
              <w:t>5 376 460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20"/>
              <w:jc w:val="right"/>
              <w:rPr>
                <w:rFonts w:ascii="Arial" w:eastAsia="Arial" w:hAnsi="Arial" w:cs="Arial"/>
                <w:b/>
                <w:noProof/>
                <w:color w:val="000000"/>
                <w:sz w:val="16"/>
              </w:rPr>
            </w:pPr>
            <w:r>
              <w:rPr>
                <w:rFonts w:ascii="Arial" w:hAnsi="Arial"/>
                <w:b/>
                <w:noProof/>
                <w:color w:val="000000"/>
                <w:sz w:val="16"/>
              </w:rPr>
              <w:t>3 479 348</w:t>
            </w:r>
          </w:p>
        </w:tc>
      </w:tr>
    </w:tbl>
    <w:p>
      <w:pPr>
        <w:pStyle w:val="Title3210"/>
        <w:numPr>
          <w:ilvl w:val="2"/>
          <w:numId w:val="79"/>
        </w:numPr>
        <w:tabs>
          <w:tab w:val="clear" w:pos="822"/>
          <w:tab w:val="num" w:pos="709"/>
        </w:tabs>
        <w:ind w:hanging="822"/>
        <w:rPr>
          <w:noProof/>
          <w:sz w:val="16"/>
          <w:szCs w:val="16"/>
        </w:rPr>
      </w:pPr>
      <w:r>
        <w:rPr>
          <w:noProof/>
          <w:sz w:val="16"/>
        </w:rPr>
        <w:t xml:space="preserve">Кредитен риск на заеми и аванси </w:t>
      </w:r>
    </w:p>
    <w:p>
      <w:pPr>
        <w:pStyle w:val="Notes6"/>
        <w:numPr>
          <w:ilvl w:val="0"/>
          <w:numId w:val="0"/>
        </w:numPr>
        <w:tabs>
          <w:tab w:val="clear" w:pos="4320"/>
          <w:tab w:val="clear" w:pos="8640"/>
          <w:tab w:val="right" w:pos="-2700"/>
          <w:tab w:val="right" w:pos="720"/>
        </w:tabs>
        <w:spacing w:before="60" w:after="60"/>
        <w:rPr>
          <w:bCs/>
          <w:noProof/>
          <w:sz w:val="16"/>
          <w:szCs w:val="16"/>
        </w:rPr>
      </w:pPr>
    </w:p>
    <w:p>
      <w:pPr>
        <w:pStyle w:val="Notes6"/>
        <w:numPr>
          <w:ilvl w:val="3"/>
          <w:numId w:val="80"/>
        </w:numPr>
        <w:tabs>
          <w:tab w:val="clear" w:pos="4320"/>
          <w:tab w:val="clear" w:pos="8640"/>
          <w:tab w:val="right" w:pos="-2700"/>
          <w:tab w:val="right" w:pos="720"/>
        </w:tabs>
        <w:spacing w:before="60" w:after="60"/>
        <w:rPr>
          <w:bCs/>
          <w:noProof/>
          <w:sz w:val="16"/>
          <w:szCs w:val="16"/>
        </w:rPr>
      </w:pPr>
      <w:r>
        <w:rPr>
          <w:noProof/>
          <w:sz w:val="16"/>
        </w:rPr>
        <w:t xml:space="preserve">Измерване на кредитния риск на заеми и аванси </w:t>
      </w:r>
    </w:p>
    <w:p>
      <w:pPr>
        <w:pStyle w:val="Notes6"/>
        <w:numPr>
          <w:ilvl w:val="0"/>
          <w:numId w:val="0"/>
        </w:numPr>
        <w:tabs>
          <w:tab w:val="clear" w:pos="4320"/>
          <w:tab w:val="clear" w:pos="8640"/>
          <w:tab w:val="right" w:pos="-2700"/>
          <w:tab w:val="right" w:pos="720"/>
        </w:tabs>
        <w:spacing w:before="60" w:after="60"/>
        <w:rPr>
          <w:b w:val="0"/>
          <w:noProof/>
          <w:sz w:val="16"/>
          <w:szCs w:val="16"/>
        </w:rPr>
      </w:pPr>
    </w:p>
    <w:p>
      <w:pPr>
        <w:pStyle w:val="FootnoteText"/>
        <w:jc w:val="both"/>
        <w:rPr>
          <w:rFonts w:ascii="Arial" w:hAnsi="Arial"/>
          <w:noProof/>
          <w:sz w:val="16"/>
          <w:szCs w:val="16"/>
        </w:rPr>
      </w:pPr>
      <w:r>
        <w:rPr>
          <w:rFonts w:ascii="Arial" w:hAnsi="Arial"/>
          <w:noProof/>
          <w:sz w:val="16"/>
        </w:rPr>
        <w:t>Всички заеми или гаранции, предприети от механизма, подлежат на цялостна оценка на риска и количествено определяне на очакваните загуби, което се обобщава в категоризация на заема („КЗ“). Операциите в рамките на ПСОФ (описани в бележка 24), с изключение на заемите чрез посредник, не са предмет на насоките за политика спрямо кредитния риск и са обект на различна процедура. Категоризациите на заемите са установени съгласно общоприети критерии, базирани на качеството на заемополучателя, падежа на заема, гаранцията, и, ако е подходящо, гаранта.</w:t>
      </w:r>
    </w:p>
    <w:p>
      <w:pPr>
        <w:pStyle w:val="Normal21"/>
        <w:autoSpaceDE w:val="0"/>
        <w:autoSpaceDN w:val="0"/>
        <w:adjustRightInd w:val="0"/>
        <w:spacing w:before="60" w:after="60"/>
        <w:jc w:val="both"/>
        <w:rPr>
          <w:rFonts w:ascii="Arial" w:hAnsi="Arial"/>
          <w:noProof/>
          <w:sz w:val="16"/>
          <w:szCs w:val="16"/>
        </w:rPr>
      </w:pPr>
    </w:p>
    <w:p>
      <w:pPr>
        <w:pStyle w:val="Normal21"/>
        <w:autoSpaceDE w:val="0"/>
        <w:autoSpaceDN w:val="0"/>
        <w:adjustRightInd w:val="0"/>
        <w:spacing w:before="60" w:after="60"/>
        <w:jc w:val="both"/>
        <w:rPr>
          <w:rFonts w:ascii="Arial" w:hAnsi="Arial"/>
          <w:noProof/>
          <w:sz w:val="16"/>
          <w:szCs w:val="16"/>
        </w:rPr>
      </w:pPr>
      <w:r>
        <w:rPr>
          <w:rFonts w:ascii="Arial" w:hAnsi="Arial"/>
          <w:noProof/>
          <w:sz w:val="16"/>
        </w:rPr>
        <w:t>Системата на категоризация на заемите се състои от методологии, процеси, бази данни и информационни системи, подкрепящи оценката на кредитния риск при кредитните операции и количественото определяне на очакваната загуба. Тя обобщава голям обем информация, с цел да предложи относително класиране на кредитните рискове на заемите. Категоризациите на заемите отразяват настоящата стойност на изчисленото ниво на „очаквана загуба“, което е продукт на вероятността от неизпълнение на основните длъжници, експозицията на риск и сериозността на загубата в случай на неплащане. КЗ се използват за следните цели:</w:t>
      </w:r>
    </w:p>
    <w:p>
      <w:pPr>
        <w:pStyle w:val="Normal21"/>
        <w:autoSpaceDE w:val="0"/>
        <w:autoSpaceDN w:val="0"/>
        <w:adjustRightInd w:val="0"/>
        <w:spacing w:before="60" w:after="60"/>
        <w:jc w:val="both"/>
        <w:rPr>
          <w:rFonts w:ascii="Arial" w:hAnsi="Arial"/>
          <w:noProof/>
          <w:sz w:val="16"/>
          <w:szCs w:val="16"/>
        </w:rPr>
      </w:pPr>
    </w:p>
    <w:p>
      <w:pPr>
        <w:pStyle w:val="Normal21"/>
        <w:numPr>
          <w:ilvl w:val="0"/>
          <w:numId w:val="81"/>
        </w:numPr>
        <w:autoSpaceDE w:val="0"/>
        <w:autoSpaceDN w:val="0"/>
        <w:adjustRightInd w:val="0"/>
        <w:spacing w:before="60" w:after="60"/>
        <w:jc w:val="both"/>
        <w:rPr>
          <w:rFonts w:ascii="Arial" w:hAnsi="Arial"/>
          <w:noProof/>
          <w:sz w:val="16"/>
          <w:szCs w:val="16"/>
        </w:rPr>
      </w:pPr>
      <w:r>
        <w:rPr>
          <w:rFonts w:ascii="Arial" w:hAnsi="Arial"/>
          <w:noProof/>
          <w:sz w:val="16"/>
        </w:rPr>
        <w:t>като помощ за по-прецизна и по-количествена оценка на кредитните рискове,</w:t>
      </w:r>
    </w:p>
    <w:p>
      <w:pPr>
        <w:pStyle w:val="Normal21"/>
        <w:numPr>
          <w:ilvl w:val="0"/>
          <w:numId w:val="81"/>
        </w:numPr>
        <w:autoSpaceDE w:val="0"/>
        <w:autoSpaceDN w:val="0"/>
        <w:adjustRightInd w:val="0"/>
        <w:spacing w:before="60" w:after="60"/>
        <w:jc w:val="both"/>
        <w:rPr>
          <w:rFonts w:ascii="Arial" w:hAnsi="Arial"/>
          <w:noProof/>
          <w:sz w:val="16"/>
          <w:szCs w:val="16"/>
        </w:rPr>
      </w:pPr>
      <w:r>
        <w:rPr>
          <w:rFonts w:ascii="Arial" w:hAnsi="Arial"/>
          <w:noProof/>
          <w:sz w:val="16"/>
        </w:rPr>
        <w:t>като помощ при разпределяне на задачите по мониторинга,</w:t>
      </w:r>
    </w:p>
    <w:p>
      <w:pPr>
        <w:pStyle w:val="Normal21"/>
        <w:numPr>
          <w:ilvl w:val="0"/>
          <w:numId w:val="81"/>
        </w:numPr>
        <w:autoSpaceDE w:val="0"/>
        <w:autoSpaceDN w:val="0"/>
        <w:adjustRightInd w:val="0"/>
        <w:spacing w:before="60" w:after="60"/>
        <w:jc w:val="both"/>
        <w:rPr>
          <w:rFonts w:ascii="Arial" w:hAnsi="Arial"/>
          <w:noProof/>
          <w:sz w:val="16"/>
          <w:szCs w:val="16"/>
        </w:rPr>
      </w:pPr>
      <w:r>
        <w:rPr>
          <w:rFonts w:ascii="Arial" w:hAnsi="Arial"/>
          <w:noProof/>
          <w:sz w:val="16"/>
        </w:rPr>
        <w:t>като описание на качеството на портфейла на заема към определена дата,</w:t>
      </w:r>
    </w:p>
    <w:p>
      <w:pPr>
        <w:pStyle w:val="Normal21"/>
        <w:numPr>
          <w:ilvl w:val="0"/>
          <w:numId w:val="81"/>
        </w:numPr>
        <w:autoSpaceDE w:val="0"/>
        <w:autoSpaceDN w:val="0"/>
        <w:adjustRightInd w:val="0"/>
        <w:spacing w:before="60" w:after="60"/>
        <w:jc w:val="both"/>
        <w:rPr>
          <w:rFonts w:ascii="Arial" w:hAnsi="Arial"/>
          <w:noProof/>
          <w:sz w:val="16"/>
          <w:szCs w:val="16"/>
        </w:rPr>
      </w:pPr>
      <w:r>
        <w:rPr>
          <w:rFonts w:ascii="Arial" w:hAnsi="Arial"/>
          <w:noProof/>
          <w:sz w:val="16"/>
        </w:rPr>
        <w:t>като принос в решенията за ценообразуване на рисковете на основата на очакваните загуби.</w:t>
      </w:r>
    </w:p>
    <w:p>
      <w:pPr>
        <w:pStyle w:val="Normal21"/>
        <w:suppressAutoHyphens w:val="0"/>
        <w:rPr>
          <w:rFonts w:ascii="Arial" w:hAnsi="Arial"/>
          <w:noProof/>
          <w:sz w:val="16"/>
          <w:szCs w:val="16"/>
        </w:rPr>
      </w:pPr>
      <w:r>
        <w:rPr>
          <w:noProof/>
        </w:rPr>
        <w:br w:type="page"/>
      </w:r>
    </w:p>
    <w:p>
      <w:pPr>
        <w:pStyle w:val="Normal21"/>
        <w:autoSpaceDE w:val="0"/>
        <w:autoSpaceDN w:val="0"/>
        <w:adjustRightInd w:val="0"/>
        <w:jc w:val="both"/>
        <w:rPr>
          <w:rFonts w:ascii="Arial" w:hAnsi="Arial"/>
          <w:noProof/>
          <w:sz w:val="16"/>
          <w:szCs w:val="16"/>
        </w:rPr>
      </w:pPr>
      <w:r>
        <w:rPr>
          <w:rFonts w:ascii="Arial" w:hAnsi="Arial"/>
          <w:noProof/>
          <w:sz w:val="16"/>
        </w:rPr>
        <w:t>Следните фактори се включват в определянето на КЗ:</w:t>
      </w:r>
    </w:p>
    <w:p>
      <w:pPr>
        <w:pStyle w:val="Normal21"/>
        <w:autoSpaceDE w:val="0"/>
        <w:autoSpaceDN w:val="0"/>
        <w:adjustRightInd w:val="0"/>
        <w:ind w:left="360"/>
        <w:jc w:val="both"/>
        <w:rPr>
          <w:rFonts w:ascii="Arial" w:hAnsi="Arial"/>
          <w:noProof/>
          <w:sz w:val="16"/>
          <w:szCs w:val="16"/>
        </w:rPr>
      </w:pPr>
    </w:p>
    <w:p>
      <w:pPr>
        <w:pStyle w:val="Listi"/>
        <w:numPr>
          <w:ilvl w:val="0"/>
          <w:numId w:val="83"/>
        </w:numPr>
        <w:spacing w:after="0"/>
        <w:rPr>
          <w:sz w:val="16"/>
          <w:szCs w:val="16"/>
        </w:rPr>
      </w:pPr>
      <w:r>
        <w:rPr>
          <w:sz w:val="16"/>
        </w:rPr>
        <w:t>Кредитоспособността на заемополучателя: дирекцията по управление на риска прави независим преглед на заемополучателите и оценява тяхната кредитоспособност въз основа на вътрешни методики и външни данни. В съответствие с избрания усъвършенстван подход от Базел II банката е разработила методология на вътрешния рейтинг (МВР), за да определи вътрешните рейтинги на заемополучателите и гарантите. Това се основава на набор от фишове за оценка, специфични за определени видове контрагенти.</w:t>
      </w:r>
    </w:p>
    <w:p>
      <w:pPr>
        <w:pStyle w:val="Normal21"/>
        <w:ind w:left="360"/>
        <w:rPr>
          <w:rFonts w:ascii="Arial" w:hAnsi="Arial"/>
          <w:noProof/>
          <w:sz w:val="16"/>
          <w:szCs w:val="16"/>
        </w:rPr>
      </w:pPr>
    </w:p>
    <w:p>
      <w:pPr>
        <w:pStyle w:val="Listi"/>
        <w:numPr>
          <w:ilvl w:val="0"/>
          <w:numId w:val="83"/>
        </w:numPr>
        <w:spacing w:after="0"/>
        <w:rPr>
          <w:sz w:val="16"/>
          <w:szCs w:val="16"/>
        </w:rPr>
      </w:pPr>
      <w:r>
        <w:rPr>
          <w:sz w:val="16"/>
        </w:rPr>
        <w:t>Корелацията по подразбиране: тя определя количествено вероятността от едновременно възникване на финансови затруднения за кредитополучателя и за гаранта. Колкото по-голяма е корелацията между вероятностите за неизпълнение на кредитополучателя и на гаранта, толкова по-ниска е стойността на гаранцията и следователно по-ниска (по-лоша) е категорията на заема.</w:t>
      </w:r>
    </w:p>
    <w:p>
      <w:pPr>
        <w:pStyle w:val="Normal21"/>
        <w:ind w:left="360"/>
        <w:rPr>
          <w:noProof/>
          <w:sz w:val="16"/>
          <w:szCs w:val="16"/>
        </w:rPr>
      </w:pPr>
    </w:p>
    <w:p>
      <w:pPr>
        <w:pStyle w:val="Listi"/>
        <w:numPr>
          <w:ilvl w:val="0"/>
          <w:numId w:val="83"/>
        </w:numPr>
        <w:spacing w:after="0"/>
        <w:rPr>
          <w:sz w:val="16"/>
          <w:szCs w:val="16"/>
        </w:rPr>
      </w:pPr>
      <w:r>
        <w:rPr>
          <w:sz w:val="16"/>
        </w:rPr>
        <w:t>Стойността на гаранционните инструменти и на ценните книжа: тази стойност се оценява въз основа на комбинация от кредитоспособността на емитента и вида на използвания инструмент.</w:t>
      </w:r>
    </w:p>
    <w:p>
      <w:pPr>
        <w:pStyle w:val="Normal21"/>
        <w:ind w:left="360"/>
        <w:rPr>
          <w:noProof/>
        </w:rPr>
      </w:pPr>
    </w:p>
    <w:p>
      <w:pPr>
        <w:pStyle w:val="ListParagraph0"/>
        <w:numPr>
          <w:ilvl w:val="0"/>
          <w:numId w:val="83"/>
        </w:numPr>
        <w:jc w:val="both"/>
        <w:rPr>
          <w:rFonts w:ascii="Arial" w:hAnsi="Arial" w:cs="Arial"/>
          <w:noProof/>
          <w:sz w:val="16"/>
          <w:szCs w:val="16"/>
        </w:rPr>
      </w:pPr>
      <w:r>
        <w:rPr>
          <w:rFonts w:ascii="Arial" w:hAnsi="Arial"/>
          <w:noProof/>
          <w:sz w:val="16"/>
        </w:rPr>
        <w:t>Приложимият процент на събиране: предполагаемата сума, която следва да бъде събрана след неизпълнение от страна на съответния контрагент, изразена като процент от съответната кредитна експозиция</w:t>
      </w:r>
    </w:p>
    <w:p>
      <w:pPr>
        <w:pStyle w:val="Normal21"/>
        <w:ind w:left="360"/>
        <w:jc w:val="both"/>
        <w:rPr>
          <w:noProof/>
          <w:sz w:val="16"/>
          <w:szCs w:val="16"/>
        </w:rPr>
      </w:pPr>
    </w:p>
    <w:p>
      <w:pPr>
        <w:pStyle w:val="Listi"/>
        <w:numPr>
          <w:ilvl w:val="0"/>
          <w:numId w:val="83"/>
        </w:numPr>
        <w:spacing w:after="0"/>
        <w:rPr>
          <w:sz w:val="16"/>
          <w:szCs w:val="16"/>
        </w:rPr>
      </w:pPr>
      <w:r>
        <w:rPr>
          <w:sz w:val="16"/>
        </w:rPr>
        <w:t>Договорната рамка: една стабилна договорна рамка ще повиши качеството на заема и ще подобри вътрешния му рейтинг.</w:t>
      </w:r>
    </w:p>
    <w:p>
      <w:pPr>
        <w:pStyle w:val="Normal21"/>
        <w:ind w:left="360"/>
        <w:jc w:val="both"/>
        <w:rPr>
          <w:noProof/>
          <w:sz w:val="16"/>
          <w:szCs w:val="16"/>
        </w:rPr>
      </w:pPr>
    </w:p>
    <w:p>
      <w:pPr>
        <w:pStyle w:val="Listi"/>
        <w:numPr>
          <w:ilvl w:val="0"/>
          <w:numId w:val="83"/>
        </w:numPr>
        <w:spacing w:after="0"/>
        <w:rPr>
          <w:sz w:val="16"/>
          <w:szCs w:val="16"/>
        </w:rPr>
      </w:pPr>
      <w:r>
        <w:rPr>
          <w:sz w:val="16"/>
        </w:rPr>
        <w:t>Продължителността на заема или, в по-общ план, паричните потоци по заема: при равни други условия, колкото по-дълъг е заемът, толкова по-голям е рискът от възникване на трудности при обслужването му.</w:t>
      </w:r>
    </w:p>
    <w:p>
      <w:pPr>
        <w:pStyle w:val="Normal21"/>
        <w:autoSpaceDE w:val="0"/>
        <w:autoSpaceDN w:val="0"/>
        <w:adjustRightInd w:val="0"/>
        <w:jc w:val="both"/>
        <w:rPr>
          <w:rFonts w:ascii="Arial" w:hAnsi="Arial"/>
          <w:noProof/>
          <w:sz w:val="16"/>
          <w:szCs w:val="16"/>
        </w:rPr>
      </w:pPr>
    </w:p>
    <w:p>
      <w:pPr>
        <w:pStyle w:val="Normal140"/>
        <w:autoSpaceDE w:val="0"/>
        <w:autoSpaceDN w:val="0"/>
        <w:adjustRightInd w:val="0"/>
        <w:jc w:val="both"/>
        <w:rPr>
          <w:rFonts w:ascii="Arial" w:hAnsi="Arial"/>
          <w:noProof/>
          <w:sz w:val="16"/>
          <w:szCs w:val="16"/>
        </w:rPr>
      </w:pPr>
      <w:r>
        <w:rPr>
          <w:rFonts w:ascii="Arial" w:hAnsi="Arial"/>
          <w:noProof/>
          <w:sz w:val="16"/>
        </w:rPr>
        <w:t>Очакваната загуба на заема се изчислява чрез комбиниране на петте елемента, посочени по-горе. В зависимост от нивото на тази загуба заемът се разпределя в един от следните класове от КЗ, изброени по-долу:</w:t>
      </w:r>
    </w:p>
    <w:p>
      <w:pPr>
        <w:pStyle w:val="Normal140"/>
        <w:autoSpaceDE w:val="0"/>
        <w:autoSpaceDN w:val="0"/>
        <w:adjustRightInd w:val="0"/>
        <w:jc w:val="both"/>
        <w:rPr>
          <w:rFonts w:ascii="Arial" w:hAnsi="Arial"/>
          <w:noProof/>
          <w:sz w:val="16"/>
          <w:szCs w:val="16"/>
        </w:rPr>
      </w:pPr>
    </w:p>
    <w:p>
      <w:pPr>
        <w:pStyle w:val="Normal85"/>
        <w:tabs>
          <w:tab w:val="left" w:pos="360"/>
        </w:tabs>
        <w:rPr>
          <w:noProof/>
          <w:sz w:val="16"/>
          <w:szCs w:val="16"/>
        </w:rPr>
      </w:pPr>
      <w:r>
        <w:rPr>
          <w:noProof/>
          <w:sz w:val="16"/>
        </w:rPr>
        <w:t>„А“ Първокачествени заеми, които имат три подкатегории:</w:t>
      </w:r>
    </w:p>
    <w:p>
      <w:pPr>
        <w:pStyle w:val="Normal85"/>
        <w:tabs>
          <w:tab w:val="left" w:pos="360"/>
        </w:tabs>
        <w:rPr>
          <w:noProof/>
          <w:sz w:val="16"/>
          <w:szCs w:val="16"/>
        </w:rPr>
      </w:pPr>
    </w:p>
    <w:p>
      <w:pPr>
        <w:pStyle w:val="Normal85"/>
        <w:tabs>
          <w:tab w:val="left" w:pos="360"/>
        </w:tabs>
        <w:ind w:left="357"/>
        <w:rPr>
          <w:noProof/>
          <w:sz w:val="16"/>
          <w:szCs w:val="16"/>
        </w:rPr>
      </w:pPr>
      <w:r>
        <w:rPr>
          <w:noProof/>
          <w:sz w:val="16"/>
        </w:rPr>
        <w:t xml:space="preserve">„A0“ включва заеми, отпуснати или гарантирани от държава — членка на ЕС, които имат очаквана загуба от 0 % (въз основа на предпочитания от банката статут на кредитор и законовата защита, за които се счита, че гарантират пълно събиране на активите на банката при настъпване на падежа им). </w:t>
      </w:r>
    </w:p>
    <w:p>
      <w:pPr>
        <w:pStyle w:val="Normal85"/>
        <w:tabs>
          <w:tab w:val="left" w:pos="360"/>
        </w:tabs>
        <w:ind w:left="357"/>
        <w:rPr>
          <w:noProof/>
          <w:sz w:val="16"/>
          <w:szCs w:val="16"/>
        </w:rPr>
      </w:pPr>
      <w:r>
        <w:rPr>
          <w:noProof/>
          <w:sz w:val="16"/>
        </w:rPr>
        <w:t>„A+“ включва заеми, отпуснати на (или гарантирани от) субекти, различни от държавите — членки на ЕС, за които не се очаква влошаване на качеството през периода на тяхното действие.</w:t>
      </w:r>
    </w:p>
    <w:p>
      <w:pPr>
        <w:pStyle w:val="Normal85"/>
        <w:tabs>
          <w:tab w:val="left" w:pos="360"/>
        </w:tabs>
        <w:ind w:left="357"/>
        <w:rPr>
          <w:noProof/>
          <w:sz w:val="16"/>
          <w:szCs w:val="16"/>
        </w:rPr>
      </w:pPr>
      <w:r>
        <w:rPr>
          <w:noProof/>
          <w:sz w:val="16"/>
        </w:rPr>
        <w:t>„А-“ включва операции по отпускане на заеми, при които има известно съмнение относно запазването на настоящия им статут, но за които се очаква да бъдат ограничени каквито и да било отрицателни последици.</w:t>
      </w:r>
    </w:p>
    <w:p>
      <w:pPr>
        <w:pStyle w:val="Normal140"/>
        <w:tabs>
          <w:tab w:val="left" w:pos="360"/>
        </w:tabs>
        <w:ind w:left="360" w:hanging="360"/>
        <w:jc w:val="both"/>
        <w:rPr>
          <w:rFonts w:ascii="Arial" w:hAnsi="Arial"/>
          <w:noProof/>
          <w:sz w:val="16"/>
          <w:szCs w:val="16"/>
        </w:rPr>
      </w:pPr>
    </w:p>
    <w:p>
      <w:pPr>
        <w:pStyle w:val="Normal140"/>
        <w:tabs>
          <w:tab w:val="left" w:pos="360"/>
        </w:tabs>
        <w:ind w:left="360" w:hanging="360"/>
        <w:jc w:val="both"/>
        <w:rPr>
          <w:rFonts w:ascii="Arial" w:hAnsi="Arial"/>
          <w:noProof/>
          <w:sz w:val="16"/>
          <w:szCs w:val="16"/>
        </w:rPr>
      </w:pPr>
      <w:r>
        <w:rPr>
          <w:rFonts w:ascii="Arial" w:hAnsi="Arial"/>
          <w:noProof/>
          <w:sz w:val="16"/>
        </w:rPr>
        <w:t>„B“ Висококачествени заеми: те представляват клас активи, които банката приема, въпреки че не е изключено незначително влошаване в бъдеще. B+ и B- се използват за означаване на относителната вероятност от възникване за такова влошаване.</w:t>
      </w:r>
    </w:p>
    <w:p>
      <w:pPr>
        <w:pStyle w:val="Normal140"/>
        <w:tabs>
          <w:tab w:val="left" w:pos="360"/>
        </w:tabs>
        <w:ind w:left="360" w:hanging="360"/>
        <w:jc w:val="both"/>
        <w:rPr>
          <w:rFonts w:ascii="Arial" w:hAnsi="Arial"/>
          <w:noProof/>
          <w:sz w:val="16"/>
          <w:szCs w:val="16"/>
        </w:rPr>
      </w:pPr>
    </w:p>
    <w:p>
      <w:pPr>
        <w:pStyle w:val="Normal140"/>
        <w:tabs>
          <w:tab w:val="left" w:pos="360"/>
        </w:tabs>
        <w:ind w:left="360" w:hanging="360"/>
        <w:jc w:val="both"/>
        <w:rPr>
          <w:rFonts w:ascii="Arial" w:hAnsi="Arial"/>
          <w:noProof/>
          <w:sz w:val="16"/>
          <w:szCs w:val="16"/>
        </w:rPr>
      </w:pPr>
      <w:r>
        <w:rPr>
          <w:rFonts w:ascii="Arial" w:hAnsi="Arial"/>
          <w:noProof/>
          <w:sz w:val="16"/>
        </w:rPr>
        <w:t>„C“ Доброкачествени заеми: пример за това е необезпечен кредит за солидна банка или корпоративна организация, платим изцяло на падежа след 7-годишен срок или платим на части от датата на предоставянето, за еквивалентен срок.</w:t>
      </w:r>
    </w:p>
    <w:p>
      <w:pPr>
        <w:pStyle w:val="Normal140"/>
        <w:tabs>
          <w:tab w:val="left" w:pos="360"/>
        </w:tabs>
        <w:ind w:left="360" w:hanging="360"/>
        <w:rPr>
          <w:noProof/>
          <w:sz w:val="16"/>
          <w:szCs w:val="16"/>
        </w:rPr>
      </w:pPr>
    </w:p>
    <w:p>
      <w:pPr>
        <w:pStyle w:val="Normal140"/>
        <w:tabs>
          <w:tab w:val="left" w:pos="360"/>
        </w:tabs>
        <w:ind w:left="360" w:hanging="360"/>
        <w:jc w:val="both"/>
        <w:rPr>
          <w:rFonts w:ascii="Arial" w:hAnsi="Arial"/>
          <w:noProof/>
          <w:sz w:val="16"/>
          <w:szCs w:val="16"/>
        </w:rPr>
      </w:pPr>
      <w:r>
        <w:rPr>
          <w:rFonts w:ascii="Arial" w:hAnsi="Arial"/>
          <w:noProof/>
          <w:sz w:val="16"/>
        </w:rPr>
        <w:t>„D“ Този рейтингов клас представлява границата между „приемливо качество“ заеми и тези, при които има трудности. Тази граница на класификацията на заемите е по-точно определена от подкласовете D+ и D-. Заемите с рейтинг D- изискват засилен мониторинг.</w:t>
      </w:r>
    </w:p>
    <w:p>
      <w:pPr>
        <w:pStyle w:val="Normal140"/>
        <w:tabs>
          <w:tab w:val="left" w:pos="360"/>
        </w:tabs>
        <w:ind w:left="360" w:hanging="360"/>
        <w:jc w:val="both"/>
        <w:rPr>
          <w:rFonts w:ascii="Arial" w:hAnsi="Arial"/>
          <w:noProof/>
          <w:sz w:val="16"/>
          <w:szCs w:val="16"/>
        </w:rPr>
      </w:pPr>
    </w:p>
    <w:p>
      <w:pPr>
        <w:pStyle w:val="Normal140"/>
        <w:tabs>
          <w:tab w:val="left" w:pos="360"/>
        </w:tabs>
        <w:ind w:left="360" w:hanging="360"/>
        <w:jc w:val="both"/>
        <w:rPr>
          <w:rFonts w:ascii="Arial" w:hAnsi="Arial"/>
          <w:noProof/>
          <w:sz w:val="16"/>
        </w:rPr>
      </w:pPr>
      <w:r>
        <w:rPr>
          <w:rFonts w:ascii="Arial" w:hAnsi="Arial"/>
          <w:noProof/>
          <w:sz w:val="16"/>
        </w:rPr>
        <w:t>„E“ Този клас от КЗ включва заеми с рисков профил, по-голям от общоприетия. Той включва също заеми, при които е имало сериозни проблеми по време на тяхната продължителност и не може да се изключи да изпаднат в положение на загуба. По тази причина заемите са предмет на стриктен и засилен мониторинг. Подкласове E+ и E- се различават по интензивността на този специален мониторингов процес, като операциите с рейтинг E- са в положение, при което има голяма вероятност обслужването на дълга да не може да се поддържа редовно и затова се изисква някаква форма на преструктуриране на дълга, което е възможно да доведе до загуба от обезценка.</w:t>
      </w:r>
    </w:p>
    <w:p>
      <w:pPr>
        <w:pStyle w:val="Normal140"/>
        <w:tabs>
          <w:tab w:val="left" w:pos="360"/>
        </w:tabs>
        <w:ind w:left="360" w:hanging="360"/>
        <w:jc w:val="both"/>
        <w:rPr>
          <w:noProof/>
          <w:sz w:val="16"/>
          <w:szCs w:val="16"/>
        </w:rPr>
      </w:pPr>
    </w:p>
    <w:p>
      <w:pPr>
        <w:pStyle w:val="Normal140"/>
        <w:tabs>
          <w:tab w:val="left" w:pos="360"/>
        </w:tabs>
        <w:ind w:left="360" w:hanging="360"/>
        <w:jc w:val="both"/>
        <w:rPr>
          <w:rFonts w:ascii="Arial" w:hAnsi="Arial"/>
          <w:noProof/>
          <w:sz w:val="16"/>
          <w:szCs w:val="16"/>
        </w:rPr>
      </w:pPr>
      <w:r>
        <w:rPr>
          <w:rFonts w:ascii="Arial" w:hAnsi="Arial"/>
          <w:noProof/>
          <w:sz w:val="16"/>
        </w:rPr>
        <w:t>„F“  F (fail (лош рейтинг) означава заеми, които представляват неприемливи рискове. Заеми с рейтинг F- могат да произтичат само от текущи операции, при които след подписването са възникнали непредвидими, изключителни и сериозни неблагоприятни обстоятелства. Всички операции, при които има загуба на главницата за механизма, се означават с рейтинг F и за тях се прилага специфична разпоредба.</w:t>
      </w:r>
    </w:p>
    <w:p>
      <w:pPr>
        <w:pStyle w:val="Normal140"/>
        <w:tabs>
          <w:tab w:val="left" w:pos="360"/>
        </w:tabs>
        <w:ind w:left="360" w:hanging="360"/>
        <w:jc w:val="both"/>
        <w:rPr>
          <w:rFonts w:ascii="Arial" w:hAnsi="Arial"/>
          <w:noProof/>
          <w:sz w:val="16"/>
          <w:szCs w:val="16"/>
        </w:rPr>
      </w:pPr>
    </w:p>
    <w:p>
      <w:pPr>
        <w:pStyle w:val="Notes40"/>
        <w:tabs>
          <w:tab w:val="right" w:pos="-2700"/>
          <w:tab w:val="right" w:pos="720"/>
        </w:tabs>
        <w:spacing w:before="0" w:after="0"/>
        <w:ind w:left="0" w:firstLine="0"/>
        <w:rPr>
          <w:b w:val="0"/>
          <w:noProof/>
          <w:sz w:val="16"/>
          <w:szCs w:val="16"/>
        </w:rPr>
      </w:pPr>
      <w:r>
        <w:rPr>
          <w:b w:val="0"/>
          <w:noProof/>
          <w:sz w:val="16"/>
        </w:rPr>
        <w:t>По принцип всички заеми с вътрешен рейтинг D- или по-нисък се поставят в списъка за наблюдение. Въпреки това, ако един заем е бил първоначално одобрен с рисков профил D- или по-нисък, той се поставя в списъка за наблюдение само в резултат на сериозно кредитно събитие, причинило допълнително влошаване на неговото класифициране по КЗ.</w:t>
      </w:r>
    </w:p>
    <w:p>
      <w:pPr>
        <w:pStyle w:val="Notes6"/>
        <w:numPr>
          <w:ilvl w:val="0"/>
          <w:numId w:val="0"/>
        </w:numPr>
        <w:tabs>
          <w:tab w:val="clear" w:pos="4320"/>
          <w:tab w:val="clear" w:pos="8640"/>
          <w:tab w:val="right" w:pos="-2700"/>
          <w:tab w:val="right" w:pos="720"/>
        </w:tabs>
        <w:spacing w:before="0" w:after="0"/>
        <w:rPr>
          <w:b w:val="0"/>
          <w:noProof/>
          <w:sz w:val="16"/>
          <w:szCs w:val="16"/>
        </w:rPr>
      </w:pPr>
    </w:p>
    <w:p>
      <w:pPr>
        <w:pStyle w:val="Notes6"/>
        <w:numPr>
          <w:ilvl w:val="0"/>
          <w:numId w:val="0"/>
        </w:numPr>
        <w:tabs>
          <w:tab w:val="clear" w:pos="4320"/>
          <w:tab w:val="clear" w:pos="8640"/>
          <w:tab w:val="right" w:pos="-2700"/>
          <w:tab w:val="right" w:pos="720"/>
        </w:tabs>
        <w:spacing w:before="0" w:after="0"/>
        <w:rPr>
          <w:b w:val="0"/>
          <w:noProof/>
          <w:sz w:val="16"/>
          <w:szCs w:val="16"/>
        </w:rPr>
      </w:pPr>
      <w:r>
        <w:rPr>
          <w:b w:val="0"/>
          <w:noProof/>
          <w:sz w:val="16"/>
        </w:rPr>
        <w:t>Таблицата в раздел 3.2.3.3 показва анализа на кредитното качество на портфейла от заеми на механизма въз основа на различните класове по КЗ, описани по-горе.</w:t>
      </w:r>
    </w:p>
    <w:p>
      <w:pPr>
        <w:pStyle w:val="Notes7"/>
        <w:pageBreakBefore/>
        <w:numPr>
          <w:ilvl w:val="3"/>
          <w:numId w:val="84"/>
        </w:numPr>
        <w:tabs>
          <w:tab w:val="clear" w:pos="4320"/>
          <w:tab w:val="clear" w:pos="8640"/>
          <w:tab w:val="right" w:pos="-2700"/>
          <w:tab w:val="right" w:pos="720"/>
        </w:tabs>
        <w:spacing w:before="60" w:after="60"/>
        <w:rPr>
          <w:bCs/>
          <w:noProof/>
          <w:sz w:val="16"/>
          <w:szCs w:val="16"/>
        </w:rPr>
      </w:pPr>
      <w:r>
        <w:rPr>
          <w:noProof/>
          <w:sz w:val="16"/>
        </w:rPr>
        <w:t>Анализ на кредитния риск</w:t>
      </w:r>
    </w:p>
    <w:p>
      <w:pPr>
        <w:pStyle w:val="Notes7"/>
        <w:numPr>
          <w:ilvl w:val="0"/>
          <w:numId w:val="0"/>
        </w:numPr>
        <w:tabs>
          <w:tab w:val="clear" w:pos="4320"/>
          <w:tab w:val="clear" w:pos="8640"/>
          <w:tab w:val="right" w:pos="-2700"/>
          <w:tab w:val="right" w:pos="720"/>
        </w:tabs>
        <w:spacing w:before="60" w:after="60"/>
        <w:rPr>
          <w:b w:val="0"/>
          <w:noProof/>
          <w:sz w:val="16"/>
          <w:szCs w:val="16"/>
        </w:rPr>
      </w:pPr>
    </w:p>
    <w:p>
      <w:pPr>
        <w:pStyle w:val="Notes7"/>
        <w:numPr>
          <w:ilvl w:val="0"/>
          <w:numId w:val="0"/>
        </w:numPr>
        <w:tabs>
          <w:tab w:val="clear" w:pos="4320"/>
          <w:tab w:val="clear" w:pos="8640"/>
          <w:tab w:val="right" w:pos="-2700"/>
          <w:tab w:val="right" w:pos="720"/>
        </w:tabs>
        <w:spacing w:before="60" w:after="60"/>
        <w:rPr>
          <w:b w:val="0"/>
          <w:noProof/>
          <w:sz w:val="16"/>
          <w:szCs w:val="16"/>
        </w:rPr>
      </w:pPr>
      <w:r>
        <w:rPr>
          <w:b w:val="0"/>
          <w:noProof/>
          <w:sz w:val="16"/>
        </w:rPr>
        <w:t>Следната таблица показва максималната изложеност (без ОКЗ) на кредитен риск за подписаните и изплатените заеми по видове заемополучатели, като се вземат под внимание предоставените гаранции от гарантите:</w:t>
      </w:r>
    </w:p>
    <w:p>
      <w:pPr>
        <w:pStyle w:val="Notes7"/>
        <w:numPr>
          <w:ilvl w:val="0"/>
          <w:numId w:val="0"/>
        </w:numPr>
        <w:tabs>
          <w:tab w:val="clear" w:pos="4320"/>
          <w:tab w:val="clear" w:pos="8640"/>
          <w:tab w:val="right" w:pos="-2700"/>
          <w:tab w:val="right" w:pos="720"/>
        </w:tabs>
        <w:spacing w:before="60" w:after="60"/>
        <w:rPr>
          <w:b w:val="0"/>
          <w:noProof/>
          <w:sz w:val="16"/>
          <w:szCs w:val="16"/>
        </w:rPr>
      </w:pPr>
      <w:r>
        <w:rPr>
          <w:noProof/>
        </w:rPr>
        <w:t xml:space="preserve"> </w:t>
      </w:r>
    </w:p>
    <w:tbl>
      <w:tblPr>
        <w:tblStyle w:val="CDMRange21"/>
        <w:tblW w:w="10335" w:type="dxa"/>
        <w:tblLayout w:type="fixed"/>
        <w:tblLook w:val="0600" w:firstRow="0" w:lastRow="0" w:firstColumn="0" w:lastColumn="0" w:noHBand="1" w:noVBand="1"/>
      </w:tblPr>
      <w:tblGrid>
        <w:gridCol w:w="2835"/>
        <w:gridCol w:w="1500"/>
        <w:gridCol w:w="1500"/>
        <w:gridCol w:w="1500"/>
        <w:gridCol w:w="1500"/>
        <w:gridCol w:w="1500"/>
      </w:tblGrid>
      <w:tr>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hAnsi="Arial"/>
                <w:b/>
                <w:noProof/>
                <w:color w:val="000000"/>
                <w:sz w:val="16"/>
              </w:rPr>
              <w:t>Към 31.12.2018 г.</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Гарантирани</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Други кредитни подобрения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Негарантирани</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Общо</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 от общото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8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hAnsi="Arial"/>
                <w:b/>
                <w:noProof/>
                <w:color w:val="000000"/>
                <w:sz w:val="16"/>
              </w:rPr>
              <w:t>хиляди евро</w:t>
            </w: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color w:val="000000"/>
                <w:sz w:val="16"/>
              </w:rPr>
              <w:t>Банки</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88 263</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856 484</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944 747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color w:val="000000"/>
                <w:sz w:val="16"/>
              </w:rPr>
              <w:t>Предприятия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147 551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45 820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205 198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398 569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color w:val="000000"/>
                <w:sz w:val="16"/>
              </w:rPr>
              <w:t>Публични институции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29 182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29 182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2 %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8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color w:val="000000"/>
                <w:sz w:val="16"/>
              </w:rPr>
              <w:t>Държави</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2 647</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165 846</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168 493</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hAnsi="Arial"/>
                <w:b/>
                <w:noProof/>
                <w:color w:val="000000"/>
                <w:sz w:val="16"/>
              </w:rPr>
              <w:t xml:space="preserve">Общо изплатени </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264 996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48 467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1 227 528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1 540 991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FFFFFF" w:fill="BFBFBF"/>
            <w:tcMar>
              <w:left w:w="40" w:type="dxa"/>
              <w:right w:w="40" w:type="dxa"/>
            </w:tcMar>
            <w:vAlign w:val="center"/>
          </w:tcPr>
          <w:p>
            <w:pPr>
              <w:pStyle w:val="Normal23"/>
              <w:rPr>
                <w:rFonts w:ascii="Arial" w:eastAsia="Arial" w:hAnsi="Arial" w:cs="Arial"/>
                <w:b/>
                <w:noProof/>
                <w:color w:val="000000"/>
                <w:sz w:val="16"/>
              </w:rPr>
            </w:pPr>
            <w:r>
              <w:rPr>
                <w:rFonts w:ascii="Arial" w:hAnsi="Arial"/>
                <w:b/>
                <w:noProof/>
                <w:color w:val="000000"/>
                <w:sz w:val="16"/>
              </w:rPr>
              <w:t xml:space="preserve">Подписани, неизплатени </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170 356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1 089 753</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1 260 110</w:t>
            </w:r>
          </w:p>
        </w:tc>
        <w:tc>
          <w:tcPr>
            <w:tcW w:w="1500" w:type="dxa"/>
            <w:tcBorders>
              <w:top w:val="nil"/>
              <w:left w:val="nil"/>
              <w:bottom w:val="nil"/>
              <w:right w:val="nil"/>
              <w:tl2br w:val="nil"/>
              <w:tr2bl w:val="nil"/>
            </w:tcBorders>
            <w:shd w:val="clear" w:color="FFFFFF" w:fill="BFBFBF"/>
            <w:tcMar>
              <w:left w:w="0" w:type="dxa"/>
              <w:right w:w="0" w:type="dxa"/>
            </w:tcMar>
            <w:vAlign w:val="center"/>
          </w:tcPr>
          <w:p>
            <w:pPr>
              <w:pStyle w:val="Normal2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283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hAnsi="Arial"/>
                <w:b/>
                <w:noProof/>
                <w:color w:val="000000"/>
                <w:sz w:val="16"/>
              </w:rPr>
              <w:t>Към 31.12.2017 г.</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Гарантирани</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Други кредитни подобрения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Негарантирани</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Общо</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 от общото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8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hAnsi="Arial"/>
                <w:b/>
                <w:noProof/>
                <w:color w:val="000000"/>
                <w:sz w:val="16"/>
              </w:rPr>
              <w:t>хиляди евро</w:t>
            </w: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color w:val="000000"/>
                <w:sz w:val="16"/>
              </w:rPr>
              <w:t>Банки</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46 860</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11 651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919 216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977 727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color w:val="000000"/>
                <w:sz w:val="16"/>
              </w:rPr>
              <w:t>Предприятия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145 914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59 462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285 492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490 868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color w:val="000000"/>
                <w:sz w:val="16"/>
              </w:rPr>
              <w:t>Публични институции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30 882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30 882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8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rPr>
                <w:rFonts w:ascii="Arial" w:eastAsia="Arial" w:hAnsi="Arial" w:cs="Arial"/>
                <w:noProof/>
                <w:color w:val="000000"/>
                <w:sz w:val="16"/>
              </w:rPr>
            </w:pPr>
            <w:r>
              <w:rPr>
                <w:rFonts w:ascii="Arial" w:hAnsi="Arial"/>
                <w:noProof/>
                <w:color w:val="000000"/>
                <w:sz w:val="16"/>
              </w:rPr>
              <w:t>Държави</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3 218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noProof/>
                <w:color w:val="000000"/>
                <w:sz w:val="16"/>
              </w:rPr>
            </w:pPr>
            <w:r>
              <w:rPr>
                <w:rFonts w:ascii="Arial" w:hAnsi="Arial"/>
                <w:noProof/>
                <w:color w:val="000000"/>
                <w:sz w:val="16"/>
              </w:rPr>
              <w:t>164 030</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167 248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rPr>
                <w:rFonts w:ascii="Arial" w:eastAsia="Arial" w:hAnsi="Arial" w:cs="Arial"/>
                <w:b/>
                <w:noProof/>
                <w:color w:val="000000"/>
                <w:sz w:val="16"/>
              </w:rPr>
            </w:pPr>
            <w:r>
              <w:rPr>
                <w:rFonts w:ascii="Arial" w:hAnsi="Arial"/>
                <w:b/>
                <w:noProof/>
                <w:color w:val="000000"/>
                <w:sz w:val="16"/>
              </w:rPr>
              <w:t>Общо изплатени</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223 656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74 331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1 368 738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1 666 725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35" w:type="dxa"/>
            <w:tcBorders>
              <w:top w:val="nil"/>
              <w:left w:val="nil"/>
              <w:bottom w:val="nil"/>
              <w:right w:val="nil"/>
              <w:tl2br w:val="nil"/>
              <w:tr2bl w:val="nil"/>
            </w:tcBorders>
            <w:shd w:val="clear" w:color="FFFFFF" w:fill="BFBFBF"/>
            <w:tcMar>
              <w:left w:w="40" w:type="dxa"/>
              <w:right w:w="40" w:type="dxa"/>
            </w:tcMar>
            <w:vAlign w:val="center"/>
          </w:tcPr>
          <w:p>
            <w:pPr>
              <w:pStyle w:val="Normal23"/>
              <w:rPr>
                <w:rFonts w:ascii="Arial" w:eastAsia="Arial" w:hAnsi="Arial" w:cs="Arial"/>
                <w:b/>
                <w:noProof/>
                <w:color w:val="000000"/>
                <w:sz w:val="16"/>
              </w:rPr>
            </w:pPr>
            <w:r>
              <w:rPr>
                <w:rFonts w:ascii="Arial" w:hAnsi="Arial"/>
                <w:b/>
                <w:noProof/>
                <w:color w:val="000000"/>
                <w:sz w:val="16"/>
              </w:rPr>
              <w:t>Подписани, неизплатени</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89 597</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780 386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3"/>
              <w:jc w:val="right"/>
              <w:rPr>
                <w:rFonts w:ascii="Arial" w:eastAsia="Arial" w:hAnsi="Arial" w:cs="Arial"/>
                <w:b/>
                <w:noProof/>
                <w:color w:val="000000"/>
                <w:sz w:val="16"/>
              </w:rPr>
            </w:pPr>
            <w:r>
              <w:rPr>
                <w:rFonts w:ascii="Arial" w:hAnsi="Arial"/>
                <w:b/>
                <w:noProof/>
                <w:color w:val="000000"/>
                <w:sz w:val="16"/>
              </w:rPr>
              <w:t>869 983</w:t>
            </w:r>
          </w:p>
        </w:tc>
        <w:tc>
          <w:tcPr>
            <w:tcW w:w="1500" w:type="dxa"/>
            <w:tcBorders>
              <w:top w:val="nil"/>
              <w:left w:val="nil"/>
              <w:bottom w:val="nil"/>
              <w:right w:val="nil"/>
              <w:tl2br w:val="nil"/>
              <w:tr2bl w:val="nil"/>
            </w:tcBorders>
            <w:shd w:val="clear" w:color="FFFFFF" w:fill="BFBFBF"/>
            <w:tcMar>
              <w:left w:w="0" w:type="dxa"/>
              <w:right w:w="0" w:type="dxa"/>
            </w:tcMar>
            <w:vAlign w:val="center"/>
          </w:tcPr>
          <w:p>
            <w:pPr>
              <w:pStyle w:val="Normal23"/>
              <w:jc w:val="right"/>
              <w:rPr>
                <w:rFonts w:ascii="Arial" w:eastAsia="Arial" w:hAnsi="Arial" w:cs="Arial"/>
                <w:b/>
                <w:noProof/>
                <w:color w:val="000000"/>
                <w:sz w:val="16"/>
              </w:rPr>
            </w:pPr>
          </w:p>
        </w:tc>
      </w:tr>
    </w:tbl>
    <w:p>
      <w:pPr>
        <w:pStyle w:val="Default"/>
        <w:pBdr>
          <w:top w:val="nil"/>
          <w:left w:val="nil"/>
          <w:bottom w:val="nil"/>
          <w:right w:val="nil"/>
          <w:between w:val="nil"/>
          <w:bar w:val="nil"/>
        </w:pBdr>
        <w:jc w:val="both"/>
        <w:rPr>
          <w:noProof/>
          <w:sz w:val="16"/>
          <w:szCs w:val="16"/>
          <w:bdr w:val="nil"/>
        </w:rPr>
      </w:pPr>
    </w:p>
    <w:p>
      <w:pPr>
        <w:pStyle w:val="Default"/>
        <w:pBdr>
          <w:top w:val="nil"/>
          <w:left w:val="nil"/>
          <w:bottom w:val="nil"/>
          <w:right w:val="nil"/>
          <w:between w:val="nil"/>
          <w:bar w:val="nil"/>
        </w:pBdr>
        <w:jc w:val="both"/>
        <w:rPr>
          <w:noProof/>
          <w:sz w:val="16"/>
          <w:szCs w:val="16"/>
          <w:bdr w:val="nil"/>
        </w:rPr>
      </w:pPr>
      <w:r>
        <w:rPr>
          <w:noProof/>
          <w:sz w:val="16"/>
          <w:bdr w:val="nil"/>
        </w:rPr>
        <w:t>Дирекцията за управление и преструктуриране на операциите е натоварена да извършва мониторинг на кредитополучателя и на гаранта, както и финансов и договорен мониторинг на проектите. Така качеството на заемите и кредитоспособността на длъжниците и гарантите на механизма се контролират редовно — най-малко веднъж годишно или по-често при необходимост и при настъпване на кредитни събития. По-специално, Дирекцията за управление и преструктуриране на операциите проверява дали са изпълнени договорните права и в случай на влошаване на рейтинга и/или неизпълнение на договор се предприемат коригиращи действия. Прилагат се мерки за намаляване на риска, когато е необходимо, в съответствие с насоките за кредитния риск. Също така в случай на подновяване на банкови гаранции, получени по заеми от ЕИБ, банката гарантира, че тези гаранции се заменят, или предприема своевременни действия.</w:t>
      </w:r>
    </w:p>
    <w:p>
      <w:pPr>
        <w:pStyle w:val="Default"/>
        <w:pBdr>
          <w:top w:val="nil"/>
          <w:left w:val="nil"/>
          <w:bottom w:val="nil"/>
          <w:right w:val="nil"/>
          <w:between w:val="nil"/>
          <w:bar w:val="nil"/>
        </w:pBdr>
        <w:jc w:val="both"/>
        <w:rPr>
          <w:noProof/>
          <w:sz w:val="16"/>
          <w:szCs w:val="16"/>
          <w:bdr w:val="nil"/>
        </w:rPr>
      </w:pPr>
      <w:r>
        <w:rPr>
          <w:noProof/>
        </w:rPr>
        <w:t xml:space="preserve"> </w:t>
      </w:r>
    </w:p>
    <w:p>
      <w:pPr>
        <w:pStyle w:val="Notes8"/>
        <w:pageBreakBefore/>
        <w:numPr>
          <w:ilvl w:val="3"/>
          <w:numId w:val="85"/>
        </w:numPr>
        <w:tabs>
          <w:tab w:val="clear" w:pos="4320"/>
          <w:tab w:val="clear" w:pos="8640"/>
          <w:tab w:val="right" w:pos="-2700"/>
          <w:tab w:val="right" w:pos="720"/>
        </w:tabs>
        <w:spacing w:before="60" w:after="60"/>
        <w:rPr>
          <w:bCs/>
          <w:noProof/>
          <w:sz w:val="16"/>
          <w:szCs w:val="16"/>
        </w:rPr>
      </w:pPr>
      <w:r>
        <w:rPr>
          <w:noProof/>
          <w:sz w:val="16"/>
        </w:rPr>
        <w:t>Анализ на кредитното качество по видове заемополучатели</w:t>
      </w:r>
    </w:p>
    <w:p>
      <w:pPr>
        <w:pStyle w:val="Notes8"/>
        <w:numPr>
          <w:ilvl w:val="0"/>
          <w:numId w:val="0"/>
        </w:numPr>
        <w:tabs>
          <w:tab w:val="clear" w:pos="4320"/>
          <w:tab w:val="clear" w:pos="8640"/>
          <w:tab w:val="right" w:pos="-2700"/>
          <w:tab w:val="right" w:pos="720"/>
        </w:tabs>
        <w:spacing w:before="60" w:after="60"/>
        <w:rPr>
          <w:b w:val="0"/>
          <w:bCs/>
          <w:noProof/>
          <w:sz w:val="16"/>
          <w:szCs w:val="16"/>
        </w:rPr>
      </w:pPr>
    </w:p>
    <w:p>
      <w:pPr>
        <w:pStyle w:val="Notes8"/>
        <w:numPr>
          <w:ilvl w:val="0"/>
          <w:numId w:val="0"/>
        </w:numPr>
        <w:tabs>
          <w:tab w:val="clear" w:pos="4320"/>
          <w:tab w:val="clear" w:pos="8640"/>
          <w:tab w:val="right" w:pos="-2700"/>
        </w:tabs>
        <w:spacing w:before="60" w:after="60"/>
        <w:rPr>
          <w:b w:val="0"/>
          <w:noProof/>
          <w:sz w:val="16"/>
          <w:szCs w:val="16"/>
        </w:rPr>
      </w:pPr>
      <w:r>
        <w:rPr>
          <w:b w:val="0"/>
          <w:noProof/>
          <w:sz w:val="16"/>
        </w:rPr>
        <w:t>Таблиците по-долу показват анализа на кредитното качество на портфейла от заеми на механизма към 31 декември 2018 г. и към 31 декември 2017 г. от приложенията за класификация на заеми, въз основа на подписаните експозиции (изплатени и неизплатени):</w:t>
      </w:r>
    </w:p>
    <w:p>
      <w:pPr>
        <w:pStyle w:val="Notes8"/>
        <w:numPr>
          <w:ilvl w:val="0"/>
          <w:numId w:val="0"/>
        </w:numPr>
        <w:tabs>
          <w:tab w:val="clear" w:pos="4320"/>
          <w:tab w:val="clear" w:pos="8640"/>
          <w:tab w:val="right" w:pos="-2700"/>
        </w:tabs>
        <w:spacing w:before="60" w:after="60"/>
        <w:rPr>
          <w:b w:val="0"/>
          <w:noProof/>
          <w:sz w:val="16"/>
          <w:szCs w:val="16"/>
        </w:rPr>
      </w:pPr>
      <w:r>
        <w:rPr>
          <w:noProof/>
        </w:rPr>
        <w:t xml:space="preserve"> </w:t>
      </w:r>
    </w:p>
    <w:tbl>
      <w:tblPr>
        <w:tblStyle w:val="CDMRange12"/>
        <w:tblW w:w="9975" w:type="dxa"/>
        <w:tblLayout w:type="fixed"/>
        <w:tblLook w:val="0600" w:firstRow="0" w:lastRow="0" w:firstColumn="0" w:lastColumn="0" w:noHBand="1" w:noVBand="1"/>
      </w:tblPr>
      <w:tblGrid>
        <w:gridCol w:w="1316"/>
        <w:gridCol w:w="1309"/>
        <w:gridCol w:w="1050"/>
        <w:gridCol w:w="1050"/>
        <w:gridCol w:w="1050"/>
        <w:gridCol w:w="1050"/>
        <w:gridCol w:w="1050"/>
        <w:gridCol w:w="1050"/>
        <w:gridCol w:w="1050"/>
      </w:tblGrid>
      <w:tr>
        <w:trPr>
          <w:trHeight w:val="300"/>
        </w:trPr>
        <w:tc>
          <w:tcPr>
            <w:tcW w:w="1316"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b/>
                <w:noProof/>
                <w:color w:val="000000"/>
                <w:spacing w:val="-6"/>
                <w:sz w:val="16"/>
              </w:rPr>
            </w:pPr>
            <w:r>
              <w:rPr>
                <w:rFonts w:ascii="Arial" w:hAnsi="Arial"/>
                <w:b/>
                <w:noProof/>
                <w:color w:val="000000"/>
                <w:spacing w:val="-6"/>
                <w:sz w:val="16"/>
              </w:rPr>
              <w:t>Към 31.12.2018 г.</w:t>
            </w:r>
          </w:p>
        </w:tc>
        <w:tc>
          <w:tcPr>
            <w:tcW w:w="1309"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 Висок рейтинг </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 Стандартен рейтинг </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 Приемлив минимум риск</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 Висок риск </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 Без рейтинг</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 Общо </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от общото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316"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b/>
                <w:noProof/>
                <w:color w:val="000000"/>
                <w:sz w:val="16"/>
              </w:rPr>
            </w:pPr>
            <w:r>
              <w:rPr>
                <w:rFonts w:ascii="Arial" w:hAnsi="Arial"/>
                <w:b/>
                <w:noProof/>
                <w:color w:val="000000"/>
                <w:sz w:val="16"/>
              </w:rPr>
              <w:t>хиляди евро</w:t>
            </w:r>
          </w:p>
        </w:tc>
        <w:tc>
          <w:tcPr>
            <w:tcW w:w="1309" w:type="dxa"/>
            <w:tcBorders>
              <w:top w:val="nil"/>
              <w:left w:val="nil"/>
              <w:bottom w:val="nil"/>
              <w:right w:val="nil"/>
              <w:tl2br w:val="nil"/>
              <w:tr2bl w:val="nil"/>
            </w:tcBorders>
            <w:shd w:val="clear" w:color="auto" w:fill="auto"/>
            <w:noWrap/>
            <w:tcMar>
              <w:left w:w="0" w:type="dxa"/>
              <w:right w:w="0" w:type="dxa"/>
            </w:tcMar>
            <w:vAlign w:val="center"/>
          </w:tcPr>
          <w:p>
            <w:pPr>
              <w:pStyle w:val="Normal25"/>
              <w:jc w:val="center"/>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316"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309"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A до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 D- и по-нисък</w:t>
            </w:r>
          </w:p>
        </w:tc>
        <w:tc>
          <w:tcPr>
            <w:tcW w:w="10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16"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rPr>
                <w:rFonts w:ascii="Arial" w:eastAsia="Arial" w:hAnsi="Arial" w:cs="Arial"/>
                <w:noProof/>
                <w:color w:val="000000"/>
                <w:spacing w:val="-2"/>
                <w:sz w:val="16"/>
              </w:rPr>
            </w:pPr>
            <w:r>
              <w:rPr>
                <w:rFonts w:ascii="Arial" w:hAnsi="Arial"/>
                <w:noProof/>
                <w:color w:val="000000"/>
                <w:spacing w:val="-2"/>
                <w:sz w:val="16"/>
              </w:rPr>
              <w:t>Заемополучател</w:t>
            </w:r>
          </w:p>
        </w:tc>
        <w:tc>
          <w:tcPr>
            <w:tcW w:w="1309"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color w:val="000000"/>
                <w:sz w:val="16"/>
              </w:rPr>
              <w:t>Банки</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232 467</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238 619</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349 756</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698 562</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1 519 404</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16" w:type="dxa"/>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09"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color w:val="000000"/>
                <w:sz w:val="16"/>
              </w:rPr>
              <w:t>Предприятия</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103 845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7 564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744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693 100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50 000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855 253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16" w:type="dxa"/>
            <w:vMerge w:val="restart"/>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09"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color w:val="000000"/>
                <w:sz w:val="16"/>
              </w:rPr>
              <w:t>Публични институции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29 182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2 994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32 176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16" w:type="dxa"/>
            <w:vMerge/>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09"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color w:val="000000"/>
                <w:sz w:val="16"/>
              </w:rPr>
              <w:t>Държави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4 786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7 681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381 801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394 268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16" w:type="dxa"/>
            <w:tcBorders>
              <w:top w:val="nil"/>
              <w:left w:val="nil"/>
              <w:bottom w:val="nil"/>
              <w:right w:val="nil"/>
              <w:tl2br w:val="nil"/>
              <w:tr2bl w:val="nil"/>
            </w:tcBorders>
            <w:shd w:val="clear" w:color="FFFFFF" w:fill="BFBFBF"/>
            <w:noWrap/>
            <w:tcMar>
              <w:left w:w="40" w:type="dxa"/>
              <w:right w:w="40" w:type="dxa"/>
            </w:tcMar>
            <w:vAlign w:val="center"/>
          </w:tcPr>
          <w:p>
            <w:pPr>
              <w:pStyle w:val="Normal25"/>
              <w:rPr>
                <w:rFonts w:ascii="Arial" w:eastAsia="Arial" w:hAnsi="Arial" w:cs="Arial"/>
                <w:b/>
                <w:noProof/>
                <w:color w:val="000000"/>
                <w:sz w:val="16"/>
              </w:rPr>
            </w:pPr>
            <w:r>
              <w:rPr>
                <w:rFonts w:ascii="Arial" w:hAnsi="Arial"/>
                <w:b/>
                <w:noProof/>
                <w:color w:val="000000"/>
                <w:sz w:val="16"/>
              </w:rPr>
              <w:t>Общо</w:t>
            </w:r>
          </w:p>
        </w:tc>
        <w:tc>
          <w:tcPr>
            <w:tcW w:w="1309" w:type="dxa"/>
            <w:tcBorders>
              <w:top w:val="nil"/>
              <w:left w:val="nil"/>
              <w:bottom w:val="nil"/>
              <w:right w:val="nil"/>
              <w:tl2br w:val="nil"/>
              <w:tr2bl w:val="nil"/>
            </w:tcBorders>
            <w:shd w:val="clear" w:color="FFFFFF" w:fill="BFBFBF"/>
            <w:noWrap/>
            <w:tcMar>
              <w:left w:w="0" w:type="dxa"/>
              <w:right w:w="0" w:type="dxa"/>
            </w:tcMar>
            <w:vAlign w:val="center"/>
          </w:tcPr>
          <w:p>
            <w:pPr>
              <w:pStyle w:val="Normal25"/>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336 312</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250 969</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387 363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1 776 457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50 000</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2 801 101</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1316"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309"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16"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b/>
                <w:noProof/>
                <w:color w:val="000000"/>
                <w:sz w:val="16"/>
              </w:rPr>
            </w:pPr>
            <w:r>
              <w:rPr>
                <w:rFonts w:ascii="Arial" w:hAnsi="Arial"/>
                <w:b/>
                <w:noProof/>
                <w:color w:val="000000"/>
                <w:sz w:val="16"/>
              </w:rPr>
              <w:t>Към 31.12.2017 г.</w:t>
            </w:r>
          </w:p>
        </w:tc>
        <w:tc>
          <w:tcPr>
            <w:tcW w:w="1309"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 Висок рейтинг </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 Стандартен рейтинг </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 Приемлив минимум риск</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 Висок риск </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 Без рейтинг</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 Общо </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от общото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316"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b/>
                <w:noProof/>
                <w:color w:val="000000"/>
                <w:sz w:val="16"/>
              </w:rPr>
            </w:pPr>
            <w:r>
              <w:rPr>
                <w:rFonts w:ascii="Arial" w:hAnsi="Arial"/>
                <w:b/>
                <w:noProof/>
                <w:color w:val="000000"/>
                <w:sz w:val="16"/>
              </w:rPr>
              <w:t>хиляди евро</w:t>
            </w:r>
          </w:p>
        </w:tc>
        <w:tc>
          <w:tcPr>
            <w:tcW w:w="1309" w:type="dxa"/>
            <w:tcBorders>
              <w:top w:val="nil"/>
              <w:left w:val="nil"/>
              <w:bottom w:val="nil"/>
              <w:right w:val="nil"/>
              <w:tl2br w:val="nil"/>
              <w:tr2bl w:val="nil"/>
            </w:tcBorders>
            <w:shd w:val="clear" w:color="auto" w:fill="auto"/>
            <w:noWrap/>
            <w:tcMar>
              <w:left w:w="0" w:type="dxa"/>
              <w:right w:w="0" w:type="dxa"/>
            </w:tcMar>
            <w:vAlign w:val="center"/>
          </w:tcPr>
          <w:p>
            <w:pPr>
              <w:pStyle w:val="Normal25"/>
              <w:jc w:val="center"/>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2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316"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309"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A до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 xml:space="preserve"> D- и по-нисък</w:t>
            </w:r>
          </w:p>
        </w:tc>
        <w:tc>
          <w:tcPr>
            <w:tcW w:w="10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center"/>
          </w:tcPr>
          <w:p>
            <w:pPr>
              <w:pStyle w:val="Normal25"/>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25"/>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25"/>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16"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rPr>
                <w:rFonts w:ascii="Arial" w:eastAsia="Arial" w:hAnsi="Arial" w:cs="Arial"/>
                <w:noProof/>
                <w:color w:val="000000"/>
                <w:sz w:val="16"/>
              </w:rPr>
            </w:pPr>
            <w:r>
              <w:rPr>
                <w:rFonts w:ascii="Arial" w:hAnsi="Arial"/>
                <w:noProof/>
                <w:color w:val="000000"/>
                <w:sz w:val="16"/>
              </w:rPr>
              <w:t>Заемополучател</w:t>
            </w:r>
          </w:p>
        </w:tc>
        <w:tc>
          <w:tcPr>
            <w:tcW w:w="1309"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color w:val="000000"/>
                <w:sz w:val="16"/>
              </w:rPr>
              <w:t>Банки</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208 601</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187 225</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189 727</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870 913</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1 456 466</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58 %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16" w:type="dxa"/>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09"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color w:val="000000"/>
                <w:sz w:val="16"/>
              </w:rPr>
              <w:t>Предприятия</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114 769</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8 018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3 288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533 382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1 428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660 885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16" w:type="dxa"/>
            <w:vMerge w:val="restart"/>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09"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color w:val="000000"/>
                <w:sz w:val="16"/>
              </w:rPr>
              <w:t>Публични институции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30 882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30 882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16" w:type="dxa"/>
            <w:vMerge/>
            <w:tcBorders>
              <w:top w:val="nil"/>
              <w:left w:val="nil"/>
              <w:bottom w:val="nil"/>
              <w:right w:val="nil"/>
              <w:tl2br w:val="nil"/>
              <w:tr2bl w:val="nil"/>
            </w:tcBorders>
            <w:shd w:val="clear" w:color="auto" w:fill="auto"/>
            <w:tcMar>
              <w:left w:w="0" w:type="dxa"/>
              <w:right w:w="0" w:type="dxa"/>
            </w:tcMar>
            <w:vAlign w:val="center"/>
          </w:tcPr>
          <w:p>
            <w:pPr>
              <w:pStyle w:val="Normal25"/>
              <w:jc w:val="center"/>
              <w:rPr>
                <w:rFonts w:ascii="Arial" w:eastAsia="Arial" w:hAnsi="Arial" w:cs="Arial"/>
                <w:noProof/>
                <w:color w:val="000000"/>
                <w:sz w:val="16"/>
              </w:rPr>
            </w:pPr>
          </w:p>
        </w:tc>
        <w:tc>
          <w:tcPr>
            <w:tcW w:w="1309" w:type="dxa"/>
            <w:tcBorders>
              <w:top w:val="nil"/>
              <w:left w:val="nil"/>
              <w:bottom w:val="nil"/>
              <w:right w:val="nil"/>
              <w:tl2br w:val="nil"/>
              <w:tr2bl w:val="nil"/>
            </w:tcBorders>
            <w:shd w:val="clear" w:color="auto" w:fill="auto"/>
            <w:noWrap/>
            <w:tcMar>
              <w:left w:w="40" w:type="dxa"/>
              <w:right w:w="40" w:type="dxa"/>
            </w:tcMar>
            <w:vAlign w:val="center"/>
          </w:tcPr>
          <w:p>
            <w:pPr>
              <w:pStyle w:val="Normal25"/>
              <w:rPr>
                <w:rFonts w:ascii="Arial" w:eastAsia="Arial" w:hAnsi="Arial" w:cs="Arial"/>
                <w:noProof/>
                <w:color w:val="000000"/>
                <w:sz w:val="16"/>
              </w:rPr>
            </w:pPr>
            <w:r>
              <w:rPr>
                <w:rFonts w:ascii="Arial" w:hAnsi="Arial"/>
                <w:noProof/>
                <w:color w:val="000000"/>
                <w:sz w:val="16"/>
              </w:rPr>
              <w:t>Държави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13 861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374 614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388 475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16" w:type="dxa"/>
            <w:tcBorders>
              <w:top w:val="nil"/>
              <w:left w:val="nil"/>
              <w:bottom w:val="nil"/>
              <w:right w:val="nil"/>
              <w:tl2br w:val="nil"/>
              <w:tr2bl w:val="nil"/>
            </w:tcBorders>
            <w:shd w:val="clear" w:color="FFFFFF" w:fill="BFBFBF"/>
            <w:noWrap/>
            <w:tcMar>
              <w:left w:w="40" w:type="dxa"/>
              <w:right w:w="40" w:type="dxa"/>
            </w:tcMar>
            <w:vAlign w:val="center"/>
          </w:tcPr>
          <w:p>
            <w:pPr>
              <w:pStyle w:val="Normal25"/>
              <w:rPr>
                <w:rFonts w:ascii="Arial" w:eastAsia="Arial" w:hAnsi="Arial" w:cs="Arial"/>
                <w:b/>
                <w:noProof/>
                <w:color w:val="000000"/>
                <w:sz w:val="16"/>
              </w:rPr>
            </w:pPr>
            <w:r>
              <w:rPr>
                <w:rFonts w:ascii="Arial" w:hAnsi="Arial"/>
                <w:b/>
                <w:noProof/>
                <w:color w:val="000000"/>
                <w:sz w:val="16"/>
              </w:rPr>
              <w:t>Общо</w:t>
            </w:r>
          </w:p>
        </w:tc>
        <w:tc>
          <w:tcPr>
            <w:tcW w:w="1309" w:type="dxa"/>
            <w:tcBorders>
              <w:top w:val="nil"/>
              <w:left w:val="nil"/>
              <w:bottom w:val="nil"/>
              <w:right w:val="nil"/>
              <w:tl2br w:val="nil"/>
              <w:tr2bl w:val="nil"/>
            </w:tcBorders>
            <w:shd w:val="clear" w:color="FFFFFF" w:fill="BFBFBF"/>
            <w:noWrap/>
            <w:tcMar>
              <w:left w:w="0" w:type="dxa"/>
              <w:right w:w="0" w:type="dxa"/>
            </w:tcMar>
            <w:vAlign w:val="center"/>
          </w:tcPr>
          <w:p>
            <w:pPr>
              <w:pStyle w:val="Normal25"/>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323 370</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195 243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237 758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1 778 909</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1 428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2 536 708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25"/>
              <w:jc w:val="right"/>
              <w:rPr>
                <w:rFonts w:ascii="Arial" w:eastAsia="Arial" w:hAnsi="Arial" w:cs="Arial"/>
                <w:b/>
                <w:noProof/>
                <w:color w:val="000000"/>
                <w:sz w:val="16"/>
              </w:rPr>
            </w:pPr>
            <w:r>
              <w:rPr>
                <w:rFonts w:ascii="Arial" w:hAnsi="Arial"/>
                <w:b/>
                <w:noProof/>
                <w:color w:val="000000"/>
                <w:sz w:val="16"/>
              </w:rPr>
              <w:t>100%</w:t>
            </w:r>
          </w:p>
        </w:tc>
      </w:tr>
    </w:tbl>
    <w:p>
      <w:pPr>
        <w:pStyle w:val="Notes9"/>
        <w:pageBreakBefore/>
        <w:numPr>
          <w:ilvl w:val="3"/>
          <w:numId w:val="86"/>
        </w:numPr>
        <w:tabs>
          <w:tab w:val="clear" w:pos="4320"/>
          <w:tab w:val="clear" w:pos="8640"/>
          <w:tab w:val="right" w:pos="-2700"/>
          <w:tab w:val="right" w:pos="720"/>
        </w:tabs>
        <w:spacing w:before="60" w:after="60"/>
        <w:rPr>
          <w:bCs/>
          <w:noProof/>
          <w:sz w:val="16"/>
          <w:szCs w:val="16"/>
        </w:rPr>
      </w:pPr>
      <w:r>
        <w:rPr>
          <w:noProof/>
          <w:sz w:val="16"/>
        </w:rPr>
        <w:t xml:space="preserve">Концентрации на риска за заеми и аванси </w:t>
      </w:r>
    </w:p>
    <w:p>
      <w:pPr>
        <w:pStyle w:val="Notes9"/>
        <w:numPr>
          <w:ilvl w:val="0"/>
          <w:numId w:val="0"/>
        </w:numPr>
        <w:tabs>
          <w:tab w:val="clear" w:pos="4320"/>
          <w:tab w:val="clear" w:pos="8640"/>
          <w:tab w:val="right" w:pos="-2700"/>
          <w:tab w:val="right" w:pos="720"/>
        </w:tabs>
        <w:spacing w:before="60" w:after="60"/>
        <w:rPr>
          <w:bCs/>
          <w:noProof/>
          <w:sz w:val="16"/>
          <w:szCs w:val="16"/>
        </w:rPr>
      </w:pPr>
    </w:p>
    <w:p>
      <w:pPr>
        <w:pStyle w:val="Notes9"/>
        <w:numPr>
          <w:ilvl w:val="4"/>
          <w:numId w:val="86"/>
        </w:numPr>
        <w:tabs>
          <w:tab w:val="clear" w:pos="4320"/>
          <w:tab w:val="clear" w:pos="8640"/>
          <w:tab w:val="right" w:pos="-2700"/>
          <w:tab w:val="left" w:pos="993"/>
        </w:tabs>
        <w:spacing w:before="60" w:after="60"/>
        <w:rPr>
          <w:noProof/>
          <w:sz w:val="16"/>
          <w:szCs w:val="16"/>
        </w:rPr>
      </w:pPr>
      <w:r>
        <w:rPr>
          <w:noProof/>
          <w:sz w:val="16"/>
        </w:rPr>
        <w:t>Географски анализ</w:t>
      </w:r>
    </w:p>
    <w:p>
      <w:pPr>
        <w:pStyle w:val="Notes9"/>
        <w:numPr>
          <w:ilvl w:val="0"/>
          <w:numId w:val="0"/>
        </w:numPr>
        <w:tabs>
          <w:tab w:val="clear" w:pos="4320"/>
          <w:tab w:val="clear" w:pos="8640"/>
          <w:tab w:val="right" w:pos="-2700"/>
        </w:tabs>
        <w:spacing w:before="60" w:after="60"/>
        <w:rPr>
          <w:b w:val="0"/>
          <w:noProof/>
          <w:sz w:val="16"/>
          <w:szCs w:val="16"/>
        </w:rPr>
      </w:pPr>
    </w:p>
    <w:p>
      <w:pPr>
        <w:pStyle w:val="Notes9"/>
        <w:numPr>
          <w:ilvl w:val="0"/>
          <w:numId w:val="0"/>
        </w:numPr>
        <w:tabs>
          <w:tab w:val="clear" w:pos="4320"/>
          <w:tab w:val="clear" w:pos="8640"/>
          <w:tab w:val="right" w:pos="-2700"/>
        </w:tabs>
        <w:spacing w:before="60" w:after="60"/>
        <w:rPr>
          <w:b w:val="0"/>
          <w:noProof/>
          <w:sz w:val="16"/>
          <w:szCs w:val="16"/>
        </w:rPr>
      </w:pPr>
      <w:r>
        <w:rPr>
          <w:b w:val="0"/>
          <w:noProof/>
          <w:sz w:val="16"/>
        </w:rPr>
        <w:t>Въз основа на държавата на заемополучателя портфейлът от заеми на механизма може да бъде анализиран от следните географски региони (в хиляди евро):</w:t>
      </w:r>
    </w:p>
    <w:p>
      <w:pPr>
        <w:pStyle w:val="Notes9"/>
        <w:numPr>
          <w:ilvl w:val="0"/>
          <w:numId w:val="0"/>
        </w:numPr>
        <w:tabs>
          <w:tab w:val="clear" w:pos="4320"/>
          <w:tab w:val="clear" w:pos="8640"/>
          <w:tab w:val="right" w:pos="-2700"/>
        </w:tabs>
        <w:spacing w:before="60" w:after="60"/>
        <w:rPr>
          <w:b w:val="0"/>
          <w:noProof/>
          <w:sz w:val="16"/>
          <w:szCs w:val="16"/>
        </w:rPr>
      </w:pPr>
      <w:r>
        <w:rPr>
          <w:noProof/>
        </w:rPr>
        <w:t xml:space="preserve"> </w:t>
      </w:r>
    </w:p>
    <w:tbl>
      <w:tblPr>
        <w:tblStyle w:val="CDMRange22"/>
        <w:tblW w:w="9975" w:type="dxa"/>
        <w:tblLayout w:type="fixed"/>
        <w:tblLook w:val="0600" w:firstRow="0" w:lastRow="0" w:firstColumn="0" w:lastColumn="0" w:noHBand="1" w:noVBand="1"/>
      </w:tblPr>
      <w:tblGrid>
        <w:gridCol w:w="6975"/>
        <w:gridCol w:w="1500"/>
        <w:gridCol w:w="1500"/>
      </w:tblGrid>
      <w:tr>
        <w:trPr>
          <w:trHeight w:val="31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7"/>
              <w:rPr>
                <w:rFonts w:ascii="Arial" w:eastAsia="Arial" w:hAnsi="Arial" w:cs="Arial"/>
                <w:b/>
                <w:noProof/>
                <w:color w:val="000000"/>
                <w:sz w:val="16"/>
              </w:rPr>
            </w:pPr>
            <w:r>
              <w:rPr>
                <w:rFonts w:ascii="Arial" w:hAnsi="Arial"/>
                <w:b/>
                <w:noProof/>
                <w:color w:val="000000"/>
                <w:sz w:val="16"/>
              </w:rPr>
              <w:t>Държава на заемополучателя</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7"/>
              <w:jc w:val="right"/>
              <w:rPr>
                <w:rFonts w:ascii="Arial" w:eastAsia="Arial" w:hAnsi="Arial" w:cs="Arial"/>
                <w:b/>
                <w:noProof/>
                <w:color w:val="000000"/>
                <w:sz w:val="16"/>
              </w:rPr>
            </w:pPr>
            <w:r>
              <w:rPr>
                <w:rFonts w:ascii="Arial" w:hAnsi="Arial"/>
                <w:b/>
                <w:noProof/>
                <w:color w:val="000000"/>
                <w:sz w:val="16"/>
              </w:rPr>
              <w:t>31.12.2018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7"/>
              <w:jc w:val="right"/>
              <w:rPr>
                <w:rFonts w:ascii="Arial" w:eastAsia="Arial" w:hAnsi="Arial" w:cs="Arial"/>
                <w:b/>
                <w:noProof/>
                <w:color w:val="000000"/>
                <w:sz w:val="16"/>
              </w:rPr>
            </w:pPr>
            <w:r>
              <w:rPr>
                <w:rFonts w:ascii="Arial" w:hAnsi="Arial"/>
                <w:b/>
                <w:noProof/>
                <w:color w:val="000000"/>
                <w:sz w:val="16"/>
              </w:rPr>
              <w:t>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Кения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233 269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331 891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Нигерия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172 515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230 042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Танзания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124 718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116 093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Уганда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81 766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169 869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Бурунди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77 568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74 703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Барбадос</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74 638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25 124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Египет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74 431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Ямайка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72 165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85 728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Конго (Демократична република)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62 708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62 439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Мавриций</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55 564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26 598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Етиопия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55 215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51 719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Доминиканска република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54 326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61 326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Мавритания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50 727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64 007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Гана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39 246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49 895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Того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30 634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45 574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Руанда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28 704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38 555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Малави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26 827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22 800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Регион — АКТБ</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24 335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751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Нова Каледония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21 124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21 670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Ангола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20 651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14 850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Кабо Верде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18 923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20 487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Сeнeгaл</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18 330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13 881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Замбия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17 700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10 910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Френска Полинезия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17 453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17 235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Камерун</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14 784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25 012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Мозамбик</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14 719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19 212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Кайманови острови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13 213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14 958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Нигер</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9 655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5 631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Ботсуана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7 278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7 618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Сейшелски острови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4 786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5 036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Мали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4 767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5 612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Хаити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4 748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6 006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Буркина Фасо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4 649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6 041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Самоа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3 986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5 100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Вануату</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1 848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2 162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Либерия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1 153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1 553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Палау</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1 107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1 384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Микронезия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759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868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Южна Африка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653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Намибия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1 971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Конго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1 730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7"/>
              <w:rPr>
                <w:rFonts w:ascii="Arial" w:eastAsia="Arial" w:hAnsi="Arial" w:cs="Arial"/>
                <w:noProof/>
                <w:color w:val="000000"/>
                <w:sz w:val="16"/>
              </w:rPr>
            </w:pPr>
            <w:r>
              <w:rPr>
                <w:rFonts w:ascii="Arial" w:hAnsi="Arial"/>
                <w:noProof/>
                <w:color w:val="000000"/>
                <w:sz w:val="16"/>
              </w:rPr>
              <w:t>Тонга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7"/>
              <w:jc w:val="right"/>
              <w:rPr>
                <w:rFonts w:ascii="Arial" w:eastAsia="Arial" w:hAnsi="Arial" w:cs="Arial"/>
                <w:noProof/>
                <w:color w:val="000000"/>
                <w:sz w:val="16"/>
              </w:rPr>
            </w:pPr>
            <w:r>
              <w:rPr>
                <w:rFonts w:ascii="Arial" w:hAnsi="Arial"/>
                <w:noProof/>
                <w:color w:val="000000"/>
                <w:sz w:val="16"/>
              </w:rPr>
              <w:t>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27"/>
              <w:rPr>
                <w:rFonts w:ascii="Arial" w:eastAsia="Arial" w:hAnsi="Arial" w:cs="Arial"/>
                <w:b/>
                <w:noProof/>
                <w:color w:val="000000"/>
                <w:sz w:val="16"/>
              </w:rPr>
            </w:pPr>
            <w:r>
              <w:rPr>
                <w:rFonts w:ascii="Arial" w:hAnsi="Arial"/>
                <w:b/>
                <w:noProof/>
                <w:color w:val="000000"/>
                <w:sz w:val="16"/>
              </w:rPr>
              <w:t>Общо</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27"/>
              <w:jc w:val="right"/>
              <w:rPr>
                <w:rFonts w:ascii="Arial" w:eastAsia="Arial" w:hAnsi="Arial" w:cs="Arial"/>
                <w:b/>
                <w:noProof/>
                <w:color w:val="000000"/>
                <w:sz w:val="16"/>
              </w:rPr>
            </w:pPr>
            <w:r>
              <w:rPr>
                <w:rFonts w:ascii="Arial" w:hAnsi="Arial"/>
                <w:b/>
                <w:noProof/>
                <w:color w:val="000000"/>
                <w:sz w:val="16"/>
              </w:rPr>
              <w:t>1 540 991</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27"/>
              <w:jc w:val="right"/>
              <w:rPr>
                <w:rFonts w:ascii="Arial" w:eastAsia="Arial" w:hAnsi="Arial" w:cs="Arial"/>
                <w:b/>
                <w:noProof/>
                <w:color w:val="000000"/>
                <w:sz w:val="16"/>
              </w:rPr>
            </w:pPr>
            <w:r>
              <w:rPr>
                <w:rFonts w:ascii="Arial" w:hAnsi="Arial"/>
                <w:b/>
                <w:noProof/>
                <w:color w:val="000000"/>
                <w:sz w:val="16"/>
              </w:rPr>
              <w:t>1 666 725</w:t>
            </w:r>
          </w:p>
        </w:tc>
      </w:tr>
    </w:tbl>
    <w:p>
      <w:pPr>
        <w:pStyle w:val="Notes10"/>
        <w:pageBreakBefore/>
        <w:numPr>
          <w:ilvl w:val="4"/>
          <w:numId w:val="87"/>
        </w:numPr>
        <w:tabs>
          <w:tab w:val="clear" w:pos="4320"/>
          <w:tab w:val="clear" w:pos="8640"/>
          <w:tab w:val="right" w:pos="-2700"/>
          <w:tab w:val="left" w:pos="993"/>
        </w:tabs>
        <w:spacing w:before="60" w:after="60"/>
        <w:rPr>
          <w:noProof/>
          <w:sz w:val="16"/>
          <w:szCs w:val="16"/>
        </w:rPr>
      </w:pPr>
      <w:r>
        <w:rPr>
          <w:noProof/>
          <w:sz w:val="16"/>
        </w:rPr>
        <w:t>Анализ по отрасли</w:t>
      </w:r>
    </w:p>
    <w:p>
      <w:pPr>
        <w:pStyle w:val="Notes10"/>
        <w:numPr>
          <w:ilvl w:val="0"/>
          <w:numId w:val="0"/>
        </w:numPr>
        <w:tabs>
          <w:tab w:val="clear" w:pos="4320"/>
          <w:tab w:val="clear" w:pos="8640"/>
          <w:tab w:val="right" w:pos="-2700"/>
          <w:tab w:val="left" w:pos="993"/>
        </w:tabs>
        <w:spacing w:before="60" w:after="60"/>
        <w:rPr>
          <w:b w:val="0"/>
          <w:noProof/>
          <w:sz w:val="16"/>
          <w:szCs w:val="16"/>
        </w:rPr>
      </w:pPr>
    </w:p>
    <w:p>
      <w:pPr>
        <w:pStyle w:val="Normal28"/>
        <w:spacing w:before="60" w:after="60"/>
        <w:jc w:val="both"/>
        <w:rPr>
          <w:rFonts w:ascii="Arial" w:hAnsi="Arial"/>
          <w:noProof/>
          <w:sz w:val="16"/>
          <w:szCs w:val="16"/>
        </w:rPr>
      </w:pPr>
      <w:r>
        <w:rPr>
          <w:rFonts w:ascii="Arial" w:hAnsi="Arial"/>
          <w:noProof/>
          <w:sz w:val="16"/>
        </w:rPr>
        <w:t>В таблицата по-долу се прави анализ на портфейла от заеми на механизма по отрасли на заемополучателя. Операциите, които са отпуснати първо на финансов посредник, преди да бъдат отпуснати на крайния бенефициер, са записани като общи заеми (в хиляди евро):</w:t>
      </w:r>
    </w:p>
    <w:p>
      <w:pPr>
        <w:pStyle w:val="Normal28"/>
        <w:spacing w:before="60" w:after="60"/>
        <w:jc w:val="both"/>
        <w:rPr>
          <w:rFonts w:ascii="Arial" w:hAnsi="Arial"/>
          <w:noProof/>
          <w:sz w:val="16"/>
          <w:szCs w:val="16"/>
        </w:rPr>
      </w:pPr>
      <w:r>
        <w:rPr>
          <w:noProof/>
        </w:rPr>
        <w:t xml:space="preserve"> </w:t>
      </w:r>
    </w:p>
    <w:tbl>
      <w:tblPr>
        <w:tblStyle w:val="CDMRange13"/>
        <w:tblW w:w="9975" w:type="dxa"/>
        <w:tblLayout w:type="fixed"/>
        <w:tblLook w:val="0600" w:firstRow="0" w:lastRow="0" w:firstColumn="0" w:lastColumn="0" w:noHBand="1" w:noVBand="1"/>
      </w:tblPr>
      <w:tblGrid>
        <w:gridCol w:w="6975"/>
        <w:gridCol w:w="1500"/>
        <w:gridCol w:w="1500"/>
      </w:tblGrid>
      <w:tr>
        <w:trPr>
          <w:trHeight w:val="31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9"/>
              <w:rPr>
                <w:rFonts w:ascii="Arial" w:eastAsia="Arial" w:hAnsi="Arial" w:cs="Arial"/>
                <w:b/>
                <w:noProof/>
                <w:color w:val="000000"/>
                <w:sz w:val="16"/>
              </w:rPr>
            </w:pPr>
            <w:r>
              <w:rPr>
                <w:rFonts w:ascii="Arial" w:hAnsi="Arial"/>
                <w:b/>
                <w:noProof/>
                <w:color w:val="000000"/>
                <w:sz w:val="16"/>
              </w:rPr>
              <w:t>Отрасъл на заемополучателя</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9"/>
              <w:jc w:val="right"/>
              <w:rPr>
                <w:rFonts w:ascii="Arial" w:eastAsia="Arial" w:hAnsi="Arial" w:cs="Arial"/>
                <w:b/>
                <w:noProof/>
                <w:color w:val="000000"/>
                <w:sz w:val="16"/>
              </w:rPr>
            </w:pPr>
            <w:r>
              <w:rPr>
                <w:rFonts w:ascii="Arial" w:hAnsi="Arial"/>
                <w:b/>
                <w:noProof/>
                <w:color w:val="000000"/>
                <w:sz w:val="16"/>
              </w:rPr>
              <w:t>31.12.2018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29"/>
              <w:jc w:val="right"/>
              <w:rPr>
                <w:rFonts w:ascii="Arial" w:eastAsia="Arial" w:hAnsi="Arial" w:cs="Arial"/>
                <w:b/>
                <w:noProof/>
                <w:color w:val="000000"/>
                <w:sz w:val="16"/>
              </w:rPr>
            </w:pPr>
            <w:r>
              <w:rPr>
                <w:rFonts w:ascii="Arial" w:hAnsi="Arial"/>
                <w:b/>
                <w:noProof/>
                <w:color w:val="000000"/>
                <w:sz w:val="16"/>
              </w:rPr>
              <w:t>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color w:val="000000"/>
                <w:sz w:val="16"/>
              </w:rPr>
              <w:t>Третичен сектор и други</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957 602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991 282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color w:val="000000"/>
                <w:sz w:val="16"/>
              </w:rPr>
              <w:t>Градско развитие, реновации и транспорт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192 400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194 101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color w:val="000000"/>
                <w:sz w:val="16"/>
              </w:rPr>
              <w:t>Електричество, въглища и други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181 317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290 364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color w:val="000000"/>
                <w:sz w:val="16"/>
              </w:rPr>
              <w:t>Суровини и минно дело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45 820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59 462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color w:val="000000"/>
                <w:sz w:val="16"/>
              </w:rPr>
              <w:t>Обработване на материали, строителство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33 144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2 194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color w:val="000000"/>
                <w:sz w:val="16"/>
              </w:rPr>
              <w:t>Пътища и магистрали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32 043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40 960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color w:val="000000"/>
                <w:sz w:val="16"/>
              </w:rPr>
              <w:t>Летища и системи за управление на въздушния трафик</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29 182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30 882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color w:val="000000"/>
                <w:sz w:val="16"/>
              </w:rPr>
              <w:t>Телекомуникации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26 095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20 310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color w:val="000000"/>
                <w:sz w:val="16"/>
              </w:rPr>
              <w:t>Химикали, пластмаси и фармацевтични продукти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20 436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color w:val="000000"/>
                <w:sz w:val="16"/>
              </w:rPr>
              <w:t>Верига за производство на храни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15 386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15 586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color w:val="000000"/>
                <w:sz w:val="16"/>
              </w:rPr>
              <w:t>Събиране на отпадъци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7 564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8 018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color w:val="000000"/>
                <w:sz w:val="16"/>
              </w:rPr>
              <w:t>Социална инфраструктура, образование и здравеопазване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1 100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29"/>
              <w:rPr>
                <w:rFonts w:ascii="Arial" w:eastAsia="Arial" w:hAnsi="Arial" w:cs="Arial"/>
                <w:noProof/>
                <w:color w:val="000000"/>
                <w:sz w:val="16"/>
              </w:rPr>
            </w:pPr>
            <w:r>
              <w:rPr>
                <w:rFonts w:ascii="Arial" w:hAnsi="Arial"/>
                <w:noProof/>
                <w:color w:val="000000"/>
                <w:sz w:val="16"/>
              </w:rPr>
              <w:t>Нефт, газ и петрол</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29"/>
              <w:jc w:val="right"/>
              <w:rPr>
                <w:rFonts w:ascii="Arial" w:eastAsia="Arial" w:hAnsi="Arial" w:cs="Arial"/>
                <w:noProof/>
                <w:color w:val="000000"/>
                <w:sz w:val="16"/>
              </w:rPr>
            </w:pPr>
            <w:r>
              <w:rPr>
                <w:rFonts w:ascii="Arial" w:hAnsi="Arial"/>
                <w:noProof/>
                <w:color w:val="000000"/>
                <w:sz w:val="16"/>
              </w:rPr>
              <w:t>12 466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29"/>
              <w:rPr>
                <w:rFonts w:ascii="Arial" w:eastAsia="Arial" w:hAnsi="Arial" w:cs="Arial"/>
                <w:b/>
                <w:noProof/>
                <w:color w:val="000000"/>
                <w:sz w:val="16"/>
              </w:rPr>
            </w:pPr>
            <w:r>
              <w:rPr>
                <w:rFonts w:ascii="Arial" w:hAnsi="Arial"/>
                <w:b/>
                <w:noProof/>
                <w:color w:val="000000"/>
                <w:sz w:val="16"/>
              </w:rPr>
              <w:t>Общо</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9"/>
              <w:jc w:val="right"/>
              <w:rPr>
                <w:rFonts w:ascii="Arial" w:eastAsia="Arial" w:hAnsi="Arial" w:cs="Arial"/>
                <w:b/>
                <w:noProof/>
                <w:color w:val="000000"/>
                <w:sz w:val="16"/>
              </w:rPr>
            </w:pPr>
            <w:r>
              <w:rPr>
                <w:rFonts w:ascii="Arial" w:hAnsi="Arial"/>
                <w:b/>
                <w:noProof/>
                <w:color w:val="000000"/>
                <w:sz w:val="16"/>
              </w:rPr>
              <w:t>1 540 991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29"/>
              <w:jc w:val="right"/>
              <w:rPr>
                <w:rFonts w:ascii="Arial" w:eastAsia="Arial" w:hAnsi="Arial" w:cs="Arial"/>
                <w:b/>
                <w:noProof/>
                <w:color w:val="000000"/>
                <w:sz w:val="16"/>
              </w:rPr>
            </w:pPr>
            <w:r>
              <w:rPr>
                <w:rFonts w:ascii="Arial" w:hAnsi="Arial"/>
                <w:b/>
                <w:noProof/>
                <w:color w:val="000000"/>
                <w:sz w:val="16"/>
              </w:rPr>
              <w:t>1 666 725</w:t>
            </w:r>
          </w:p>
        </w:tc>
      </w:tr>
    </w:tbl>
    <w:p>
      <w:pPr>
        <w:pStyle w:val="Normal30"/>
        <w:spacing w:after="200" w:line="276" w:lineRule="auto"/>
        <w:rPr>
          <w:noProof/>
          <w:sz w:val="22"/>
          <w:szCs w:val="22"/>
        </w:rPr>
      </w:pPr>
    </w:p>
    <w:p>
      <w:pPr>
        <w:pStyle w:val="Normal30"/>
        <w:spacing w:after="200" w:line="276" w:lineRule="auto"/>
        <w:rPr>
          <w:rFonts w:ascii="Arial" w:hAnsi="Arial"/>
          <w:b/>
          <w:bCs/>
          <w:noProof/>
          <w:sz w:val="16"/>
          <w:szCs w:val="16"/>
        </w:rPr>
      </w:pPr>
      <w:r>
        <w:rPr>
          <w:noProof/>
        </w:rPr>
        <w:br w:type="page"/>
      </w:r>
    </w:p>
    <w:p>
      <w:pPr>
        <w:pStyle w:val="Notes41"/>
        <w:numPr>
          <w:ilvl w:val="3"/>
          <w:numId w:val="88"/>
        </w:numPr>
        <w:tabs>
          <w:tab w:val="right" w:pos="-2700"/>
          <w:tab w:val="right" w:pos="720"/>
        </w:tabs>
        <w:spacing w:before="0" w:after="0"/>
        <w:rPr>
          <w:b w:val="0"/>
          <w:bCs/>
          <w:noProof/>
          <w:sz w:val="16"/>
          <w:szCs w:val="16"/>
        </w:rPr>
      </w:pPr>
      <w:r>
        <w:rPr>
          <w:noProof/>
          <w:sz w:val="16"/>
        </w:rPr>
        <w:t>Експозиция към кредитен риск за всеки вътрешен рисков рейтинг</w:t>
      </w:r>
    </w:p>
    <w:p>
      <w:pPr>
        <w:pStyle w:val="Normal30"/>
        <w:spacing w:line="276" w:lineRule="auto"/>
        <w:contextualSpacing/>
        <w:jc w:val="both"/>
        <w:rPr>
          <w:rFonts w:ascii="Arial" w:hAnsi="Arial"/>
          <w:noProof/>
          <w:sz w:val="8"/>
          <w:szCs w:val="8"/>
          <w:bdr w:val="none" w:sz="0" w:space="0" w:color="auto" w:frame="1"/>
        </w:rPr>
      </w:pPr>
    </w:p>
    <w:p>
      <w:pPr>
        <w:pStyle w:val="Normal30"/>
        <w:spacing w:line="276" w:lineRule="auto"/>
        <w:contextualSpacing/>
        <w:jc w:val="both"/>
        <w:rPr>
          <w:rFonts w:ascii="Arial" w:hAnsi="Arial"/>
          <w:noProof/>
          <w:sz w:val="16"/>
          <w:szCs w:val="16"/>
          <w:bdr w:val="none" w:sz="0" w:space="0" w:color="auto" w:frame="1"/>
        </w:rPr>
      </w:pPr>
      <w:r>
        <w:rPr>
          <w:rFonts w:ascii="Arial" w:hAnsi="Arial"/>
          <w:noProof/>
          <w:sz w:val="16"/>
          <w:bdr w:val="none" w:sz="0" w:space="0" w:color="auto" w:frame="1"/>
        </w:rPr>
        <w:t>Механизмът използва вътрешна рейтингова методика в съответствие с подхода, основан на вътрешния рейтинг, в рамките на Базел III. По-голямата част от контрагентите на механизма са получили вътрешен рейтинг съгласно тази методика. Таблицата по-долу показва разбивка на портфейла от заеми на механизма по степен на вътрешните рейтинги на заемополучателя или на гаранта, когато има такива. В случаите, когато липсва вътрешен рейтинг, за този анализ е използван външният рейтинг.</w:t>
      </w:r>
    </w:p>
    <w:p>
      <w:pPr>
        <w:pStyle w:val="Normal30"/>
        <w:spacing w:line="276" w:lineRule="auto"/>
        <w:contextualSpacing/>
        <w:jc w:val="both"/>
        <w:rPr>
          <w:rFonts w:ascii="Arial" w:hAnsi="Arial"/>
          <w:noProof/>
          <w:sz w:val="8"/>
          <w:szCs w:val="8"/>
          <w:bdr w:val="none" w:sz="0" w:space="0" w:color="auto" w:frame="1"/>
        </w:rPr>
      </w:pPr>
    </w:p>
    <w:p>
      <w:pPr>
        <w:pStyle w:val="Normal30"/>
        <w:jc w:val="both"/>
        <w:rPr>
          <w:rFonts w:ascii="Arial" w:hAnsi="Arial"/>
          <w:noProof/>
          <w:color w:val="000000"/>
          <w:sz w:val="16"/>
          <w:szCs w:val="16"/>
        </w:rPr>
      </w:pPr>
      <w:r>
        <w:rPr>
          <w:rFonts w:ascii="Arial" w:hAnsi="Arial"/>
          <w:noProof/>
          <w:sz w:val="16"/>
          <w:bdr w:val="none" w:sz="0" w:space="0" w:color="auto" w:frame="1"/>
        </w:rPr>
        <w:t>Таблицата показва както подписаните експозиции (изплатени и неизплатени), така и рисково претеглените експозиции въз основа на вътрешна методика, която механизмът използва за ограничаване на управлението.</w:t>
      </w:r>
    </w:p>
    <w:p>
      <w:pPr>
        <w:pStyle w:val="Normal30"/>
        <w:spacing w:line="276" w:lineRule="auto"/>
        <w:contextualSpacing/>
        <w:jc w:val="both"/>
        <w:rPr>
          <w:rFonts w:ascii="Arial" w:hAnsi="Arial"/>
          <w:noProof/>
          <w:sz w:val="16"/>
          <w:szCs w:val="16"/>
          <w:bdr w:val="none" w:sz="0" w:space="0" w:color="auto" w:frame="1"/>
        </w:rPr>
      </w:pPr>
    </w:p>
    <w:tbl>
      <w:tblPr>
        <w:tblStyle w:val="CDMRange14"/>
        <w:tblW w:w="9975" w:type="dxa"/>
        <w:tblLayout w:type="fixed"/>
        <w:tblLook w:val="0600" w:firstRow="0" w:lastRow="0" w:firstColumn="0" w:lastColumn="0" w:noHBand="1" w:noVBand="1"/>
      </w:tblPr>
      <w:tblGrid>
        <w:gridCol w:w="3450"/>
        <w:gridCol w:w="1065"/>
        <w:gridCol w:w="1215"/>
        <w:gridCol w:w="1065"/>
        <w:gridCol w:w="1065"/>
        <w:gridCol w:w="1065"/>
        <w:gridCol w:w="1050"/>
      </w:tblGrid>
      <w:tr>
        <w:trPr>
          <w:trHeight w:hRule="exact" w:val="315"/>
        </w:trPr>
        <w:tc>
          <w:tcPr>
            <w:tcW w:w="3450" w:type="dxa"/>
            <w:tcBorders>
              <w:top w:val="nil"/>
              <w:left w:val="nil"/>
              <w:bottom w:val="nil"/>
              <w:right w:val="nil"/>
              <w:tl2br w:val="nil"/>
              <w:tr2bl w:val="nil"/>
            </w:tcBorders>
            <w:shd w:val="clear" w:color="auto" w:fill="auto"/>
            <w:noWrap/>
            <w:tcMar>
              <w:left w:w="0" w:type="dxa"/>
              <w:right w:w="0" w:type="dxa"/>
            </w:tcMar>
            <w:vAlign w:val="bottom"/>
          </w:tcPr>
          <w:p>
            <w:pPr>
              <w:pStyle w:val="Normal30"/>
              <w:rPr>
                <w:rFonts w:ascii="Arial" w:hAnsi="Arial"/>
                <w:noProof/>
                <w:color w:val="000000"/>
                <w:sz w:val="16"/>
                <w:szCs w:val="16"/>
              </w:rPr>
            </w:pPr>
          </w:p>
        </w:tc>
        <w:tc>
          <w:tcPr>
            <w:tcW w:w="6525" w:type="dxa"/>
            <w:gridSpan w:val="6"/>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32"/>
              <w:jc w:val="center"/>
              <w:rPr>
                <w:rFonts w:ascii="Arial" w:eastAsia="Arial" w:hAnsi="Arial"/>
                <w:b/>
                <w:noProof/>
                <w:color w:val="000000"/>
                <w:sz w:val="16"/>
                <w:szCs w:val="16"/>
              </w:rPr>
            </w:pPr>
            <w:r>
              <w:rPr>
                <w:rFonts w:ascii="Arial" w:hAnsi="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450" w:type="dxa"/>
            <w:tcBorders>
              <w:top w:val="nil"/>
              <w:left w:val="nil"/>
              <w:bottom w:val="single" w:sz="8" w:space="0" w:color="000000"/>
              <w:right w:val="nil"/>
              <w:tl2br w:val="nil"/>
              <w:tr2bl w:val="nil"/>
            </w:tcBorders>
            <w:shd w:val="clear" w:color="auto" w:fill="auto"/>
            <w:tcMar>
              <w:left w:w="40" w:type="dxa"/>
              <w:right w:w="40" w:type="dxa"/>
            </w:tcMar>
            <w:vAlign w:val="bottom"/>
          </w:tcPr>
          <w:p>
            <w:pPr>
              <w:pStyle w:val="Normal32"/>
              <w:rPr>
                <w:rFonts w:ascii="Arial" w:eastAsia="Arial" w:hAnsi="Arial"/>
                <w:b/>
                <w:noProof/>
                <w:color w:val="000000"/>
                <w:sz w:val="16"/>
                <w:szCs w:val="16"/>
              </w:rPr>
            </w:pPr>
            <w:r>
              <w:rPr>
                <w:rFonts w:ascii="Arial" w:hAnsi="Arial"/>
                <w:b/>
                <w:noProof/>
                <w:color w:val="000000" w:themeColor="text1"/>
                <w:sz w:val="16"/>
              </w:rPr>
              <w:t>(хиляди евро)</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12-месечни ОКЗ</w:t>
            </w:r>
          </w:p>
        </w:tc>
        <w:tc>
          <w:tcPr>
            <w:tcW w:w="121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ОКЗ през целия жизнен цикъл без кредитна обезценка</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ОКЗ през целия жизнен цикъл с кредитна обезценка</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POCI</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FVTPL</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single" w:sz="8" w:space="0" w:color="000000"/>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b/>
                <w:noProof/>
                <w:color w:val="254062"/>
                <w:sz w:val="16"/>
                <w:szCs w:val="16"/>
              </w:rPr>
            </w:pPr>
            <w:r>
              <w:rPr>
                <w:rFonts w:ascii="Arial" w:hAnsi="Arial"/>
                <w:b/>
                <w:noProof/>
                <w:color w:val="000000" w:themeColor="text1"/>
                <w:sz w:val="16"/>
              </w:rPr>
              <w:t>Заеми и аванси по АС</w:t>
            </w:r>
          </w:p>
        </w:tc>
        <w:tc>
          <w:tcPr>
            <w:tcW w:w="106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p>
        </w:tc>
        <w:tc>
          <w:tcPr>
            <w:tcW w:w="10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1 — минимален кредитен риск</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90 875</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90 875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2 — много нисък кредитен риск</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74 650</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74 650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3 — нисък кредитен риск</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17 804</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17 804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4 — умерен кредитен риск</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39 295</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18 783</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58 078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5 — финансово слаб контрагент</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165 551</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165 551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6 — висок кредитен риск</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834 194</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94 749</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928 943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7 — много висок кредитен риск</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75 057</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134 701</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1 806</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211 564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8 — контрагент в неизпълнение</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185 273</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3 588</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188 861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rPr>
                <w:rFonts w:ascii="Arial" w:eastAsia="Arial" w:hAnsi="Arial"/>
                <w:noProof/>
                <w:color w:val="000000"/>
                <w:sz w:val="16"/>
                <w:szCs w:val="16"/>
              </w:rPr>
            </w:pPr>
            <w:r>
              <w:rPr>
                <w:rFonts w:ascii="Arial" w:hAnsi="Arial"/>
                <w:noProof/>
                <w:color w:val="000000"/>
                <w:sz w:val="16"/>
              </w:rPr>
              <w:t>Коректив за загуби</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color w:val="000000"/>
                <w:sz w:val="16"/>
              </w:rPr>
              <w:t>-22 023</w:t>
            </w:r>
          </w:p>
        </w:tc>
        <w:tc>
          <w:tcPr>
            <w:tcW w:w="121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color w:val="000000"/>
                <w:sz w:val="16"/>
              </w:rPr>
              <w:t>-27 342</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color w:val="000000"/>
                <w:sz w:val="16"/>
              </w:rPr>
              <w:t>-143 092</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color w:val="000000"/>
                <w:sz w:val="16"/>
              </w:rPr>
              <w:t>-1 794</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color w:val="000000"/>
                <w:sz w:val="16"/>
              </w:rPr>
              <w:t>-1 084</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color w:val="000000"/>
                <w:sz w:val="16"/>
              </w:rPr>
              <w:t>-195 335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single" w:sz="8" w:space="0" w:color="000000"/>
              <w:left w:val="nil"/>
              <w:bottom w:val="nil"/>
              <w:right w:val="nil"/>
              <w:tl2br w:val="nil"/>
              <w:tr2bl w:val="nil"/>
            </w:tcBorders>
            <w:shd w:val="clear" w:color="auto" w:fill="BFBFBF" w:themeFill="background1" w:themeFillShade="BF"/>
            <w:tcMar>
              <w:left w:w="40" w:type="dxa"/>
              <w:right w:w="40" w:type="dxa"/>
            </w:tcMar>
            <w:vAlign w:val="center"/>
          </w:tcPr>
          <w:p>
            <w:pPr>
              <w:pStyle w:val="Normal32"/>
              <w:rPr>
                <w:rFonts w:ascii="Arial" w:eastAsia="Arial" w:hAnsi="Arial"/>
                <w:b/>
                <w:noProof/>
                <w:color w:val="000000"/>
                <w:sz w:val="16"/>
                <w:szCs w:val="16"/>
              </w:rPr>
            </w:pPr>
            <w:r>
              <w:rPr>
                <w:rFonts w:ascii="Arial" w:hAnsi="Arial"/>
                <w:b/>
                <w:noProof/>
                <w:color w:val="000000"/>
                <w:sz w:val="16"/>
              </w:rPr>
              <w:t>Балансова стойност</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1 184 528</w:t>
            </w:r>
          </w:p>
        </w:tc>
        <w:tc>
          <w:tcPr>
            <w:tcW w:w="121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311 766</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42 181</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1 794</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722</w:t>
            </w:r>
          </w:p>
        </w:tc>
        <w:tc>
          <w:tcPr>
            <w:tcW w:w="1050"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1 540 991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b/>
                <w:noProof/>
                <w:color w:val="254062"/>
                <w:sz w:val="16"/>
                <w:szCs w:val="16"/>
              </w:rPr>
            </w:pPr>
            <w:r>
              <w:rPr>
                <w:rFonts w:ascii="Arial" w:hAnsi="Arial"/>
                <w:b/>
                <w:noProof/>
                <w:color w:val="000000" w:themeColor="text1"/>
                <w:sz w:val="16"/>
              </w:rPr>
              <w:t>Кредитни ангажименти</w:t>
            </w: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1 — минимален кредитен риск</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2 — много нисък кредитен риск</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102 092</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102 092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3 — нисък кредитен риск</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12 000</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12 000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4 — умерен кредитен риск</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12 463</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12 463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5 — финансово слаб контрагент</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230 455</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230 455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6 — висок кредитен риск</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567 573</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22 467</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590 040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7 — много висок кредитен риск</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100 055</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96 074</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196 129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bottom"/>
          </w:tcPr>
          <w:p>
            <w:pPr>
              <w:pStyle w:val="Normal32"/>
              <w:rPr>
                <w:rFonts w:ascii="Arial" w:eastAsia="Arial" w:hAnsi="Arial"/>
                <w:noProof/>
                <w:color w:val="000000"/>
                <w:sz w:val="16"/>
                <w:szCs w:val="16"/>
              </w:rPr>
            </w:pPr>
            <w:r>
              <w:rPr>
                <w:rFonts w:ascii="Arial" w:hAnsi="Arial"/>
                <w:noProof/>
                <w:color w:val="000000"/>
                <w:sz w:val="16"/>
              </w:rPr>
              <w:t>Вътрешен рейтинг 8 — контрагент в неизпълнение</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16 932</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16 932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50" w:type="dxa"/>
            <w:tcBorders>
              <w:top w:val="nil"/>
              <w:left w:val="nil"/>
              <w:bottom w:val="nil"/>
              <w:right w:val="nil"/>
              <w:tl2br w:val="nil"/>
              <w:tr2bl w:val="nil"/>
            </w:tcBorders>
            <w:shd w:val="clear" w:color="auto" w:fill="auto"/>
            <w:tcMar>
              <w:left w:w="40" w:type="dxa"/>
              <w:right w:w="40" w:type="dxa"/>
            </w:tcMar>
            <w:vAlign w:val="center"/>
          </w:tcPr>
          <w:p>
            <w:pPr>
              <w:pStyle w:val="Normal32"/>
              <w:rPr>
                <w:rFonts w:ascii="Arial" w:eastAsia="Arial" w:hAnsi="Arial"/>
                <w:noProof/>
                <w:color w:val="000000"/>
                <w:sz w:val="16"/>
                <w:szCs w:val="16"/>
              </w:rPr>
            </w:pPr>
            <w:r>
              <w:rPr>
                <w:rFonts w:ascii="Arial" w:hAnsi="Arial"/>
                <w:noProof/>
                <w:color w:val="000000"/>
                <w:sz w:val="16"/>
              </w:rPr>
              <w:t>Без вътрешен рейтинг*</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123 821</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32"/>
              <w:jc w:val="right"/>
              <w:rPr>
                <w:rFonts w:ascii="Arial" w:eastAsia="Arial" w:hAnsi="Arial"/>
                <w:noProof/>
                <w:color w:val="000000"/>
                <w:sz w:val="16"/>
                <w:szCs w:val="16"/>
              </w:rPr>
            </w:pPr>
            <w:r>
              <w:rPr>
                <w:rFonts w:ascii="Arial" w:hAnsi="Arial"/>
                <w:noProof/>
                <w:color w:val="000000"/>
                <w:sz w:val="16"/>
              </w:rPr>
              <w:t>123 821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21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6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c>
          <w:tcPr>
            <w:tcW w:w="10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2"/>
              <w:rPr>
                <w:rFonts w:ascii="Arial" w:eastAsia="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2"/>
              <w:rPr>
                <w:rFonts w:ascii="Arial" w:eastAsia="Arial" w:hAnsi="Arial"/>
                <w:noProof/>
                <w:color w:val="000000"/>
                <w:sz w:val="16"/>
                <w:szCs w:val="16"/>
              </w:rPr>
            </w:pPr>
            <w:r>
              <w:rPr>
                <w:rFonts w:ascii="Arial" w:hAnsi="Arial"/>
                <w:noProof/>
                <w:color w:val="000000"/>
                <w:sz w:val="16"/>
              </w:rPr>
              <w:t>Коректив за загуби</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color w:val="000000"/>
                <w:sz w:val="16"/>
              </w:rPr>
              <w:t>-7 225</w:t>
            </w:r>
          </w:p>
        </w:tc>
        <w:tc>
          <w:tcPr>
            <w:tcW w:w="121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color w:val="000000"/>
                <w:sz w:val="16"/>
              </w:rPr>
              <w:t>-16 597</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6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32"/>
              <w:jc w:val="right"/>
              <w:rPr>
                <w:rFonts w:ascii="Arial" w:eastAsia="Arial" w:hAnsi="Arial"/>
                <w:noProof/>
                <w:color w:val="000000"/>
                <w:sz w:val="16"/>
                <w:szCs w:val="16"/>
              </w:rPr>
            </w:pPr>
            <w:r>
              <w:rPr>
                <w:rFonts w:ascii="Arial" w:hAnsi="Arial"/>
                <w:noProof/>
                <w:color w:val="000000"/>
                <w:sz w:val="16"/>
              </w:rPr>
              <w:t>-23 822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450" w:type="dxa"/>
            <w:tcBorders>
              <w:top w:val="single" w:sz="8" w:space="0" w:color="000000"/>
              <w:left w:val="nil"/>
              <w:bottom w:val="nil"/>
              <w:right w:val="nil"/>
              <w:tl2br w:val="nil"/>
              <w:tr2bl w:val="nil"/>
            </w:tcBorders>
            <w:shd w:val="clear" w:color="auto" w:fill="BFBFBF" w:themeFill="background1" w:themeFillShade="BF"/>
            <w:tcMar>
              <w:left w:w="40" w:type="dxa"/>
              <w:right w:w="40" w:type="dxa"/>
            </w:tcMar>
            <w:vAlign w:val="center"/>
          </w:tcPr>
          <w:p>
            <w:pPr>
              <w:pStyle w:val="Normal32"/>
              <w:rPr>
                <w:rFonts w:ascii="Arial" w:eastAsia="Arial" w:hAnsi="Arial"/>
                <w:b/>
                <w:noProof/>
                <w:color w:val="000000"/>
                <w:sz w:val="16"/>
                <w:szCs w:val="16"/>
              </w:rPr>
            </w:pPr>
            <w:r>
              <w:rPr>
                <w:rFonts w:ascii="Arial" w:hAnsi="Arial"/>
                <w:b/>
                <w:noProof/>
                <w:color w:val="000000"/>
                <w:sz w:val="16"/>
              </w:rPr>
              <w:t>Балансова стойност</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1 141 234</w:t>
            </w:r>
          </w:p>
        </w:tc>
        <w:tc>
          <w:tcPr>
            <w:tcW w:w="121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101 944</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16 932</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w:t>
            </w:r>
          </w:p>
        </w:tc>
        <w:tc>
          <w:tcPr>
            <w:tcW w:w="1065"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w:t>
            </w:r>
          </w:p>
        </w:tc>
        <w:tc>
          <w:tcPr>
            <w:tcW w:w="1050" w:type="dxa"/>
            <w:tcBorders>
              <w:top w:val="single" w:sz="8" w:space="0" w:color="000000"/>
              <w:left w:val="nil"/>
              <w:bottom w:val="nil"/>
              <w:right w:val="nil"/>
              <w:tl2br w:val="nil"/>
              <w:tr2bl w:val="nil"/>
            </w:tcBorders>
            <w:shd w:val="clear" w:color="auto" w:fill="BFBFBF" w:themeFill="background1" w:themeFillShade="BF"/>
            <w:noWrap/>
            <w:tcMar>
              <w:left w:w="40" w:type="dxa"/>
              <w:right w:w="40" w:type="dxa"/>
            </w:tcMar>
            <w:vAlign w:val="center"/>
          </w:tcPr>
          <w:p>
            <w:pPr>
              <w:pStyle w:val="Normal32"/>
              <w:jc w:val="right"/>
              <w:rPr>
                <w:rFonts w:ascii="Arial" w:eastAsia="Arial" w:hAnsi="Arial"/>
                <w:b/>
                <w:noProof/>
                <w:color w:val="000000"/>
                <w:sz w:val="16"/>
                <w:szCs w:val="16"/>
              </w:rPr>
            </w:pPr>
            <w:r>
              <w:rPr>
                <w:rFonts w:ascii="Arial" w:hAnsi="Arial"/>
                <w:b/>
                <w:noProof/>
                <w:color w:val="000000"/>
                <w:sz w:val="16"/>
              </w:rPr>
              <w:t>1 260 110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
        </w:trPr>
        <w:tc>
          <w:tcPr>
            <w:tcW w:w="3450"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32"/>
              <w:rPr>
                <w:rFonts w:ascii="Arial" w:hAnsi="Arial"/>
                <w:noProof/>
                <w:color w:val="000000"/>
                <w:sz w:val="16"/>
                <w:szCs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0"/>
        </w:trPr>
        <w:tc>
          <w:tcPr>
            <w:tcW w:w="9975" w:type="dxa"/>
            <w:gridSpan w:val="7"/>
            <w:tcBorders>
              <w:top w:val="nil"/>
              <w:left w:val="nil"/>
              <w:bottom w:val="nil"/>
              <w:right w:val="nil"/>
              <w:tl2br w:val="nil"/>
              <w:tr2bl w:val="nil"/>
            </w:tcBorders>
            <w:shd w:val="clear" w:color="auto" w:fill="auto"/>
            <w:tcMar>
              <w:left w:w="40" w:type="dxa"/>
              <w:right w:w="40" w:type="dxa"/>
            </w:tcMar>
          </w:tcPr>
          <w:p>
            <w:pPr>
              <w:pStyle w:val="Normal32"/>
              <w:jc w:val="both"/>
              <w:rPr>
                <w:rFonts w:ascii="Arial" w:eastAsia="Arial" w:hAnsi="Arial"/>
                <w:noProof/>
                <w:color w:val="000000"/>
                <w:sz w:val="16"/>
                <w:szCs w:val="16"/>
              </w:rPr>
            </w:pPr>
            <w:r>
              <w:rPr>
                <w:rFonts w:ascii="Arial" w:hAnsi="Arial"/>
                <w:noProof/>
                <w:color w:val="000000"/>
                <w:sz w:val="16"/>
              </w:rPr>
              <w:t>(*) Споразумения за представителство, за които към отчетната дата не съществуват базови контрагенти</w:t>
            </w:r>
          </w:p>
          <w:p>
            <w:pPr>
              <w:pStyle w:val="Normal32"/>
              <w:jc w:val="both"/>
              <w:rPr>
                <w:rFonts w:ascii="Arial" w:eastAsia="Arial" w:hAnsi="Arial"/>
                <w:noProof/>
                <w:color w:val="000000"/>
                <w:sz w:val="16"/>
                <w:szCs w:val="16"/>
              </w:rPr>
            </w:pPr>
          </w:p>
          <w:p>
            <w:pPr>
              <w:pStyle w:val="Normal32"/>
              <w:jc w:val="both"/>
              <w:rPr>
                <w:rFonts w:ascii="Arial" w:eastAsia="Arial" w:hAnsi="Arial"/>
                <w:noProof/>
                <w:color w:val="000000"/>
                <w:sz w:val="16"/>
                <w:szCs w:val="16"/>
              </w:rPr>
            </w:pPr>
            <w:r>
              <w:rPr>
                <w:rFonts w:ascii="Arial" w:hAnsi="Arial"/>
                <w:noProof/>
                <w:color w:val="000000"/>
                <w:sz w:val="16"/>
              </w:rPr>
              <w:t>Механизмът непрекъснато следи събитията, които засягат неговите заемополучатели и гаранти, особено банките. По-специално, механизмът прави оценка за всеки отделен случай на своите договорни права в случай на влошаване на рейтинга и се стреми към мерки за смекчаване. Също така той следи отблизо подновяването на банкови гаранции, получени по неговите заеми, за да гарантира, че тези гаранции се заменят или се предприемат своевременни действия, ако е необходимо.</w:t>
            </w:r>
          </w:p>
        </w:tc>
      </w:tr>
    </w:tbl>
    <w:p>
      <w:pPr>
        <w:pStyle w:val="Notes11"/>
        <w:pageBreakBefore/>
        <w:numPr>
          <w:ilvl w:val="3"/>
          <w:numId w:val="89"/>
        </w:numPr>
        <w:tabs>
          <w:tab w:val="clear" w:pos="4320"/>
          <w:tab w:val="clear" w:pos="8640"/>
          <w:tab w:val="right" w:pos="-2700"/>
          <w:tab w:val="right" w:pos="720"/>
        </w:tabs>
        <w:spacing w:before="60" w:after="60"/>
        <w:rPr>
          <w:bCs/>
          <w:noProof/>
          <w:sz w:val="16"/>
          <w:szCs w:val="16"/>
        </w:rPr>
      </w:pPr>
      <w:r>
        <w:rPr>
          <w:noProof/>
          <w:sz w:val="16"/>
        </w:rPr>
        <w:t>Просрочени плащания по заеми и обезценки</w:t>
      </w:r>
    </w:p>
    <w:p>
      <w:pPr>
        <w:pStyle w:val="Normal33"/>
        <w:spacing w:before="60" w:after="60"/>
        <w:jc w:val="both"/>
        <w:rPr>
          <w:rFonts w:ascii="Arial" w:hAnsi="Arial"/>
          <w:noProof/>
          <w:sz w:val="16"/>
          <w:szCs w:val="16"/>
        </w:rPr>
      </w:pPr>
    </w:p>
    <w:p>
      <w:pPr>
        <w:pStyle w:val="Normal33"/>
        <w:spacing w:before="60" w:after="60"/>
        <w:jc w:val="both"/>
        <w:rPr>
          <w:rFonts w:ascii="Arial" w:hAnsi="Arial"/>
          <w:noProof/>
          <w:sz w:val="16"/>
          <w:szCs w:val="16"/>
        </w:rPr>
      </w:pPr>
      <w:r>
        <w:rPr>
          <w:rFonts w:ascii="Arial" w:hAnsi="Arial"/>
          <w:noProof/>
          <w:sz w:val="16"/>
        </w:rPr>
        <w:t>Просрочените плащания се установяват, наблюдават и докладват в съответствие с процедурите, определени в обстойните насоки и процедури на банката за мониторинг на финансирането. Тези процедури са в съответствие с най-добрите банкови практики и се приемат за всички заеми, управлявани от ЕИБ.</w:t>
      </w:r>
    </w:p>
    <w:p>
      <w:pPr>
        <w:pStyle w:val="Normal33"/>
        <w:spacing w:before="60" w:after="60"/>
        <w:jc w:val="both"/>
        <w:rPr>
          <w:noProof/>
          <w:szCs w:val="20"/>
        </w:rPr>
      </w:pPr>
      <w:r>
        <w:rPr>
          <w:rFonts w:ascii="Arial" w:hAnsi="Arial"/>
          <w:noProof/>
          <w:sz w:val="16"/>
        </w:rPr>
        <w:t>Процесът на мониторинг е структуриран с цел да се гарантира, че i) потенциалните просрочени плащания се установяват и докладват на отговорните служби с минимално закъснение; ii) критичните случаи бързо се изпращат на подходящото оперативно и управленско равнище; iii) осигурява се редовно докладване пред ръководството на ЕИБ и пред държавите членки за общото състояние на просрочените плащания и за вече предприетите мерки по събирането.</w:t>
      </w:r>
    </w:p>
    <w:p>
      <w:pPr>
        <w:pStyle w:val="Normal33"/>
        <w:suppressAutoHyphens w:val="0"/>
        <w:rPr>
          <w:rFonts w:ascii="Arial" w:hAnsi="Arial"/>
          <w:noProof/>
          <w:sz w:val="16"/>
          <w:szCs w:val="16"/>
        </w:rPr>
      </w:pPr>
    </w:p>
    <w:p>
      <w:pPr>
        <w:pStyle w:val="Normal33"/>
        <w:spacing w:before="60" w:after="60"/>
        <w:jc w:val="both"/>
        <w:rPr>
          <w:rFonts w:ascii="Arial" w:hAnsi="Arial"/>
          <w:noProof/>
          <w:sz w:val="16"/>
          <w:szCs w:val="16"/>
        </w:rPr>
      </w:pPr>
      <w:r>
        <w:rPr>
          <w:rFonts w:ascii="Arial" w:hAnsi="Arial"/>
          <w:noProof/>
          <w:sz w:val="16"/>
        </w:rPr>
        <w:t>Просрочените плащания и обезценките могат да се анализират, както следва (в хиляди евро):</w:t>
      </w:r>
    </w:p>
    <w:p>
      <w:pPr>
        <w:pStyle w:val="Normal33"/>
        <w:spacing w:before="60" w:after="60"/>
        <w:jc w:val="both"/>
        <w:rPr>
          <w:rFonts w:ascii="Arial" w:hAnsi="Arial"/>
          <w:noProof/>
          <w:sz w:val="16"/>
          <w:szCs w:val="16"/>
        </w:rPr>
      </w:pPr>
      <w:r>
        <w:rPr>
          <w:noProof/>
        </w:rPr>
        <w:t xml:space="preserve"> </w:t>
      </w:r>
    </w:p>
    <w:tbl>
      <w:tblPr>
        <w:tblStyle w:val="CDMRange24"/>
        <w:tblW w:w="9960" w:type="dxa"/>
        <w:tblLayout w:type="fixed"/>
        <w:tblLook w:val="0600" w:firstRow="0" w:lastRow="0" w:firstColumn="0" w:lastColumn="0" w:noHBand="1" w:noVBand="1"/>
      </w:tblPr>
      <w:tblGrid>
        <w:gridCol w:w="4500"/>
        <w:gridCol w:w="750"/>
        <w:gridCol w:w="2355"/>
        <w:gridCol w:w="2355"/>
      </w:tblGrid>
      <w:tr>
        <w:trPr>
          <w:trHeight w:val="450"/>
        </w:trPr>
        <w:tc>
          <w:tcPr>
            <w:tcW w:w="36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34"/>
              <w:rPr>
                <w:noProof/>
                <w:color w:val="000000"/>
                <w:sz w:val="20"/>
              </w:rPr>
            </w:pPr>
          </w:p>
        </w:tc>
        <w:tc>
          <w:tcPr>
            <w:tcW w:w="75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color w:val="000000"/>
                <w:sz w:val="16"/>
              </w:rPr>
              <w:t>Заеми и аванси</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color w:val="000000"/>
                <w:sz w:val="16"/>
              </w:rPr>
              <w:t>Заеми и вземания</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60"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34"/>
              <w:jc w:val="center"/>
              <w:rPr>
                <w:noProof/>
                <w:color w:val="000000"/>
                <w:sz w:val="20"/>
              </w:rPr>
            </w:pPr>
          </w:p>
        </w:tc>
        <w:tc>
          <w:tcPr>
            <w:tcW w:w="750" w:type="dxa"/>
            <w:tcBorders>
              <w:top w:val="nil"/>
              <w:left w:val="nil"/>
              <w:bottom w:val="single" w:sz="8" w:space="0" w:color="000000"/>
              <w:right w:val="nil"/>
              <w:tl2br w:val="nil"/>
              <w:tr2bl w:val="nil"/>
            </w:tcBorders>
            <w:shd w:val="clear" w:color="auto" w:fill="auto"/>
            <w:tcMar>
              <w:left w:w="40" w:type="dxa"/>
              <w:right w:w="40" w:type="dxa"/>
            </w:tcMar>
            <w:vAlign w:val="bottom"/>
          </w:tcPr>
          <w:p>
            <w:pPr>
              <w:pStyle w:val="Normal34"/>
              <w:jc w:val="center"/>
              <w:rPr>
                <w:rFonts w:ascii="Arial" w:eastAsia="Arial" w:hAnsi="Arial" w:cs="Arial"/>
                <w:b/>
                <w:noProof/>
                <w:color w:val="000000"/>
                <w:sz w:val="16"/>
              </w:rPr>
            </w:pP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color w:val="000000"/>
                <w:sz w:val="16"/>
              </w:rPr>
              <w:t>31.12.2018 г.</w:t>
            </w: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color w:val="000000"/>
                <w:sz w:val="16"/>
              </w:rPr>
              <w:t>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rPr>
                <w:rFonts w:ascii="Arial" w:eastAsia="Arial" w:hAnsi="Arial" w:cs="Arial"/>
                <w:b/>
                <w:noProof/>
                <w:color w:val="000000"/>
                <w:sz w:val="16"/>
              </w:rPr>
            </w:pPr>
            <w:r>
              <w:rPr>
                <w:rFonts w:ascii="Arial" w:hAnsi="Arial"/>
                <w:b/>
                <w:noProof/>
                <w:color w:val="000000"/>
                <w:sz w:val="16"/>
              </w:rPr>
              <w:t>Балансова стойност</w:t>
            </w:r>
          </w:p>
        </w:tc>
        <w:tc>
          <w:tcPr>
            <w:tcW w:w="7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34"/>
              <w:rPr>
                <w:noProof/>
                <w:color w:val="000000"/>
                <w:sz w:val="20"/>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color w:val="000000"/>
                <w:sz w:val="16"/>
              </w:rPr>
              <w:t>1 540 991</w:t>
            </w: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color w:val="000000"/>
                <w:sz w:val="16"/>
              </w:rPr>
              <w:t>1 666 725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rPr>
                <w:rFonts w:ascii="Arial" w:eastAsia="Arial" w:hAnsi="Arial" w:cs="Arial"/>
                <w:b/>
                <w:noProof/>
                <w:color w:val="000000"/>
                <w:sz w:val="16"/>
              </w:rPr>
            </w:pPr>
          </w:p>
        </w:tc>
        <w:tc>
          <w:tcPr>
            <w:tcW w:w="7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rPr>
                <w:rFonts w:ascii="Arial" w:eastAsia="Arial" w:hAnsi="Arial" w:cs="Arial"/>
                <w:b/>
                <w:noProof/>
                <w:color w:val="000000"/>
                <w:sz w:val="16"/>
              </w:rPr>
            </w:pPr>
            <w:r>
              <w:rPr>
                <w:rFonts w:ascii="Arial" w:hAnsi="Arial"/>
                <w:b/>
                <w:noProof/>
                <w:color w:val="000000"/>
                <w:sz w:val="16"/>
              </w:rPr>
              <w:t>ОКЗ през целия жизнен цикъл с кредитна обезценка</w:t>
            </w:r>
          </w:p>
        </w:tc>
        <w:tc>
          <w:tcPr>
            <w:tcW w:w="7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hAnsi="Arial"/>
                <w:noProof/>
                <w:color w:val="000000"/>
                <w:sz w:val="16"/>
              </w:rPr>
              <w:t>Брутна сума</w:t>
            </w:r>
          </w:p>
        </w:tc>
        <w:tc>
          <w:tcPr>
            <w:tcW w:w="75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34"/>
              <w:rPr>
                <w:noProof/>
                <w:color w:val="000000"/>
                <w:sz w:val="20"/>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color w:val="000000"/>
                <w:sz w:val="16"/>
              </w:rPr>
              <w:t>188 861</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color w:val="000000"/>
                <w:sz w:val="16"/>
              </w:rPr>
              <w:t>136 827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hAnsi="Arial"/>
                <w:noProof/>
                <w:color w:val="000000"/>
                <w:sz w:val="16"/>
              </w:rPr>
              <w:t>Средства за загуба от обезценка</w:t>
            </w:r>
          </w:p>
        </w:tc>
        <w:tc>
          <w:tcPr>
            <w:tcW w:w="750" w:type="dxa"/>
            <w:tcBorders>
              <w:top w:val="nil"/>
              <w:left w:val="nil"/>
              <w:bottom w:val="nil"/>
              <w:right w:val="nil"/>
              <w:tl2br w:val="nil"/>
              <w:tr2bl w:val="nil"/>
            </w:tcBorders>
            <w:shd w:val="clear" w:color="auto" w:fill="auto"/>
            <w:tcMar>
              <w:left w:w="40" w:type="dxa"/>
              <w:right w:w="40" w:type="dxa"/>
            </w:tcMar>
            <w:vAlign w:val="center"/>
          </w:tcPr>
          <w:p>
            <w:pPr>
              <w:pStyle w:val="Normal34"/>
              <w:jc w:val="center"/>
              <w:rPr>
                <w:rFonts w:ascii="Arial" w:eastAsia="Arial" w:hAnsi="Arial" w:cs="Arial"/>
                <w:noProof/>
                <w:color w:val="000000"/>
                <w:sz w:val="16"/>
              </w:rPr>
            </w:pPr>
            <w:r>
              <w:rPr>
                <w:rFonts w:ascii="Arial" w:hAnsi="Arial"/>
                <w:noProof/>
                <w:color w:val="000000"/>
                <w:sz w:val="16"/>
              </w:rPr>
              <w:t xml:space="preserve"> </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color w:val="000000"/>
                <w:sz w:val="16"/>
              </w:rPr>
              <w:t>-144 886</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color w:val="000000"/>
                <w:sz w:val="16"/>
              </w:rPr>
              <w:t>-106 203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pStyle w:val="Normal34"/>
              <w:rPr>
                <w:rFonts w:ascii="Arial" w:eastAsia="Arial" w:hAnsi="Arial" w:cs="Arial"/>
                <w:b/>
                <w:noProof/>
                <w:color w:val="000000"/>
                <w:sz w:val="16"/>
              </w:rPr>
            </w:pPr>
            <w:r>
              <w:rPr>
                <w:rFonts w:ascii="Arial" w:hAnsi="Arial"/>
                <w:b/>
                <w:noProof/>
                <w:color w:val="000000"/>
                <w:sz w:val="16"/>
              </w:rPr>
              <w:t>Балансова стойност на ОКЗ през целия жизнен цикъл с кредитна обезценка</w:t>
            </w:r>
          </w:p>
        </w:tc>
        <w:tc>
          <w:tcPr>
            <w:tcW w:w="750" w:type="dxa"/>
            <w:tcBorders>
              <w:top w:val="nil"/>
              <w:left w:val="nil"/>
              <w:bottom w:val="nil"/>
              <w:right w:val="nil"/>
              <w:tl2br w:val="nil"/>
              <w:tr2bl w:val="nil"/>
            </w:tcBorders>
            <w:shd w:val="clear" w:color="FFFFFF" w:fill="BFBFBF"/>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color w:val="000000"/>
                <w:sz w:val="16"/>
              </w:rPr>
              <w:t>43 975</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color w:val="000000"/>
                <w:sz w:val="16"/>
              </w:rPr>
              <w:t>30 624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0" w:type="dxa"/>
              <w:right w:w="0" w:type="dxa"/>
            </w:tcMar>
            <w:vAlign w:val="center"/>
          </w:tcPr>
          <w:p>
            <w:pPr>
              <w:pStyle w:val="Normal34"/>
              <w:rPr>
                <w:noProof/>
                <w:color w:val="000000"/>
                <w:sz w:val="20"/>
              </w:rPr>
            </w:pPr>
          </w:p>
        </w:tc>
        <w:tc>
          <w:tcPr>
            <w:tcW w:w="750" w:type="dxa"/>
            <w:tcBorders>
              <w:top w:val="nil"/>
              <w:left w:val="nil"/>
              <w:bottom w:val="nil"/>
              <w:right w:val="nil"/>
              <w:tl2br w:val="nil"/>
              <w:tr2bl w:val="nil"/>
            </w:tcBorders>
            <w:shd w:val="clear" w:color="auto" w:fill="auto"/>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4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75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34"/>
              <w:jc w:val="right"/>
              <w:rPr>
                <w:rFonts w:ascii="Arial" w:eastAsia="Arial" w:hAnsi="Arial" w:cs="Arial"/>
                <w:noProof/>
                <w:color w:val="000000"/>
                <w:sz w:val="20"/>
              </w:rPr>
            </w:pPr>
          </w:p>
        </w:tc>
        <w:tc>
          <w:tcPr>
            <w:tcW w:w="235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34"/>
              <w:rPr>
                <w:rFonts w:ascii="Arial" w:eastAsia="Arial" w:hAnsi="Arial" w:cs="Arial"/>
                <w:b/>
                <w:noProof/>
                <w:color w:val="000000"/>
                <w:sz w:val="16"/>
              </w:rPr>
            </w:pPr>
            <w:r>
              <w:rPr>
                <w:rFonts w:ascii="Arial" w:hAnsi="Arial"/>
                <w:b/>
                <w:noProof/>
                <w:color w:val="000000"/>
                <w:sz w:val="16"/>
              </w:rPr>
              <w:t>Просрочени, но без кредитна обезценка</w:t>
            </w:r>
          </w:p>
        </w:tc>
        <w:tc>
          <w:tcPr>
            <w:tcW w:w="75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5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75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single" w:sz="8" w:space="0" w:color="000000"/>
              <w:left w:val="nil"/>
              <w:bottom w:val="nil"/>
              <w:right w:val="nil"/>
              <w:tl2br w:val="nil"/>
              <w:tr2bl w:val="nil"/>
            </w:tcBorders>
            <w:shd w:val="clear" w:color="auto" w:fill="auto"/>
            <w:noWrap/>
            <w:tcMar>
              <w:left w:w="0" w:type="dxa"/>
              <w:right w:w="0" w:type="dxa"/>
            </w:tcMar>
            <w:vAlign w:val="center"/>
          </w:tcPr>
          <w:p>
            <w:pPr>
              <w:pStyle w:val="Normal34"/>
              <w:jc w:val="right"/>
              <w:rPr>
                <w:rFonts w:ascii="Arial" w:eastAsia="Arial" w:hAnsi="Arial" w:cs="Arial"/>
                <w:noProof/>
                <w:color w:val="000000"/>
                <w:sz w:val="20"/>
              </w:rPr>
            </w:pPr>
          </w:p>
        </w:tc>
        <w:tc>
          <w:tcPr>
            <w:tcW w:w="235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b/>
                <w:noProof/>
                <w:color w:val="000000"/>
                <w:sz w:val="16"/>
              </w:rPr>
            </w:pPr>
            <w:r>
              <w:rPr>
                <w:rFonts w:ascii="Arial" w:hAnsi="Arial"/>
                <w:b/>
                <w:noProof/>
                <w:color w:val="000000"/>
                <w:sz w:val="16"/>
              </w:rPr>
              <w:t>Просрочените включват</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rFonts w:ascii="Arial" w:eastAsia="Arial" w:hAnsi="Arial" w:cs="Arial"/>
                <w:noProof/>
                <w:color w:val="000000"/>
                <w:sz w:val="16"/>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hAnsi="Arial"/>
                <w:noProof/>
                <w:color w:val="000000"/>
                <w:sz w:val="16"/>
              </w:rPr>
              <w:t>0—30 дни</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color w:val="000000"/>
                <w:sz w:val="16"/>
              </w:rPr>
              <w:t>804</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color w:val="000000"/>
                <w:sz w:val="16"/>
              </w:rPr>
              <w:t>1 227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hAnsi="Arial"/>
                <w:noProof/>
                <w:color w:val="000000"/>
                <w:sz w:val="16"/>
              </w:rPr>
              <w:t>30—60 дни</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color w:val="000000"/>
                <w:sz w:val="16"/>
              </w:rPr>
              <w:t>77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hAnsi="Arial"/>
                <w:noProof/>
                <w:color w:val="000000"/>
                <w:sz w:val="16"/>
              </w:rPr>
              <w:t>60—90 дни</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color w:val="000000"/>
                <w:sz w:val="16"/>
              </w:rPr>
              <w:t>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hAnsi="Arial"/>
                <w:noProof/>
                <w:color w:val="000000"/>
                <w:sz w:val="16"/>
              </w:rPr>
              <w:t>90—180 дни</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color w:val="000000"/>
                <w:sz w:val="16"/>
              </w:rPr>
              <w:t>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pStyle w:val="Normal34"/>
              <w:rPr>
                <w:rFonts w:ascii="Arial" w:eastAsia="Arial" w:hAnsi="Arial" w:cs="Arial"/>
                <w:noProof/>
                <w:color w:val="000000"/>
                <w:sz w:val="16"/>
              </w:rPr>
            </w:pPr>
            <w:r>
              <w:rPr>
                <w:rFonts w:ascii="Arial" w:hAnsi="Arial"/>
                <w:noProof/>
                <w:color w:val="000000"/>
                <w:sz w:val="16"/>
              </w:rPr>
              <w:t>повече от 180 дни</w:t>
            </w: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color w:val="000000"/>
                <w:sz w:val="16"/>
              </w:rPr>
              <w:t>1</w:t>
            </w:r>
          </w:p>
        </w:tc>
        <w:tc>
          <w:tcPr>
            <w:tcW w:w="2355" w:type="dxa"/>
            <w:tcBorders>
              <w:top w:val="nil"/>
              <w:left w:val="nil"/>
              <w:bottom w:val="nil"/>
              <w:right w:val="nil"/>
              <w:tl2br w:val="nil"/>
              <w:tr2bl w:val="nil"/>
            </w:tcBorders>
            <w:shd w:val="clear" w:color="auto" w:fill="auto"/>
            <w:tcMar>
              <w:left w:w="40" w:type="dxa"/>
              <w:right w:w="40" w:type="dxa"/>
            </w:tcMar>
            <w:vAlign w:val="center"/>
          </w:tcPr>
          <w:p>
            <w:pPr>
              <w:pStyle w:val="Normal34"/>
              <w:jc w:val="right"/>
              <w:rPr>
                <w:rFonts w:ascii="Arial" w:eastAsia="Arial" w:hAnsi="Arial" w:cs="Arial"/>
                <w:noProof/>
                <w:color w:val="000000"/>
                <w:sz w:val="16"/>
              </w:rPr>
            </w:pPr>
            <w:r>
              <w:rPr>
                <w:rFonts w:ascii="Arial" w:hAnsi="Arial"/>
                <w:noProof/>
                <w:color w:val="000000"/>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pStyle w:val="Normal34"/>
              <w:rPr>
                <w:rFonts w:ascii="Arial" w:eastAsia="Arial" w:hAnsi="Arial" w:cs="Arial"/>
                <w:b/>
                <w:noProof/>
                <w:color w:val="000000"/>
                <w:sz w:val="16"/>
              </w:rPr>
            </w:pPr>
            <w:r>
              <w:rPr>
                <w:rFonts w:ascii="Arial" w:hAnsi="Arial"/>
                <w:b/>
                <w:noProof/>
                <w:color w:val="000000"/>
                <w:sz w:val="16"/>
              </w:rPr>
              <w:t>Балансова стойност на просрочените, но без кредитна обезценка</w:t>
            </w:r>
          </w:p>
        </w:tc>
        <w:tc>
          <w:tcPr>
            <w:tcW w:w="750" w:type="dxa"/>
            <w:tcBorders>
              <w:top w:val="nil"/>
              <w:left w:val="nil"/>
              <w:bottom w:val="nil"/>
              <w:right w:val="nil"/>
              <w:tl2br w:val="nil"/>
              <w:tr2bl w:val="nil"/>
            </w:tcBorders>
            <w:shd w:val="clear" w:color="FFFFFF" w:fill="BFBFBF"/>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color w:val="000000"/>
                <w:sz w:val="16"/>
              </w:rPr>
              <w:t>805</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color w:val="000000"/>
                <w:sz w:val="16"/>
              </w:rPr>
              <w:t>1 354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50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750" w:type="dxa"/>
            <w:tcBorders>
              <w:top w:val="nil"/>
              <w:left w:val="nil"/>
              <w:bottom w:val="nil"/>
              <w:right w:val="nil"/>
              <w:tl2br w:val="nil"/>
              <w:tr2bl w:val="nil"/>
            </w:tcBorders>
            <w:shd w:val="clear" w:color="auto" w:fill="auto"/>
            <w:noWrap/>
            <w:tcMar>
              <w:left w:w="0" w:type="dxa"/>
              <w:right w:w="0" w:type="dxa"/>
            </w:tcMar>
            <w:vAlign w:val="bottom"/>
          </w:tcPr>
          <w:p>
            <w:pPr>
              <w:pStyle w:val="Normal34"/>
              <w:rPr>
                <w:noProof/>
                <w:color w:val="000000"/>
                <w:sz w:val="20"/>
              </w:rPr>
            </w:pPr>
          </w:p>
        </w:tc>
        <w:tc>
          <w:tcPr>
            <w:tcW w:w="2355" w:type="dxa"/>
            <w:tcBorders>
              <w:top w:val="nil"/>
              <w:left w:val="nil"/>
              <w:bottom w:val="nil"/>
              <w:right w:val="nil"/>
              <w:tl2br w:val="nil"/>
              <w:tr2bl w:val="nil"/>
            </w:tcBorders>
            <w:shd w:val="clear" w:color="auto" w:fill="auto"/>
            <w:noWrap/>
            <w:tcMar>
              <w:left w:w="0" w:type="dxa"/>
              <w:right w:w="0" w:type="dxa"/>
            </w:tcMar>
            <w:vAlign w:val="center"/>
          </w:tcPr>
          <w:p>
            <w:pPr>
              <w:pStyle w:val="Normal34"/>
              <w:jc w:val="right"/>
              <w:rPr>
                <w:rFonts w:ascii="Arial" w:eastAsia="Arial" w:hAnsi="Arial" w:cs="Arial"/>
                <w:noProof/>
                <w:color w:val="000000"/>
                <w:sz w:val="20"/>
              </w:rPr>
            </w:pPr>
          </w:p>
        </w:tc>
        <w:tc>
          <w:tcPr>
            <w:tcW w:w="2355" w:type="dxa"/>
            <w:tcBorders>
              <w:top w:val="nil"/>
              <w:left w:val="nil"/>
              <w:bottom w:val="nil"/>
              <w:right w:val="nil"/>
              <w:tl2br w:val="nil"/>
              <w:tr2bl w:val="nil"/>
            </w:tcBorders>
            <w:shd w:val="clear" w:color="auto" w:fill="auto"/>
            <w:noWrap/>
            <w:tcMar>
              <w:left w:w="0" w:type="dxa"/>
              <w:right w:w="0" w:type="dxa"/>
            </w:tcMar>
            <w:vAlign w:val="bottom"/>
          </w:tcPr>
          <w:p>
            <w:pPr>
              <w:pStyle w:val="Normal34"/>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4500" w:type="dxa"/>
            <w:tcBorders>
              <w:top w:val="nil"/>
              <w:left w:val="nil"/>
              <w:bottom w:val="nil"/>
              <w:right w:val="nil"/>
              <w:tl2br w:val="nil"/>
              <w:tr2bl w:val="nil"/>
            </w:tcBorders>
            <w:shd w:val="clear" w:color="FFFFFF" w:fill="BFBFBF"/>
            <w:tcMar>
              <w:left w:w="40" w:type="dxa"/>
              <w:right w:w="40" w:type="dxa"/>
            </w:tcMar>
            <w:vAlign w:val="center"/>
          </w:tcPr>
          <w:p>
            <w:pPr>
              <w:pStyle w:val="Normal34"/>
              <w:rPr>
                <w:rFonts w:ascii="Arial" w:eastAsia="Arial" w:hAnsi="Arial" w:cs="Arial"/>
                <w:b/>
                <w:noProof/>
                <w:color w:val="000000"/>
                <w:sz w:val="16"/>
              </w:rPr>
            </w:pPr>
            <w:r>
              <w:rPr>
                <w:rFonts w:ascii="Arial" w:hAnsi="Arial"/>
                <w:b/>
                <w:noProof/>
                <w:color w:val="000000"/>
                <w:sz w:val="16"/>
              </w:rPr>
              <w:t>Балансова стойност — нито просрочени, нито с кредитна обезценка</w:t>
            </w:r>
          </w:p>
        </w:tc>
        <w:tc>
          <w:tcPr>
            <w:tcW w:w="750" w:type="dxa"/>
            <w:tcBorders>
              <w:top w:val="nil"/>
              <w:left w:val="nil"/>
              <w:bottom w:val="nil"/>
              <w:right w:val="nil"/>
              <w:tl2br w:val="nil"/>
              <w:tr2bl w:val="nil"/>
            </w:tcBorders>
            <w:shd w:val="clear" w:color="FFFFFF" w:fill="BFBFBF"/>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color w:val="000000"/>
                <w:sz w:val="16"/>
              </w:rPr>
              <w:t>1 496 211</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color w:val="000000"/>
                <w:sz w:val="16"/>
              </w:rPr>
              <w:t>1 634 747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500" w:type="dxa"/>
            <w:tcBorders>
              <w:top w:val="nil"/>
              <w:left w:val="nil"/>
              <w:bottom w:val="nil"/>
              <w:right w:val="nil"/>
              <w:tl2br w:val="nil"/>
              <w:tr2bl w:val="nil"/>
            </w:tcBorders>
            <w:shd w:val="clear" w:color="auto" w:fill="auto"/>
            <w:tcMar>
              <w:left w:w="0" w:type="dxa"/>
              <w:right w:w="0" w:type="dxa"/>
            </w:tcMar>
            <w:vAlign w:val="center"/>
          </w:tcPr>
          <w:p>
            <w:pPr>
              <w:pStyle w:val="Normal34"/>
              <w:rPr>
                <w:rFonts w:ascii="Arial" w:eastAsia="Arial" w:hAnsi="Arial" w:cs="Arial"/>
                <w:b/>
                <w:noProof/>
                <w:color w:val="000000"/>
                <w:sz w:val="16"/>
              </w:rPr>
            </w:pPr>
          </w:p>
        </w:tc>
        <w:tc>
          <w:tcPr>
            <w:tcW w:w="750" w:type="dxa"/>
            <w:tcBorders>
              <w:top w:val="nil"/>
              <w:left w:val="nil"/>
              <w:bottom w:val="nil"/>
              <w:right w:val="nil"/>
              <w:tl2br w:val="nil"/>
              <w:tr2bl w:val="nil"/>
            </w:tcBorders>
            <w:shd w:val="clear" w:color="auto" w:fill="auto"/>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auto" w:fill="auto"/>
            <w:tcMar>
              <w:left w:w="0" w:type="dxa"/>
              <w:right w:w="0" w:type="dxa"/>
            </w:tcMar>
            <w:vAlign w:val="center"/>
          </w:tcPr>
          <w:p>
            <w:pPr>
              <w:pStyle w:val="Normal3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500" w:type="dxa"/>
            <w:tcBorders>
              <w:top w:val="nil"/>
              <w:left w:val="nil"/>
              <w:bottom w:val="nil"/>
              <w:right w:val="nil"/>
              <w:tl2br w:val="nil"/>
              <w:tr2bl w:val="nil"/>
            </w:tcBorders>
            <w:shd w:val="clear" w:color="FFFFFF" w:fill="BFBFBF"/>
            <w:tcMar>
              <w:left w:w="40" w:type="dxa"/>
              <w:right w:w="40" w:type="dxa"/>
            </w:tcMar>
            <w:vAlign w:val="center"/>
          </w:tcPr>
          <w:p>
            <w:pPr>
              <w:pStyle w:val="Normal34"/>
              <w:rPr>
                <w:rFonts w:ascii="Arial" w:eastAsia="Arial" w:hAnsi="Arial" w:cs="Arial"/>
                <w:b/>
                <w:noProof/>
                <w:color w:val="000000"/>
                <w:sz w:val="16"/>
              </w:rPr>
            </w:pPr>
            <w:r>
              <w:rPr>
                <w:rFonts w:ascii="Arial" w:hAnsi="Arial"/>
                <w:b/>
                <w:noProof/>
                <w:color w:val="000000"/>
                <w:sz w:val="16"/>
              </w:rPr>
              <w:t>Обща балансова стойност на заеми и аванси</w:t>
            </w:r>
          </w:p>
        </w:tc>
        <w:tc>
          <w:tcPr>
            <w:tcW w:w="750" w:type="dxa"/>
            <w:tcBorders>
              <w:top w:val="nil"/>
              <w:left w:val="nil"/>
              <w:bottom w:val="nil"/>
              <w:right w:val="nil"/>
              <w:tl2br w:val="nil"/>
              <w:tr2bl w:val="nil"/>
            </w:tcBorders>
            <w:shd w:val="clear" w:color="FFFFFF" w:fill="BFBFBF"/>
            <w:tcMar>
              <w:left w:w="0" w:type="dxa"/>
              <w:right w:w="0" w:type="dxa"/>
            </w:tcMar>
            <w:vAlign w:val="bottom"/>
          </w:tcPr>
          <w:p>
            <w:pPr>
              <w:pStyle w:val="Normal34"/>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color w:val="000000"/>
                <w:sz w:val="16"/>
              </w:rPr>
              <w:t>1 540 991</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pStyle w:val="Normal34"/>
              <w:jc w:val="right"/>
              <w:rPr>
                <w:rFonts w:ascii="Arial" w:eastAsia="Arial" w:hAnsi="Arial" w:cs="Arial"/>
                <w:b/>
                <w:noProof/>
                <w:color w:val="000000"/>
                <w:sz w:val="16"/>
              </w:rPr>
            </w:pPr>
            <w:r>
              <w:rPr>
                <w:rFonts w:ascii="Arial" w:hAnsi="Arial"/>
                <w:b/>
                <w:noProof/>
                <w:color w:val="000000"/>
                <w:sz w:val="16"/>
              </w:rPr>
              <w:t>1 666 725</w:t>
            </w:r>
          </w:p>
        </w:tc>
      </w:tr>
    </w:tbl>
    <w:p>
      <w:pPr>
        <w:pStyle w:val="Notes12"/>
        <w:pageBreakBefore/>
        <w:numPr>
          <w:ilvl w:val="3"/>
          <w:numId w:val="90"/>
        </w:numPr>
        <w:tabs>
          <w:tab w:val="clear" w:pos="4320"/>
          <w:tab w:val="clear" w:pos="8640"/>
          <w:tab w:val="right" w:pos="-2700"/>
          <w:tab w:val="right" w:pos="720"/>
        </w:tabs>
        <w:spacing w:before="60" w:after="60"/>
        <w:rPr>
          <w:bCs/>
          <w:noProof/>
          <w:sz w:val="16"/>
          <w:szCs w:val="16"/>
        </w:rPr>
      </w:pPr>
      <w:r>
        <w:rPr>
          <w:noProof/>
          <w:sz w:val="16"/>
        </w:rPr>
        <w:t>Предоговаряне и преструктуриране на заеми</w:t>
      </w:r>
    </w:p>
    <w:p>
      <w:pPr>
        <w:pStyle w:val="Normal35"/>
        <w:spacing w:before="60" w:after="60"/>
        <w:jc w:val="both"/>
        <w:rPr>
          <w:rFonts w:ascii="Arial" w:hAnsi="Arial"/>
          <w:noProof/>
          <w:sz w:val="16"/>
          <w:szCs w:val="16"/>
        </w:rPr>
      </w:pPr>
    </w:p>
    <w:p>
      <w:pPr>
        <w:pStyle w:val="Normal35"/>
        <w:spacing w:before="60" w:after="60"/>
        <w:jc w:val="both"/>
        <w:rPr>
          <w:rFonts w:ascii="Arial" w:hAnsi="Arial"/>
          <w:noProof/>
          <w:sz w:val="16"/>
          <w:szCs w:val="16"/>
        </w:rPr>
      </w:pPr>
      <w:r>
        <w:rPr>
          <w:rFonts w:ascii="Arial" w:hAnsi="Arial"/>
          <w:noProof/>
          <w:sz w:val="16"/>
        </w:rPr>
        <w:t xml:space="preserve">Механизмът счита заемите за преструктурирани, ако в отговор на неблагоприятни промени във финансовото състояние на заемополучателя механизмът предоговори първоначалните условия на договорните споразумения с въпросния заемополучател, засягащи пряко бъдещите парични потоци на финансовия инструмент, което може да доведе до загуба за механизма. Въпреки това финансовото въздействие на преструктурираните дейности по принцип е ограничено до загубите от обезценка, ако има такива, тъй като финансовата неутралност се прилага повсеместно от механизма и е отразена в предоговорените ценови условия на преструктурираните операции. </w:t>
      </w:r>
    </w:p>
    <w:p>
      <w:pPr>
        <w:pStyle w:val="Normal35"/>
        <w:spacing w:before="60" w:after="60"/>
        <w:jc w:val="both"/>
        <w:rPr>
          <w:rFonts w:ascii="Arial" w:hAnsi="Arial"/>
          <w:noProof/>
          <w:sz w:val="16"/>
          <w:szCs w:val="16"/>
        </w:rPr>
      </w:pPr>
    </w:p>
    <w:p>
      <w:pPr>
        <w:pStyle w:val="Normal35"/>
        <w:spacing w:before="60" w:after="60"/>
        <w:jc w:val="both"/>
        <w:rPr>
          <w:rFonts w:ascii="Arial" w:hAnsi="Arial"/>
          <w:noProof/>
          <w:sz w:val="16"/>
          <w:szCs w:val="16"/>
        </w:rPr>
      </w:pPr>
      <w:r>
        <w:rPr>
          <w:rFonts w:ascii="Arial" w:hAnsi="Arial"/>
          <w:noProof/>
          <w:sz w:val="16"/>
        </w:rPr>
        <w:t>В обичайния ход на дейност рейтингът на въпросните заеми щеше да се влоши и заемите щяха да бъдат включени в списъка за наблюдение преди предоговарянето. След като заемите бъдат предоговорени, механизмът ще продължи да ги наблюдава отблизо. Ако предоговорените условия на плащане няма да възстановят първоначалната балансова стойност на актива, той ще се счита за обезценен. Съответните загуби от обезценка ще се изчисляват въз основа на прогнозните парични потоци, сконтирани по първоначалния ефективен лихвен процент. Необходимостта от обезценка за всички заеми, чийто рейтинг е спаднал до E-, се оценява редовно; всички заеми с рейтинг F изискват обезценка. След като рейтингът на даден заем се подобри достатъчно, той ще бъде премахнат от списъка за наблюдение в съответствие с процедурите на механизма.</w:t>
      </w:r>
    </w:p>
    <w:p>
      <w:pPr>
        <w:pStyle w:val="Normal35"/>
        <w:spacing w:before="60" w:after="60"/>
        <w:jc w:val="both"/>
        <w:rPr>
          <w:rFonts w:ascii="Arial" w:hAnsi="Arial"/>
          <w:noProof/>
          <w:sz w:val="16"/>
          <w:szCs w:val="16"/>
        </w:rPr>
      </w:pPr>
    </w:p>
    <w:p>
      <w:pPr>
        <w:pStyle w:val="Normal250"/>
        <w:spacing w:before="60" w:after="60"/>
        <w:jc w:val="both"/>
        <w:rPr>
          <w:rFonts w:ascii="Arial" w:hAnsi="Arial"/>
          <w:noProof/>
          <w:sz w:val="16"/>
          <w:szCs w:val="16"/>
        </w:rPr>
      </w:pPr>
      <w:r>
        <w:rPr>
          <w:rFonts w:ascii="Arial" w:hAnsi="Arial"/>
          <w:noProof/>
          <w:sz w:val="16"/>
        </w:rPr>
        <w:t xml:space="preserve">Мерките и практиките за преструктуриране, предприети от екипа на банката за преструктуриране през отчетния период, включват удължаване на срока до падежа, отсрочване само на главницата, отсрочване на главницата и лихвите, както и капитализация на просрочените задължения. Такива мерки за преструктуриране не водят до отписване на съответната операция, освен ако въздействието на договорните промени върху нетната настояща стойност на заема към датата на преструктурирането се счита за значително. Ако такъв новопризнат финансов актив е с кредитна обезценка, той би отговорил на определението за финансов актив POCI. </w:t>
      </w:r>
    </w:p>
    <w:p>
      <w:pPr>
        <w:pStyle w:val="Normal35"/>
        <w:spacing w:before="60" w:after="60"/>
        <w:jc w:val="both"/>
        <w:rPr>
          <w:rFonts w:ascii="Arial" w:hAnsi="Arial"/>
          <w:noProof/>
          <w:sz w:val="16"/>
          <w:szCs w:val="16"/>
        </w:rPr>
      </w:pPr>
    </w:p>
    <w:p>
      <w:pPr>
        <w:pStyle w:val="Normal35"/>
        <w:spacing w:before="60" w:after="60"/>
        <w:jc w:val="both"/>
        <w:rPr>
          <w:rFonts w:ascii="Arial" w:hAnsi="Arial"/>
          <w:noProof/>
          <w:sz w:val="16"/>
          <w:szCs w:val="16"/>
        </w:rPr>
      </w:pPr>
      <w:r>
        <w:rPr>
          <w:rFonts w:ascii="Arial" w:hAnsi="Arial"/>
          <w:noProof/>
          <w:sz w:val="16"/>
        </w:rPr>
        <w:t>Експозициите, подлежащи на промени в договорните клаузи, които не засягат бъдещите парични потоци, като обезпечения, други договорености с ценни книжа или отказ от договорни права по споразумения, не се считат за преструктурирани и следователно тези събития сами по себе си не се считат за достатъчен признак за обезценка.</w:t>
      </w:r>
    </w:p>
    <w:p>
      <w:pPr>
        <w:pStyle w:val="Normal35"/>
        <w:spacing w:before="60" w:after="60"/>
        <w:jc w:val="both"/>
        <w:rPr>
          <w:rFonts w:ascii="Arial" w:hAnsi="Arial"/>
          <w:noProof/>
          <w:sz w:val="16"/>
          <w:szCs w:val="16"/>
        </w:rPr>
      </w:pPr>
    </w:p>
    <w:p>
      <w:pPr>
        <w:pStyle w:val="Normal35"/>
        <w:spacing w:before="60" w:after="60"/>
        <w:jc w:val="both"/>
        <w:rPr>
          <w:rFonts w:ascii="Arial" w:hAnsi="Arial"/>
          <w:noProof/>
          <w:sz w:val="16"/>
          <w:szCs w:val="16"/>
        </w:rPr>
      </w:pPr>
      <w:r>
        <w:rPr>
          <w:rFonts w:ascii="Arial" w:hAnsi="Arial"/>
          <w:noProof/>
          <w:sz w:val="16"/>
        </w:rPr>
        <w:t>Операциите, подлежащи на мерки за преструктуриране, са посочени като такива в таблицата по-долу:</w:t>
      </w:r>
    </w:p>
    <w:p>
      <w:pPr>
        <w:pStyle w:val="Normal35"/>
        <w:spacing w:before="60" w:after="60"/>
        <w:jc w:val="both"/>
        <w:rPr>
          <w:rFonts w:ascii="Arial" w:hAnsi="Arial"/>
          <w:noProof/>
          <w:sz w:val="16"/>
          <w:szCs w:val="16"/>
        </w:rPr>
      </w:pPr>
      <w:r>
        <w:rPr>
          <w:noProof/>
        </w:rPr>
        <w:t xml:space="preserve"> </w:t>
      </w:r>
    </w:p>
    <w:tbl>
      <w:tblPr>
        <w:tblStyle w:val="CDMRange15"/>
        <w:tblW w:w="9960" w:type="dxa"/>
        <w:tblLayout w:type="fixed"/>
        <w:tblLook w:val="0600" w:firstRow="0" w:lastRow="0" w:firstColumn="0" w:lastColumn="0" w:noHBand="1" w:noVBand="1"/>
      </w:tblPr>
      <w:tblGrid>
        <w:gridCol w:w="6960"/>
        <w:gridCol w:w="1500"/>
        <w:gridCol w:w="1500"/>
      </w:tblGrid>
      <w:tr>
        <w:trPr>
          <w:trHeight w:val="300"/>
        </w:trPr>
        <w:tc>
          <w:tcPr>
            <w:tcW w:w="6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6"/>
              <w:rPr>
                <w:rFonts w:ascii="Arial" w:eastAsia="Arial" w:hAnsi="Arial" w:cs="Arial"/>
                <w:b/>
                <w:noProof/>
                <w:color w:val="000000"/>
                <w:sz w:val="16"/>
              </w:rPr>
            </w:pPr>
            <w:r>
              <w:rPr>
                <w:rFonts w:ascii="Arial" w:hAnsi="Arial"/>
                <w:b/>
                <w:noProof/>
                <w:color w:val="000000"/>
                <w:sz w:val="16"/>
              </w:rPr>
              <w:t>хиляди евро</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6"/>
              <w:jc w:val="right"/>
              <w:rPr>
                <w:rFonts w:ascii="Arial" w:eastAsia="Arial" w:hAnsi="Arial" w:cs="Arial"/>
                <w:b/>
                <w:noProof/>
                <w:color w:val="000000"/>
                <w:sz w:val="16"/>
              </w:rPr>
            </w:pPr>
            <w:r>
              <w:rPr>
                <w:rFonts w:ascii="Arial" w:hAnsi="Arial"/>
                <w:b/>
                <w:noProof/>
                <w:color w:val="000000"/>
                <w:sz w:val="16"/>
              </w:rPr>
              <w:t>31.12.2018 г.</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6"/>
              <w:jc w:val="right"/>
              <w:rPr>
                <w:rFonts w:ascii="Arial" w:eastAsia="Arial" w:hAnsi="Arial" w:cs="Arial"/>
                <w:b/>
                <w:noProof/>
                <w:color w:val="000000"/>
                <w:sz w:val="16"/>
              </w:rPr>
            </w:pPr>
            <w:r>
              <w:rPr>
                <w:rFonts w:ascii="Arial" w:hAnsi="Arial"/>
                <w:b/>
                <w:noProof/>
                <w:color w:val="000000"/>
                <w:sz w:val="16"/>
              </w:rPr>
              <w:t>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hAnsi="Arial"/>
                <w:noProof/>
                <w:color w:val="000000"/>
                <w:sz w:val="16"/>
              </w:rPr>
              <w:t>Брой на операциите, подлежащи на практики за преструктуриране</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color w:val="000000"/>
                <w:sz w:val="16"/>
              </w:rPr>
              <w:t>33</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color w:val="000000"/>
                <w:sz w:val="16"/>
              </w:rPr>
              <w:t>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hAnsi="Arial"/>
                <w:noProof/>
                <w:color w:val="000000"/>
                <w:sz w:val="16"/>
              </w:rPr>
              <w:t>Балансови стойности</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color w:val="000000"/>
                <w:sz w:val="16"/>
              </w:rPr>
              <w:t>280 720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color w:val="000000"/>
                <w:sz w:val="16"/>
              </w:rPr>
              <w:t>136 973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hAnsi="Arial"/>
                <w:noProof/>
                <w:color w:val="000000"/>
                <w:sz w:val="16"/>
              </w:rPr>
              <w:t>от които обезценени</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color w:val="000000"/>
                <w:sz w:val="16"/>
              </w:rPr>
              <w:t>9 506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color w:val="000000"/>
                <w:sz w:val="16"/>
              </w:rPr>
              <w:t>112 423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hAnsi="Arial"/>
                <w:noProof/>
                <w:color w:val="000000"/>
                <w:sz w:val="16"/>
              </w:rPr>
              <w:t>Призната обезценка</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color w:val="000000"/>
                <w:sz w:val="16"/>
              </w:rPr>
              <w:t>86 334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color w:val="000000"/>
                <w:sz w:val="16"/>
              </w:rPr>
              <w:t>107 256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hAnsi="Arial"/>
                <w:noProof/>
                <w:color w:val="000000"/>
                <w:sz w:val="16"/>
              </w:rPr>
              <w:t>Приходи от лихви по отношение на преструктурирани операции</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color w:val="000000"/>
                <w:sz w:val="16"/>
              </w:rPr>
              <w:t>13 465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color w:val="000000"/>
                <w:sz w:val="16"/>
              </w:rPr>
              <w:t>8 418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9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36"/>
              <w:jc w:val="both"/>
              <w:rPr>
                <w:rFonts w:ascii="Arial" w:eastAsia="Arial" w:hAnsi="Arial" w:cs="Arial"/>
                <w:noProof/>
                <w:color w:val="000000"/>
                <w:sz w:val="16"/>
              </w:rPr>
            </w:pPr>
            <w:r>
              <w:rPr>
                <w:rFonts w:ascii="Arial" w:hAnsi="Arial"/>
                <w:noProof/>
                <w:color w:val="000000"/>
                <w:sz w:val="16"/>
              </w:rPr>
              <w:t>Отписани експозиции (след прекратяването/продажбата на операцията)</w:t>
            </w:r>
          </w:p>
        </w:tc>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36"/>
              <w:jc w:val="right"/>
              <w:rPr>
                <w:rFonts w:ascii="Arial" w:eastAsia="Arial" w:hAnsi="Arial" w:cs="Arial"/>
                <w:noProof/>
                <w:color w:val="000000"/>
                <w:sz w:val="16"/>
              </w:rPr>
            </w:pPr>
            <w:r>
              <w:rPr>
                <w:rFonts w:ascii="Arial" w:hAnsi="Arial"/>
                <w:noProof/>
                <w:color w:val="000000"/>
                <w:sz w:val="16"/>
              </w:rPr>
              <w:t>9 395</w:t>
            </w:r>
          </w:p>
        </w:tc>
      </w:tr>
    </w:tbl>
    <w:p>
      <w:pPr>
        <w:pStyle w:val="Normal37"/>
        <w:rPr>
          <w:noProof/>
        </w:rPr>
      </w:pPr>
    </w:p>
    <w:tbl>
      <w:tblPr>
        <w:tblStyle w:val="CDMRange25"/>
        <w:tblW w:w="9975" w:type="dxa"/>
        <w:tblLayout w:type="fixed"/>
        <w:tblLook w:val="0600" w:firstRow="0" w:lastRow="0" w:firstColumn="0" w:lastColumn="0" w:noHBand="1" w:noVBand="1"/>
      </w:tblPr>
      <w:tblGrid>
        <w:gridCol w:w="1500"/>
        <w:gridCol w:w="1200"/>
        <w:gridCol w:w="1200"/>
        <w:gridCol w:w="1200"/>
        <w:gridCol w:w="1200"/>
        <w:gridCol w:w="1200"/>
        <w:gridCol w:w="1275"/>
        <w:gridCol w:w="1200"/>
      </w:tblGrid>
      <w:tr>
        <w:trPr>
          <w:trHeight w:hRule="exact" w:val="300"/>
        </w:trPr>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2400" w:type="dxa"/>
            <w:gridSpan w:val="2"/>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37"/>
              <w:jc w:val="center"/>
              <w:rPr>
                <w:rFonts w:ascii="Arial" w:eastAsia="Arial" w:hAnsi="Arial" w:cs="Arial"/>
                <w:b/>
                <w:noProof/>
                <w:color w:val="000000"/>
                <w:sz w:val="16"/>
              </w:rPr>
            </w:pPr>
            <w:r>
              <w:rPr>
                <w:rFonts w:ascii="Arial" w:hAnsi="Arial"/>
                <w:b/>
                <w:noProof/>
                <w:color w:val="000000"/>
                <w:sz w:val="16"/>
              </w:rPr>
              <w:t>Мерки за преструктуриране</w:t>
            </w: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7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5"/>
        </w:trPr>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37"/>
              <w:jc w:val="both"/>
              <w:rPr>
                <w:rFonts w:ascii="Arial" w:eastAsia="Arial" w:hAnsi="Arial" w:cs="Arial"/>
                <w:b/>
                <w:noProof/>
                <w:color w:val="000000"/>
                <w:sz w:val="16"/>
              </w:rPr>
            </w:pPr>
            <w:r>
              <w:rPr>
                <w:rFonts w:ascii="Arial" w:hAnsi="Arial"/>
                <w:b/>
                <w:noProof/>
                <w:color w:val="000000"/>
                <w:sz w:val="16"/>
              </w:rPr>
              <w:t>хиляди евро</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color w:val="000000"/>
                <w:sz w:val="16"/>
              </w:rPr>
              <w:t>31.12.2017 г.</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color w:val="000000"/>
                <w:sz w:val="16"/>
              </w:rPr>
              <w:t>Удължаване на срока до падежа</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color w:val="000000"/>
                <w:sz w:val="16"/>
              </w:rPr>
              <w:t>Отсрочване само на главницата</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color w:val="000000"/>
                <w:sz w:val="16"/>
              </w:rPr>
              <w:t>Отсрочване на главницата и лихвите</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color w:val="000000"/>
                <w:sz w:val="16"/>
              </w:rPr>
              <w:t>Други</w:t>
            </w:r>
          </w:p>
        </w:tc>
        <w:tc>
          <w:tcPr>
            <w:tcW w:w="12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color w:val="000000"/>
                <w:sz w:val="16"/>
              </w:rPr>
              <w:t>Договорно погасяване и прекратяване</w:t>
            </w:r>
            <w:r>
              <w:rPr>
                <w:rFonts w:ascii="Arial" w:hAnsi="Arial"/>
                <w:b/>
                <w:noProof/>
                <w:color w:val="000000"/>
                <w:sz w:val="18"/>
                <w:vertAlign w:val="superscript"/>
              </w:rPr>
              <w:t>(1)</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color w:val="000000"/>
                <w:sz w:val="16"/>
              </w:rPr>
              <w:t>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37"/>
              <w:jc w:val="both"/>
              <w:rPr>
                <w:rFonts w:ascii="Arial" w:eastAsia="Arial" w:hAnsi="Arial" w:cs="Arial"/>
                <w:noProof/>
                <w:color w:val="000000"/>
                <w:sz w:val="16"/>
              </w:rPr>
            </w:pPr>
            <w:r>
              <w:rPr>
                <w:rFonts w:ascii="Arial" w:hAnsi="Arial"/>
                <w:noProof/>
                <w:color w:val="000000"/>
                <w:sz w:val="16"/>
              </w:rPr>
              <w:t>Банки</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color w:val="000000"/>
                <w:sz w:val="16"/>
              </w:rPr>
              <w:t>30 347</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color w:val="000000"/>
                <w:sz w:val="16"/>
              </w:rPr>
              <w:t>290</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color w:val="000000"/>
                <w:sz w:val="16"/>
              </w:rPr>
              <w:t>5 654</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color w:val="000000"/>
                <w:sz w:val="16"/>
              </w:rPr>
              <w:t>765</w:t>
            </w:r>
          </w:p>
        </w:tc>
        <w:tc>
          <w:tcPr>
            <w:tcW w:w="12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color w:val="000000"/>
                <w:sz w:val="16"/>
              </w:rPr>
              <w:t>-9 464</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color w:val="000000"/>
                <w:sz w:val="16"/>
              </w:rPr>
              <w:t>27 592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37"/>
              <w:jc w:val="both"/>
              <w:rPr>
                <w:rFonts w:ascii="Arial" w:eastAsia="Arial" w:hAnsi="Arial" w:cs="Arial"/>
                <w:noProof/>
                <w:color w:val="000000"/>
                <w:sz w:val="16"/>
              </w:rPr>
            </w:pPr>
            <w:r>
              <w:rPr>
                <w:rFonts w:ascii="Arial" w:hAnsi="Arial"/>
                <w:noProof/>
                <w:color w:val="000000"/>
                <w:sz w:val="16"/>
              </w:rPr>
              <w:t>Предприятия</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color w:val="000000"/>
                <w:sz w:val="16"/>
              </w:rPr>
              <w:t>106 626</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color w:val="000000"/>
                <w:sz w:val="16"/>
              </w:rPr>
              <w:t>3 463</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color w:val="000000"/>
                <w:sz w:val="16"/>
              </w:rPr>
              <w:t>15 271</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color w:val="000000"/>
                <w:sz w:val="16"/>
              </w:rPr>
              <w:t>143 261</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color w:val="000000"/>
                <w:sz w:val="16"/>
              </w:rPr>
              <w:t>-15 493</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pStyle w:val="Normal37"/>
              <w:jc w:val="right"/>
              <w:rPr>
                <w:rFonts w:ascii="Arial" w:eastAsia="Arial" w:hAnsi="Arial" w:cs="Arial"/>
                <w:noProof/>
                <w:color w:val="000000"/>
                <w:sz w:val="16"/>
              </w:rPr>
            </w:pPr>
            <w:r>
              <w:rPr>
                <w:rFonts w:ascii="Arial" w:hAnsi="Arial"/>
                <w:noProof/>
                <w:color w:val="000000"/>
                <w:sz w:val="16"/>
              </w:rPr>
              <w:t>253 128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rPr>
                <w:rFonts w:ascii="Arial" w:eastAsia="Arial" w:hAnsi="Arial" w:cs="Arial"/>
                <w:b/>
                <w:noProof/>
                <w:color w:val="000000"/>
                <w:sz w:val="16"/>
              </w:rPr>
            </w:pPr>
            <w:r>
              <w:rPr>
                <w:rFonts w:ascii="Arial" w:hAnsi="Arial"/>
                <w:b/>
                <w:noProof/>
                <w:color w:val="000000"/>
                <w:sz w:val="16"/>
              </w:rPr>
              <w:t>Общо</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color w:val="000000"/>
                <w:sz w:val="16"/>
              </w:rPr>
              <w:t>136 973</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color w:val="000000"/>
                <w:sz w:val="16"/>
              </w:rPr>
              <w:t>3 463</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color w:val="000000"/>
                <w:sz w:val="16"/>
              </w:rPr>
              <w:t>290</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color w:val="000000"/>
                <w:sz w:val="16"/>
              </w:rPr>
              <w:t>20 925</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color w:val="000000"/>
                <w:sz w:val="16"/>
              </w:rPr>
              <w:t>144 026</w:t>
            </w:r>
          </w:p>
        </w:tc>
        <w:tc>
          <w:tcPr>
            <w:tcW w:w="1275"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color w:val="000000"/>
                <w:sz w:val="16"/>
              </w:rPr>
              <w:t>-24 957</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pStyle w:val="Normal37"/>
              <w:jc w:val="right"/>
              <w:rPr>
                <w:rFonts w:ascii="Arial" w:eastAsia="Arial" w:hAnsi="Arial" w:cs="Arial"/>
                <w:b/>
                <w:noProof/>
                <w:color w:val="000000"/>
                <w:sz w:val="16"/>
              </w:rPr>
            </w:pPr>
            <w:r>
              <w:rPr>
                <w:rFonts w:ascii="Arial" w:hAnsi="Arial"/>
                <w:b/>
                <w:noProof/>
                <w:color w:val="000000"/>
                <w:sz w:val="16"/>
              </w:rPr>
              <w:t>280 720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75"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pPr>
              <w:pStyle w:val="Normal3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75" w:type="dxa"/>
            <w:gridSpan w:val="8"/>
            <w:tcBorders>
              <w:top w:val="nil"/>
              <w:left w:val="nil"/>
              <w:bottom w:val="nil"/>
              <w:right w:val="nil"/>
              <w:tl2br w:val="nil"/>
              <w:tr2bl w:val="nil"/>
            </w:tcBorders>
            <w:shd w:val="clear" w:color="auto" w:fill="auto"/>
            <w:tcMar>
              <w:left w:w="40" w:type="dxa"/>
              <w:right w:w="40" w:type="dxa"/>
            </w:tcMar>
          </w:tcPr>
          <w:p>
            <w:pPr>
              <w:pStyle w:val="Normal37"/>
              <w:jc w:val="both"/>
              <w:rPr>
                <w:rFonts w:ascii="Arial" w:eastAsia="Arial" w:hAnsi="Arial" w:cs="Arial"/>
                <w:noProof/>
                <w:color w:val="000000"/>
                <w:sz w:val="20"/>
                <w:vertAlign w:val="superscript"/>
              </w:rPr>
            </w:pPr>
            <w:r>
              <w:rPr>
                <w:rFonts w:ascii="Arial" w:hAnsi="Arial"/>
                <w:noProof/>
                <w:color w:val="000000"/>
                <w:sz w:val="20"/>
                <w:vertAlign w:val="superscript"/>
              </w:rPr>
              <w:t>(1) Намаленията се дължат на погасявания на главницата през годината по операции, които вече се считат за преструктурирани към 31 декември 2018 г., и на прекратяване на преструктурирани мерки през годината.</w:t>
            </w:r>
          </w:p>
        </w:tc>
      </w:tr>
    </w:tbl>
    <w:p>
      <w:pPr>
        <w:pStyle w:val="Title3211"/>
        <w:pageBreakBefore/>
        <w:numPr>
          <w:ilvl w:val="2"/>
          <w:numId w:val="91"/>
        </w:numPr>
        <w:tabs>
          <w:tab w:val="clear" w:pos="822"/>
          <w:tab w:val="num" w:pos="709"/>
        </w:tabs>
        <w:spacing w:before="60" w:after="0"/>
        <w:ind w:hanging="822"/>
        <w:rPr>
          <w:noProof/>
          <w:sz w:val="16"/>
          <w:szCs w:val="16"/>
        </w:rPr>
      </w:pPr>
      <w:bookmarkStart w:id="243" w:name="OLE_LINK3"/>
      <w:bookmarkStart w:id="244" w:name="OLE_LINK4"/>
      <w:r>
        <w:rPr>
          <w:noProof/>
          <w:sz w:val="16"/>
        </w:rPr>
        <w:t>Кредитен риск на парите и паричните еквиваленти</w:t>
      </w:r>
    </w:p>
    <w:p>
      <w:pPr>
        <w:pStyle w:val="Normal38"/>
        <w:spacing w:before="60"/>
        <w:rPr>
          <w:rFonts w:ascii="Arial" w:hAnsi="Arial"/>
          <w:noProof/>
          <w:sz w:val="16"/>
          <w:szCs w:val="16"/>
          <w:shd w:val="clear" w:color="auto" w:fill="00FF00"/>
        </w:rPr>
      </w:pPr>
    </w:p>
    <w:bookmarkEnd w:id="243"/>
    <w:bookmarkEnd w:id="244"/>
    <w:p>
      <w:pPr>
        <w:pStyle w:val="Notes13"/>
        <w:numPr>
          <w:ilvl w:val="0"/>
          <w:numId w:val="0"/>
        </w:numPr>
        <w:tabs>
          <w:tab w:val="right" w:pos="-2700"/>
        </w:tabs>
        <w:spacing w:before="60" w:after="0"/>
        <w:rPr>
          <w:b w:val="0"/>
          <w:noProof/>
          <w:sz w:val="16"/>
          <w:szCs w:val="16"/>
        </w:rPr>
      </w:pPr>
      <w:r>
        <w:rPr>
          <w:b w:val="0"/>
          <w:noProof/>
          <w:sz w:val="16"/>
        </w:rPr>
        <w:t xml:space="preserve">Наличните средства се инвестират съгласно графика на изплащане на договорните задължения на механизма. Към 31 декември 2018 г. и 31 декември 2017 г. инвестициите са били под формата на банкови депозити, депозитни сертификати и търговски ценни книжа. </w:t>
      </w:r>
    </w:p>
    <w:p>
      <w:pPr>
        <w:pStyle w:val="Notes13"/>
        <w:numPr>
          <w:ilvl w:val="0"/>
          <w:numId w:val="0"/>
        </w:numPr>
        <w:tabs>
          <w:tab w:val="right" w:pos="-2700"/>
        </w:tabs>
        <w:spacing w:before="60" w:after="0"/>
        <w:rPr>
          <w:b w:val="0"/>
          <w:noProof/>
          <w:sz w:val="16"/>
          <w:szCs w:val="16"/>
        </w:rPr>
      </w:pPr>
    </w:p>
    <w:p>
      <w:pPr>
        <w:pStyle w:val="Notes13"/>
        <w:numPr>
          <w:ilvl w:val="0"/>
          <w:numId w:val="0"/>
        </w:numPr>
        <w:tabs>
          <w:tab w:val="right" w:pos="-2700"/>
        </w:tabs>
        <w:spacing w:before="60" w:after="0"/>
        <w:rPr>
          <w:b w:val="0"/>
          <w:noProof/>
          <w:sz w:val="16"/>
          <w:szCs w:val="16"/>
        </w:rPr>
      </w:pPr>
      <w:r>
        <w:rPr>
          <w:b w:val="0"/>
          <w:noProof/>
          <w:sz w:val="16"/>
        </w:rPr>
        <w:t>Оторизираните субекти имат рейтинг, който е подобен на краткосрочните и дългосрочните рейтинги, изисквани за собствените инвестиции в ценни книжа на ЕИБ. В случай на различни рейтинги, които са били предоставени от повече от една кредитна агенция, се прилага най-ниският рейтинг. Максимално разрешеният лимит за всяка оторизирана банка в момента е 50 000 000 EUR (петдесет милиона евро). Изключение от това правило беше предоставено на Societe Generale, където механизмът държи своите оперативни парични сметки. Краткосрочният кредитен лимит за Societe Generale към 31 декември 2018 г. и към 31 декември 2017 г. възлиза на 110 000 000 EUR (сто и десет милиона евро). Увеличеният лимит се прилага за сумата на паричните средства, държани по оперативните парични сметки, и инструментите, емитирани от този контрагент и държани от финансовия портфейл.</w:t>
      </w:r>
    </w:p>
    <w:p>
      <w:pPr>
        <w:pStyle w:val="Notes13"/>
        <w:numPr>
          <w:ilvl w:val="0"/>
          <w:numId w:val="0"/>
        </w:numPr>
        <w:tabs>
          <w:tab w:val="right" w:pos="-2700"/>
        </w:tabs>
        <w:spacing w:before="60" w:after="0"/>
        <w:rPr>
          <w:b w:val="0"/>
          <w:noProof/>
          <w:sz w:val="16"/>
          <w:szCs w:val="16"/>
        </w:rPr>
      </w:pPr>
    </w:p>
    <w:p>
      <w:pPr>
        <w:pStyle w:val="Notes13"/>
        <w:numPr>
          <w:ilvl w:val="0"/>
          <w:numId w:val="0"/>
        </w:numPr>
        <w:tabs>
          <w:tab w:val="right" w:pos="-2700"/>
        </w:tabs>
        <w:spacing w:before="60" w:after="0"/>
        <w:rPr>
          <w:b w:val="0"/>
          <w:noProof/>
          <w:sz w:val="16"/>
          <w:szCs w:val="16"/>
        </w:rPr>
      </w:pPr>
      <w:r>
        <w:rPr>
          <w:b w:val="0"/>
          <w:noProof/>
          <w:sz w:val="16"/>
        </w:rPr>
        <w:t>Всички инвестиции са направени при оторизирани субекти с максимален срок до падежа от три месеца от датата на операцията.</w:t>
      </w:r>
      <w:r>
        <w:rPr>
          <w:noProof/>
        </w:rPr>
        <w:t xml:space="preserve"> </w:t>
      </w:r>
      <w:r>
        <w:rPr>
          <w:b w:val="0"/>
          <w:noProof/>
          <w:sz w:val="16"/>
        </w:rPr>
        <w:t xml:space="preserve">Всички случаи на неспазване на лимита за кредитна експозиция са докладвани на мандатоносителите. Към 31 декември 2018 г. всички срочни депозити, търговски ценни книжа и касови наличности, държани от финансовия портфейл на механизма, са имали минимален рейтинг поне P-2 (еквивалент на Moody’s) в деня на сетълмента. Към 31 декември 2017 г. всички срочни депозити, търговски ценни книжа и касови наличности, държани от финансовия портфейл на механизма, са имали минимален рейтинг P-1 (еквивалент на Moody’s) в деня на сетълмента. </w:t>
      </w:r>
    </w:p>
    <w:p>
      <w:pPr>
        <w:pStyle w:val="Notes13"/>
        <w:numPr>
          <w:ilvl w:val="0"/>
          <w:numId w:val="0"/>
        </w:numPr>
        <w:tabs>
          <w:tab w:val="right" w:pos="-2700"/>
        </w:tabs>
        <w:spacing w:before="60" w:after="0"/>
        <w:rPr>
          <w:b w:val="0"/>
          <w:noProof/>
          <w:sz w:val="16"/>
          <w:szCs w:val="16"/>
        </w:rPr>
      </w:pPr>
    </w:p>
    <w:p>
      <w:pPr>
        <w:pStyle w:val="Notes13"/>
        <w:numPr>
          <w:ilvl w:val="0"/>
          <w:numId w:val="0"/>
        </w:numPr>
        <w:tabs>
          <w:tab w:val="clear" w:pos="4320"/>
          <w:tab w:val="clear" w:pos="8640"/>
          <w:tab w:val="right" w:pos="-2700"/>
        </w:tabs>
        <w:spacing w:before="60" w:after="0"/>
        <w:rPr>
          <w:b w:val="0"/>
          <w:noProof/>
          <w:sz w:val="16"/>
          <w:szCs w:val="16"/>
        </w:rPr>
      </w:pPr>
      <w:r>
        <w:rPr>
          <w:b w:val="0"/>
          <w:noProof/>
          <w:sz w:val="16"/>
        </w:rPr>
        <w:t>Следната таблица показва положението на парите и паричните еквиваленти, включително начислените лихви (в хиляди евро):</w:t>
      </w:r>
    </w:p>
    <w:p>
      <w:pPr>
        <w:pStyle w:val="Notes13"/>
        <w:numPr>
          <w:ilvl w:val="0"/>
          <w:numId w:val="0"/>
        </w:numPr>
        <w:tabs>
          <w:tab w:val="clear" w:pos="4320"/>
          <w:tab w:val="clear" w:pos="8640"/>
          <w:tab w:val="right" w:pos="-2700"/>
        </w:tabs>
        <w:spacing w:before="60" w:after="0"/>
        <w:rPr>
          <w:b w:val="0"/>
          <w:noProof/>
          <w:sz w:val="16"/>
          <w:szCs w:val="16"/>
        </w:rPr>
      </w:pPr>
      <w:r>
        <w:rPr>
          <w:noProof/>
        </w:rPr>
        <w:t xml:space="preserve"> </w:t>
      </w:r>
    </w:p>
    <w:tbl>
      <w:tblPr>
        <w:tblStyle w:val="CDMRange16"/>
        <w:tblW w:w="9960" w:type="dxa"/>
        <w:tblLayout w:type="fixed"/>
        <w:tblLook w:val="0600" w:firstRow="0" w:lastRow="0" w:firstColumn="0" w:lastColumn="0" w:noHBand="1" w:noVBand="1"/>
      </w:tblPr>
      <w:tblGrid>
        <w:gridCol w:w="1980"/>
        <w:gridCol w:w="1980"/>
        <w:gridCol w:w="1500"/>
        <w:gridCol w:w="1500"/>
        <w:gridCol w:w="1500"/>
        <w:gridCol w:w="1500"/>
      </w:tblGrid>
      <w:tr>
        <w:trPr>
          <w:trHeight w:val="615"/>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9"/>
              <w:spacing w:before="60"/>
              <w:rPr>
                <w:rFonts w:ascii="Arial" w:eastAsia="Arial" w:hAnsi="Arial" w:cs="Arial"/>
                <w:b/>
                <w:noProof/>
                <w:color w:val="000000"/>
                <w:sz w:val="16"/>
              </w:rPr>
            </w:pPr>
            <w:r>
              <w:rPr>
                <w:rFonts w:ascii="Arial" w:hAnsi="Arial"/>
                <w:b/>
                <w:noProof/>
                <w:color w:val="000000"/>
                <w:sz w:val="16"/>
              </w:rPr>
              <w:t>Минимален краткосрочен рейтинг</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9"/>
              <w:spacing w:before="60"/>
              <w:rPr>
                <w:rFonts w:ascii="Arial" w:eastAsia="Arial" w:hAnsi="Arial" w:cs="Arial"/>
                <w:b/>
                <w:noProof/>
                <w:color w:val="000000"/>
                <w:sz w:val="16"/>
              </w:rPr>
            </w:pPr>
            <w:r>
              <w:rPr>
                <w:rFonts w:ascii="Arial" w:hAnsi="Arial"/>
                <w:b/>
                <w:noProof/>
                <w:color w:val="000000"/>
                <w:sz w:val="16"/>
              </w:rPr>
              <w:t>Минимален дългосрочен рейтинг</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9"/>
              <w:spacing w:before="60"/>
              <w:jc w:val="right"/>
              <w:rPr>
                <w:rFonts w:ascii="Arial" w:eastAsia="Arial" w:hAnsi="Arial" w:cs="Arial"/>
                <w:b/>
                <w:noProof/>
                <w:color w:val="000000"/>
                <w:sz w:val="16"/>
              </w:rPr>
            </w:pPr>
            <w:r>
              <w:rPr>
                <w:rFonts w:ascii="Arial" w:hAnsi="Arial"/>
                <w:b/>
                <w:noProof/>
                <w:color w:val="000000"/>
                <w:sz w:val="16"/>
              </w:rPr>
              <w:t>31.12.2018 г.</w:t>
            </w:r>
          </w:p>
        </w:tc>
        <w:tc>
          <w:tcPr>
            <w:tcW w:w="36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39"/>
              <w:spacing w:before="60"/>
              <w:jc w:val="center"/>
              <w:rPr>
                <w:rFonts w:ascii="Arial" w:eastAsia="Arial" w:hAnsi="Arial" w:cs="Arial"/>
                <w:b/>
                <w:noProof/>
                <w:color w:val="000000"/>
                <w:sz w:val="16"/>
              </w:rPr>
            </w:pP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39"/>
              <w:spacing w:before="60"/>
              <w:jc w:val="right"/>
              <w:rPr>
                <w:rFonts w:ascii="Arial" w:eastAsia="Arial" w:hAnsi="Arial" w:cs="Arial"/>
                <w:b/>
                <w:noProof/>
                <w:color w:val="000000"/>
                <w:sz w:val="16"/>
              </w:rPr>
            </w:pPr>
            <w:r>
              <w:rPr>
                <w:rFonts w:ascii="Arial" w:hAnsi="Arial"/>
                <w:b/>
                <w:noProof/>
                <w:color w:val="000000"/>
                <w:sz w:val="16"/>
              </w:rPr>
              <w:t>31.12.2017 г.</w:t>
            </w:r>
          </w:p>
        </w:tc>
        <w:tc>
          <w:tcPr>
            <w:tcW w:w="36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39"/>
              <w:spacing w:before="60"/>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39"/>
              <w:spacing w:before="60"/>
              <w:rPr>
                <w:rFonts w:ascii="Arial" w:eastAsia="Arial" w:hAnsi="Arial" w:cs="Arial"/>
                <w:b/>
                <w:noProof/>
                <w:color w:val="000000"/>
                <w:sz w:val="16"/>
              </w:rPr>
            </w:pPr>
            <w:r>
              <w:rPr>
                <w:rFonts w:ascii="Arial" w:hAnsi="Arial"/>
                <w:b/>
                <w:noProof/>
                <w:color w:val="000000"/>
                <w:sz w:val="16"/>
              </w:rPr>
              <w:t>(по Moody’s)</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39"/>
              <w:spacing w:before="60"/>
              <w:rPr>
                <w:rFonts w:ascii="Arial" w:eastAsia="Arial" w:hAnsi="Arial" w:cs="Arial"/>
                <w:b/>
                <w:noProof/>
                <w:color w:val="000000"/>
                <w:sz w:val="16"/>
              </w:rPr>
            </w:pPr>
            <w:r>
              <w:rPr>
                <w:rFonts w:ascii="Arial" w:hAnsi="Arial"/>
                <w:b/>
                <w:noProof/>
                <w:color w:val="000000"/>
                <w:sz w:val="16"/>
              </w:rPr>
              <w:t>(по Moody’s)</w:t>
            </w: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39"/>
              <w:spacing w:before="60"/>
              <w:jc w:val="center"/>
              <w:rPr>
                <w:rFonts w:ascii="Calibri" w:eastAsia="Calibri" w:hAnsi="Calibri" w:cs="Calibri"/>
                <w:noProof/>
                <w:color w:val="000000"/>
                <w:sz w:val="22"/>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39"/>
              <w:spacing w:before="60"/>
              <w:jc w:val="center"/>
              <w:rPr>
                <w:rFonts w:ascii="Calibri" w:eastAsia="Calibri" w:hAnsi="Calibri" w:cs="Calibri"/>
                <w:noProof/>
                <w:color w:val="000000"/>
                <w:sz w:val="22"/>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39"/>
              <w:spacing w:before="60"/>
              <w:jc w:val="center"/>
              <w:rPr>
                <w:rFonts w:ascii="Calibri" w:eastAsia="Calibri" w:hAnsi="Calibri" w:cs="Calibri"/>
                <w:noProof/>
                <w:color w:val="000000"/>
                <w:sz w:val="22"/>
              </w:rPr>
            </w:pP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39"/>
              <w:spacing w:before="60"/>
              <w:jc w:val="center"/>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spacing w:before="60"/>
              <w:rPr>
                <w:rFonts w:ascii="Arial" w:eastAsia="Arial" w:hAnsi="Arial" w:cs="Arial"/>
                <w:noProof/>
                <w:color w:val="000000"/>
                <w:sz w:val="16"/>
              </w:rPr>
            </w:pPr>
            <w:r>
              <w:rPr>
                <w:rFonts w:ascii="Arial" w:hAnsi="Arial"/>
                <w:noProof/>
                <w:color w:val="000000"/>
                <w:sz w:val="16"/>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spacing w:before="60"/>
              <w:rPr>
                <w:rFonts w:ascii="Arial" w:eastAsia="Arial" w:hAnsi="Arial" w:cs="Arial"/>
                <w:noProof/>
                <w:color w:val="000000"/>
                <w:sz w:val="16"/>
              </w:rPr>
            </w:pPr>
            <w:r>
              <w:rPr>
                <w:rFonts w:ascii="Arial" w:hAnsi="Arial"/>
                <w:noProof/>
                <w:color w:val="000000"/>
                <w:sz w:val="16"/>
              </w:rPr>
              <w:t>Aaa</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71 914</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13%</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49 616</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rPr>
                <w:rFonts w:ascii="Arial" w:eastAsia="Arial" w:hAnsi="Arial" w:cs="Arial"/>
                <w:noProof/>
                <w:color w:val="000000"/>
                <w:sz w:val="16"/>
              </w:rPr>
            </w:pPr>
            <w:r>
              <w:rPr>
                <w:rFonts w:ascii="Arial" w:hAnsi="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49 972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89 971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rPr>
                <w:rFonts w:ascii="Arial" w:eastAsia="Arial" w:hAnsi="Arial" w:cs="Arial"/>
                <w:noProof/>
                <w:color w:val="000000"/>
                <w:sz w:val="16"/>
              </w:rPr>
            </w:pPr>
            <w:r>
              <w:rPr>
                <w:rFonts w:ascii="Arial" w:hAnsi="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199 938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34%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143 080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201 899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35%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266 434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rPr>
                <w:rFonts w:ascii="Arial" w:eastAsia="Arial" w:hAnsi="Arial" w:cs="Arial"/>
                <w:noProof/>
                <w:color w:val="000000"/>
                <w:sz w:val="16"/>
              </w:rPr>
            </w:pPr>
            <w:r>
              <w:rPr>
                <w:rFonts w:ascii="Arial" w:hAnsi="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49 985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39"/>
              <w:spacing w:before="60"/>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39"/>
              <w:spacing w:before="60"/>
              <w:rPr>
                <w:rFonts w:ascii="Arial" w:eastAsia="Arial" w:hAnsi="Arial" w:cs="Arial"/>
                <w:b/>
                <w:noProof/>
                <w:color w:val="000000"/>
                <w:sz w:val="16"/>
              </w:rPr>
            </w:pPr>
            <w:r>
              <w:rPr>
                <w:rFonts w:ascii="Arial" w:hAnsi="Arial"/>
                <w:b/>
                <w:noProof/>
                <w:color w:val="000000"/>
                <w:sz w:val="16"/>
              </w:rPr>
              <w:t>Общо</w:t>
            </w:r>
          </w:p>
        </w:tc>
        <w:tc>
          <w:tcPr>
            <w:tcW w:w="1980" w:type="dxa"/>
            <w:tcBorders>
              <w:top w:val="nil"/>
              <w:left w:val="nil"/>
              <w:bottom w:val="nil"/>
              <w:right w:val="nil"/>
              <w:tl2br w:val="nil"/>
              <w:tr2bl w:val="nil"/>
            </w:tcBorders>
            <w:shd w:val="clear" w:color="FFFFFF" w:fill="BFBFBF"/>
            <w:noWrap/>
            <w:tcMar>
              <w:left w:w="0" w:type="dxa"/>
              <w:right w:w="0" w:type="dxa"/>
            </w:tcMar>
            <w:vAlign w:val="center"/>
          </w:tcPr>
          <w:p>
            <w:pPr>
              <w:pStyle w:val="Normal39"/>
              <w:spacing w:before="60"/>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9"/>
              <w:spacing w:before="60"/>
              <w:jc w:val="right"/>
              <w:rPr>
                <w:rFonts w:ascii="Arial" w:eastAsia="Arial" w:hAnsi="Arial" w:cs="Arial"/>
                <w:b/>
                <w:noProof/>
                <w:color w:val="000000"/>
                <w:sz w:val="16"/>
              </w:rPr>
            </w:pPr>
            <w:r>
              <w:rPr>
                <w:rFonts w:ascii="Arial" w:hAnsi="Arial"/>
                <w:b/>
                <w:noProof/>
                <w:color w:val="000000"/>
                <w:sz w:val="16"/>
              </w:rPr>
              <w:t>573 708</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9"/>
              <w:spacing w:before="60"/>
              <w:jc w:val="right"/>
              <w:rPr>
                <w:rFonts w:ascii="Arial" w:eastAsia="Arial" w:hAnsi="Arial" w:cs="Arial"/>
                <w:b/>
                <w:noProof/>
                <w:color w:val="000000"/>
                <w:sz w:val="16"/>
              </w:rPr>
            </w:pPr>
            <w:r>
              <w:rPr>
                <w:rFonts w:ascii="Arial" w:hAnsi="Arial"/>
                <w:b/>
                <w:noProof/>
                <w:color w:val="000000"/>
                <w:sz w:val="16"/>
              </w:rPr>
              <w:t>100%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9"/>
              <w:spacing w:before="60"/>
              <w:jc w:val="right"/>
              <w:rPr>
                <w:rFonts w:ascii="Arial" w:eastAsia="Arial" w:hAnsi="Arial" w:cs="Arial"/>
                <w:b/>
                <w:noProof/>
                <w:color w:val="000000"/>
                <w:sz w:val="16"/>
              </w:rPr>
            </w:pPr>
            <w:r>
              <w:rPr>
                <w:rFonts w:ascii="Arial" w:hAnsi="Arial"/>
                <w:b/>
                <w:noProof/>
                <w:color w:val="000000"/>
                <w:sz w:val="16"/>
              </w:rPr>
              <w:t>549 101</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39"/>
              <w:spacing w:before="60"/>
              <w:jc w:val="right"/>
              <w:rPr>
                <w:rFonts w:ascii="Arial" w:eastAsia="Arial" w:hAnsi="Arial" w:cs="Arial"/>
                <w:b/>
                <w:noProof/>
                <w:color w:val="000000"/>
                <w:sz w:val="16"/>
              </w:rPr>
            </w:pPr>
            <w:r>
              <w:rPr>
                <w:rFonts w:ascii="Arial" w:hAnsi="Arial"/>
                <w:b/>
                <w:noProof/>
                <w:color w:val="000000"/>
                <w:sz w:val="16"/>
              </w:rPr>
              <w:t>100%</w:t>
            </w:r>
          </w:p>
        </w:tc>
      </w:tr>
    </w:tbl>
    <w:p>
      <w:pPr>
        <w:pStyle w:val="Normal401"/>
        <w:spacing w:before="60"/>
        <w:rPr>
          <w:noProof/>
        </w:rPr>
      </w:pPr>
    </w:p>
    <w:p>
      <w:pPr>
        <w:pStyle w:val="Notes14"/>
        <w:numPr>
          <w:ilvl w:val="2"/>
          <w:numId w:val="92"/>
        </w:numPr>
        <w:tabs>
          <w:tab w:val="clear" w:pos="4320"/>
          <w:tab w:val="clear" w:pos="8640"/>
          <w:tab w:val="right" w:pos="-2700"/>
          <w:tab w:val="right" w:pos="720"/>
        </w:tabs>
        <w:spacing w:before="60" w:after="0"/>
        <w:jc w:val="left"/>
        <w:rPr>
          <w:bCs/>
          <w:noProof/>
          <w:sz w:val="16"/>
          <w:szCs w:val="16"/>
        </w:rPr>
      </w:pPr>
      <w:r>
        <w:rPr>
          <w:noProof/>
          <w:sz w:val="16"/>
        </w:rPr>
        <w:t>Кредитен риск на дериватите</w:t>
      </w:r>
    </w:p>
    <w:p>
      <w:pPr>
        <w:pStyle w:val="Notes14"/>
        <w:numPr>
          <w:ilvl w:val="0"/>
          <w:numId w:val="0"/>
        </w:numPr>
        <w:tabs>
          <w:tab w:val="clear" w:pos="4320"/>
          <w:tab w:val="clear" w:pos="8640"/>
          <w:tab w:val="right" w:pos="-2700"/>
        </w:tabs>
        <w:spacing w:before="60" w:after="0"/>
        <w:rPr>
          <w:noProof/>
          <w:sz w:val="16"/>
          <w:szCs w:val="16"/>
        </w:rPr>
      </w:pPr>
    </w:p>
    <w:p>
      <w:pPr>
        <w:pStyle w:val="Notes14"/>
        <w:numPr>
          <w:ilvl w:val="3"/>
          <w:numId w:val="92"/>
        </w:numPr>
        <w:tabs>
          <w:tab w:val="clear" w:pos="4320"/>
          <w:tab w:val="clear" w:pos="8640"/>
          <w:tab w:val="right" w:pos="-2700"/>
          <w:tab w:val="right" w:pos="720"/>
        </w:tabs>
        <w:spacing w:before="60" w:after="0"/>
        <w:ind w:left="794" w:hanging="794"/>
        <w:jc w:val="left"/>
        <w:rPr>
          <w:bCs/>
          <w:noProof/>
          <w:sz w:val="16"/>
          <w:szCs w:val="16"/>
        </w:rPr>
      </w:pPr>
      <w:r>
        <w:rPr>
          <w:noProof/>
          <w:sz w:val="16"/>
        </w:rPr>
        <w:t>Политика за кредитния риск на дериватите</w:t>
      </w:r>
    </w:p>
    <w:p>
      <w:pPr>
        <w:pStyle w:val="Notes14"/>
        <w:numPr>
          <w:ilvl w:val="0"/>
          <w:numId w:val="0"/>
        </w:numPr>
        <w:tabs>
          <w:tab w:val="clear" w:pos="4320"/>
          <w:tab w:val="clear" w:pos="8640"/>
          <w:tab w:val="right" w:pos="-2700"/>
        </w:tabs>
        <w:spacing w:before="60" w:after="0"/>
        <w:rPr>
          <w:b w:val="0"/>
          <w:noProof/>
          <w:sz w:val="16"/>
          <w:szCs w:val="16"/>
        </w:rPr>
      </w:pPr>
    </w:p>
    <w:p>
      <w:pPr>
        <w:pStyle w:val="Notes14"/>
        <w:numPr>
          <w:ilvl w:val="0"/>
          <w:numId w:val="0"/>
        </w:numPr>
        <w:tabs>
          <w:tab w:val="clear" w:pos="4320"/>
          <w:tab w:val="clear" w:pos="8640"/>
          <w:tab w:val="right" w:pos="-2700"/>
        </w:tabs>
        <w:spacing w:before="60" w:after="0"/>
        <w:rPr>
          <w:b w:val="0"/>
          <w:noProof/>
          <w:sz w:val="16"/>
          <w:szCs w:val="16"/>
        </w:rPr>
      </w:pPr>
      <w:r>
        <w:rPr>
          <w:b w:val="0"/>
          <w:noProof/>
          <w:sz w:val="16"/>
        </w:rPr>
        <w:t>Кредитният риск по отношение на дериватите се представя като загуби, които едната страна би понесла, ако другият контрагент по сделката не е в състояние да изпълни своите договорни задължения. Кредитният риск, свързан с дериватите, варира в зависимост от редица фактори (като лихвени проценти и валутни курсове) и като цяло отговаря на само малка част от тяхната условна стойност.</w:t>
      </w:r>
    </w:p>
    <w:p>
      <w:pPr>
        <w:pStyle w:val="Notes14"/>
        <w:numPr>
          <w:ilvl w:val="0"/>
          <w:numId w:val="0"/>
        </w:numPr>
        <w:tabs>
          <w:tab w:val="clear" w:pos="4320"/>
          <w:tab w:val="clear" w:pos="8640"/>
          <w:tab w:val="right" w:pos="-2700"/>
        </w:tabs>
        <w:spacing w:before="60" w:after="0"/>
        <w:rPr>
          <w:b w:val="0"/>
          <w:noProof/>
          <w:sz w:val="16"/>
          <w:szCs w:val="16"/>
        </w:rPr>
      </w:pPr>
    </w:p>
    <w:p>
      <w:pPr>
        <w:pStyle w:val="Notes14"/>
        <w:numPr>
          <w:ilvl w:val="0"/>
          <w:numId w:val="0"/>
        </w:numPr>
        <w:tabs>
          <w:tab w:val="clear" w:pos="4320"/>
          <w:tab w:val="clear" w:pos="8640"/>
          <w:tab w:val="right" w:pos="-2700"/>
        </w:tabs>
        <w:spacing w:before="60" w:after="0"/>
        <w:rPr>
          <w:b w:val="0"/>
          <w:noProof/>
          <w:sz w:val="16"/>
          <w:szCs w:val="16"/>
        </w:rPr>
      </w:pPr>
      <w:r>
        <w:rPr>
          <w:b w:val="0"/>
          <w:noProof/>
          <w:sz w:val="16"/>
        </w:rPr>
        <w:t xml:space="preserve">В обичайния ход на своята дейност механизмът може да сключва договори за суап с цел да хеджира определени кредитни операции или да сключва форуърдни договори с цел да хеджира валутните си позиции, изразени в активно търгувани валути, различни от евро. Всички суапове се изпълняват от Европейската инвестиционна банка с външно участие. Суаповете се уреждат от същото главно споразумение за суаповете и от приложенията относно кредитната подкрепа, подписани между Европейската инвестиционна банка и външните ѝ партньори. </w:t>
      </w:r>
    </w:p>
    <w:p>
      <w:pPr>
        <w:pStyle w:val="Notes14"/>
        <w:numPr>
          <w:ilvl w:val="0"/>
          <w:numId w:val="0"/>
        </w:numPr>
        <w:tabs>
          <w:tab w:val="clear" w:pos="4320"/>
          <w:tab w:val="clear" w:pos="8640"/>
          <w:tab w:val="right" w:pos="-2700"/>
        </w:tabs>
        <w:spacing w:before="60" w:after="0"/>
        <w:jc w:val="left"/>
        <w:rPr>
          <w:b w:val="0"/>
          <w:noProof/>
          <w:sz w:val="16"/>
          <w:szCs w:val="16"/>
          <w:shd w:val="clear" w:color="auto" w:fill="FFFF00"/>
        </w:rPr>
      </w:pPr>
    </w:p>
    <w:p>
      <w:pPr>
        <w:pStyle w:val="Notes14"/>
        <w:numPr>
          <w:ilvl w:val="3"/>
          <w:numId w:val="92"/>
        </w:numPr>
        <w:tabs>
          <w:tab w:val="clear" w:pos="4320"/>
          <w:tab w:val="clear" w:pos="8640"/>
          <w:tab w:val="right" w:pos="-2700"/>
          <w:tab w:val="right" w:pos="720"/>
        </w:tabs>
        <w:spacing w:before="60" w:after="0"/>
        <w:ind w:left="794" w:hanging="794"/>
        <w:jc w:val="left"/>
        <w:rPr>
          <w:bCs/>
          <w:noProof/>
          <w:sz w:val="16"/>
          <w:szCs w:val="16"/>
        </w:rPr>
      </w:pPr>
      <w:r>
        <w:rPr>
          <w:noProof/>
          <w:sz w:val="16"/>
        </w:rPr>
        <w:t>Измерване на кредитния риск на дериватите</w:t>
      </w:r>
    </w:p>
    <w:p>
      <w:pPr>
        <w:pStyle w:val="Notes14"/>
        <w:numPr>
          <w:ilvl w:val="0"/>
          <w:numId w:val="0"/>
        </w:numPr>
        <w:tabs>
          <w:tab w:val="clear" w:pos="4320"/>
          <w:tab w:val="clear" w:pos="8640"/>
          <w:tab w:val="right" w:pos="-2700"/>
          <w:tab w:val="right" w:pos="720"/>
        </w:tabs>
        <w:spacing w:before="60" w:after="0"/>
        <w:rPr>
          <w:b w:val="0"/>
          <w:noProof/>
          <w:sz w:val="16"/>
          <w:szCs w:val="16"/>
        </w:rPr>
      </w:pPr>
    </w:p>
    <w:p>
      <w:pPr>
        <w:pStyle w:val="Notes14"/>
        <w:numPr>
          <w:ilvl w:val="0"/>
          <w:numId w:val="0"/>
        </w:numPr>
        <w:tabs>
          <w:tab w:val="clear" w:pos="4320"/>
          <w:tab w:val="clear" w:pos="8640"/>
          <w:tab w:val="right" w:pos="-2700"/>
          <w:tab w:val="right" w:pos="720"/>
        </w:tabs>
        <w:spacing w:before="60" w:after="0"/>
        <w:rPr>
          <w:b w:val="0"/>
          <w:noProof/>
          <w:sz w:val="16"/>
          <w:szCs w:val="16"/>
        </w:rPr>
      </w:pPr>
      <w:r>
        <w:rPr>
          <w:b w:val="0"/>
          <w:noProof/>
          <w:sz w:val="16"/>
        </w:rPr>
        <w:t>Всички суапове, предприети от Европейската инвестиционна банка, които са свързани с механизма, се третират в същата договорна рамка и със същите методики, прилагани за дериватите, договорени от Европейската инвестиционна банка за нейните собствени цели. По-специално, допустимостта на партньорите при суап се определя от Европейската инвестиционна банка на базата на същите условия за допустимост, прилагани за общите операции по суап.</w:t>
      </w:r>
    </w:p>
    <w:p>
      <w:pPr>
        <w:pStyle w:val="Notes14"/>
        <w:numPr>
          <w:ilvl w:val="0"/>
          <w:numId w:val="0"/>
        </w:numPr>
        <w:tabs>
          <w:tab w:val="clear" w:pos="4320"/>
          <w:tab w:val="clear" w:pos="8640"/>
          <w:tab w:val="right" w:pos="-2700"/>
          <w:tab w:val="right" w:pos="720"/>
        </w:tabs>
        <w:spacing w:before="60" w:after="0"/>
        <w:rPr>
          <w:b w:val="0"/>
          <w:noProof/>
          <w:sz w:val="16"/>
          <w:szCs w:val="16"/>
        </w:rPr>
      </w:pPr>
    </w:p>
    <w:p>
      <w:pPr>
        <w:pStyle w:val="Notes14"/>
        <w:numPr>
          <w:ilvl w:val="0"/>
          <w:numId w:val="0"/>
        </w:numPr>
        <w:tabs>
          <w:tab w:val="clear" w:pos="4320"/>
          <w:tab w:val="clear" w:pos="8640"/>
          <w:tab w:val="right" w:pos="-2700"/>
          <w:tab w:val="right" w:pos="720"/>
        </w:tabs>
        <w:spacing w:before="60" w:after="0"/>
        <w:rPr>
          <w:b w:val="0"/>
          <w:noProof/>
          <w:sz w:val="16"/>
          <w:szCs w:val="16"/>
        </w:rPr>
      </w:pPr>
      <w:r>
        <w:rPr>
          <w:b w:val="0"/>
          <w:noProof/>
          <w:sz w:val="16"/>
        </w:rPr>
        <w:t>Европейската инвестиционна банка измерва кредитния риск, свързан със суапове и трансакции с деривати, с помощта на подхода за нетната пазарна експозиция (НПЕ) и потенциалната бъдеща експозиция (ПБЕ) за докладване и мониторинг на лимитите. НПЕ и ПБЕ включват изцяло дериватите, свързани с Инвестиционния механизъм.</w:t>
      </w:r>
    </w:p>
    <w:p>
      <w:pPr>
        <w:pStyle w:val="Notes14"/>
        <w:numPr>
          <w:ilvl w:val="0"/>
          <w:numId w:val="125"/>
        </w:numPr>
        <w:tabs>
          <w:tab w:val="clear" w:pos="4320"/>
          <w:tab w:val="clear" w:pos="8640"/>
          <w:tab w:val="right" w:pos="-2700"/>
          <w:tab w:val="right" w:pos="720"/>
        </w:tabs>
        <w:spacing w:before="60" w:after="60"/>
        <w:ind w:left="357" w:hanging="357"/>
        <w:jc w:val="left"/>
        <w:rPr>
          <w:b w:val="0"/>
          <w:noProof/>
          <w:sz w:val="16"/>
        </w:rPr>
      </w:pPr>
      <w:r>
        <w:rPr>
          <w:b w:val="0"/>
          <w:noProof/>
          <w:sz w:val="16"/>
        </w:rPr>
        <w:t>Следната таблица показва падежите на кръстосани валутно-лихвени суапове, разделени според тяхната фиктивна стойност и справедлива стойност:</w:t>
      </w:r>
    </w:p>
    <w:p>
      <w:pPr>
        <w:pStyle w:val="Notes15"/>
        <w:numPr>
          <w:ilvl w:val="0"/>
          <w:numId w:val="0"/>
        </w:numPr>
        <w:tabs>
          <w:tab w:val="clear" w:pos="4320"/>
          <w:tab w:val="clear" w:pos="8640"/>
          <w:tab w:val="right" w:pos="-2700"/>
          <w:tab w:val="right" w:pos="720"/>
        </w:tabs>
        <w:spacing w:before="60" w:after="60"/>
        <w:jc w:val="left"/>
        <w:rPr>
          <w:b w:val="0"/>
          <w:noProof/>
          <w:sz w:val="16"/>
          <w:szCs w:val="16"/>
        </w:rPr>
      </w:pPr>
    </w:p>
    <w:tbl>
      <w:tblPr>
        <w:tblStyle w:val="CDMRange26"/>
        <w:tblW w:w="9975" w:type="dxa"/>
        <w:tblLayout w:type="fixed"/>
        <w:tblLook w:val="0600" w:firstRow="0" w:lastRow="0" w:firstColumn="0" w:lastColumn="0" w:noHBand="1" w:noVBand="1"/>
      </w:tblPr>
      <w:tblGrid>
        <w:gridCol w:w="3975"/>
        <w:gridCol w:w="1200"/>
        <w:gridCol w:w="1200"/>
        <w:gridCol w:w="1200"/>
        <w:gridCol w:w="1200"/>
        <w:gridCol w:w="1200"/>
      </w:tblGrid>
      <w:tr>
        <w:trPr>
          <w:trHeight w:hRule="exact" w:val="479"/>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rPr>
                <w:rFonts w:ascii="Arial" w:eastAsia="Arial" w:hAnsi="Arial" w:cs="Arial"/>
                <w:b/>
                <w:noProof/>
                <w:color w:val="000000"/>
                <w:sz w:val="16"/>
              </w:rPr>
            </w:pPr>
            <w:r>
              <w:rPr>
                <w:rFonts w:ascii="Arial" w:hAnsi="Arial"/>
                <w:b/>
                <w:noProof/>
                <w:color w:val="000000"/>
                <w:sz w:val="16"/>
              </w:rPr>
              <w:t>Суапови договори към 31.12.2018 г.</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по-малко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1 година</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5 години</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повече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Общо за 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rPr>
                <w:rFonts w:ascii="Arial" w:eastAsia="Arial" w:hAnsi="Arial" w:cs="Arial"/>
                <w:b/>
                <w:noProof/>
                <w:color w:val="000000"/>
                <w:sz w:val="16"/>
              </w:rPr>
            </w:pPr>
            <w:r>
              <w:rPr>
                <w:rFonts w:ascii="Arial" w:hAnsi="Arial"/>
                <w:b/>
                <w:noProof/>
                <w:color w:val="000000"/>
                <w:sz w:val="16"/>
              </w:rPr>
              <w:t>хиляди евро</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1 година</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до 5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до 10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до 10 години</w:t>
            </w: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4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rPr>
                <w:rFonts w:ascii="Arial" w:eastAsia="Arial" w:hAnsi="Arial" w:cs="Arial"/>
                <w:noProof/>
                <w:color w:val="000000"/>
                <w:sz w:val="16"/>
              </w:rPr>
            </w:pPr>
            <w:r>
              <w:rPr>
                <w:rFonts w:ascii="Arial" w:hAnsi="Arial"/>
                <w:noProof/>
                <w:color w:val="000000"/>
                <w:sz w:val="16"/>
              </w:rPr>
              <w:t>Условна стойност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5 245</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5 245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1"/>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rPr>
                <w:rFonts w:ascii="Arial" w:eastAsia="Arial" w:hAnsi="Arial" w:cs="Arial"/>
                <w:noProof/>
                <w:color w:val="000000"/>
                <w:sz w:val="16"/>
              </w:rPr>
            </w:pPr>
            <w:r>
              <w:rPr>
                <w:rFonts w:ascii="Arial" w:hAnsi="Arial"/>
                <w:noProof/>
                <w:color w:val="000000"/>
                <w:sz w:val="16"/>
              </w:rPr>
              <w:t>Справедлива стойност (т.е. нетната сконтирана стойност)</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-325</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-325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81"/>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rPr>
                <w:rFonts w:ascii="Arial" w:eastAsia="Arial" w:hAnsi="Arial" w:cs="Arial"/>
                <w:b/>
                <w:noProof/>
                <w:color w:val="000000"/>
                <w:sz w:val="16"/>
              </w:rPr>
            </w:pPr>
            <w:r>
              <w:rPr>
                <w:rFonts w:ascii="Arial" w:hAnsi="Arial"/>
                <w:b/>
                <w:noProof/>
                <w:color w:val="000000"/>
                <w:sz w:val="16"/>
              </w:rPr>
              <w:t>Суапови договори към 31.12.2017 г.</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по-малко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1 година</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5 години</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повече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Общо за 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rPr>
                <w:rFonts w:ascii="Arial" w:eastAsia="Arial" w:hAnsi="Arial" w:cs="Arial"/>
                <w:b/>
                <w:noProof/>
                <w:color w:val="000000"/>
                <w:sz w:val="16"/>
              </w:rPr>
            </w:pPr>
            <w:r>
              <w:rPr>
                <w:rFonts w:ascii="Arial" w:hAnsi="Arial"/>
                <w:b/>
                <w:noProof/>
                <w:color w:val="000000"/>
                <w:sz w:val="16"/>
              </w:rPr>
              <w:t>хиляди евро</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1 година</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до 5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до 10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до 10 години</w:t>
            </w:r>
          </w:p>
        </w:tc>
        <w:tc>
          <w:tcPr>
            <w:tcW w:w="120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4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rPr>
                <w:rFonts w:ascii="Arial" w:eastAsia="Arial" w:hAnsi="Arial" w:cs="Arial"/>
                <w:noProof/>
                <w:color w:val="000000"/>
                <w:sz w:val="16"/>
              </w:rPr>
            </w:pPr>
            <w:r>
              <w:rPr>
                <w:rFonts w:ascii="Arial" w:hAnsi="Arial"/>
                <w:noProof/>
                <w:color w:val="000000"/>
                <w:sz w:val="16"/>
              </w:rPr>
              <w:t>Условна стойност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8 098</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8 098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5"/>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rPr>
                <w:rFonts w:ascii="Arial" w:eastAsia="Arial" w:hAnsi="Arial" w:cs="Arial"/>
                <w:noProof/>
                <w:color w:val="000000"/>
                <w:sz w:val="16"/>
              </w:rPr>
            </w:pPr>
            <w:r>
              <w:rPr>
                <w:rFonts w:ascii="Arial" w:hAnsi="Arial"/>
                <w:noProof/>
                <w:color w:val="000000"/>
                <w:sz w:val="16"/>
              </w:rPr>
              <w:t>Справедлива стойност (т.е. нетната сконтирана стойност)</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-955</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42"/>
              <w:jc w:val="right"/>
              <w:rPr>
                <w:rFonts w:ascii="Arial" w:eastAsia="Arial" w:hAnsi="Arial" w:cs="Arial"/>
                <w:b/>
                <w:noProof/>
                <w:color w:val="000000"/>
                <w:sz w:val="16"/>
              </w:rPr>
            </w:pPr>
            <w:r>
              <w:rPr>
                <w:rFonts w:ascii="Arial" w:hAnsi="Arial"/>
                <w:b/>
                <w:noProof/>
                <w:color w:val="000000"/>
                <w:sz w:val="16"/>
              </w:rPr>
              <w:t>-955</w:t>
            </w:r>
          </w:p>
        </w:tc>
      </w:tr>
    </w:tbl>
    <w:p>
      <w:pPr>
        <w:pStyle w:val="Notes16"/>
        <w:numPr>
          <w:ilvl w:val="0"/>
          <w:numId w:val="94"/>
        </w:numPr>
        <w:tabs>
          <w:tab w:val="right" w:pos="-2700"/>
        </w:tabs>
        <w:spacing w:before="60" w:after="60"/>
        <w:rPr>
          <w:b w:val="0"/>
          <w:noProof/>
          <w:sz w:val="16"/>
          <w:szCs w:val="16"/>
        </w:rPr>
      </w:pPr>
      <w:r>
        <w:rPr>
          <w:b w:val="0"/>
          <w:noProof/>
          <w:sz w:val="16"/>
        </w:rPr>
        <w:t>Механизмът сключва договори за краткосрочни валутни суапове (FX суапове) с цел да хеджира валутния риск на плащанията във валути, различни от EUR. FX суаповете имат падеж от максимум три месеца и редовно се подновяват. Условната сума на FX суаповете възлиза на 1 460,6 милиона евро</w:t>
      </w:r>
      <w:r>
        <w:rPr>
          <w:noProof/>
        </w:rPr>
        <w:t xml:space="preserve"> </w:t>
      </w:r>
      <w:r>
        <w:rPr>
          <w:b w:val="0"/>
          <w:noProof/>
          <w:sz w:val="16"/>
        </w:rPr>
        <w:t>към 31 декември 2018 г. при 1 500,0 милиона евро към 31 декември 2017 г. Справедливата стойност на FX суаповете възлиза на 1,1 милиона евро към 31 декември 2018 г. при 12,0 милиона евро към 31 декември 2017 г.</w:t>
      </w:r>
    </w:p>
    <w:p>
      <w:pPr>
        <w:pStyle w:val="Notes16"/>
        <w:numPr>
          <w:ilvl w:val="0"/>
          <w:numId w:val="0"/>
        </w:numPr>
        <w:tabs>
          <w:tab w:val="right" w:pos="-2700"/>
        </w:tabs>
        <w:spacing w:before="60" w:after="60"/>
        <w:rPr>
          <w:b w:val="0"/>
          <w:noProof/>
          <w:sz w:val="16"/>
          <w:szCs w:val="16"/>
        </w:rPr>
      </w:pPr>
    </w:p>
    <w:p>
      <w:pPr>
        <w:pStyle w:val="Notes16"/>
        <w:numPr>
          <w:ilvl w:val="0"/>
          <w:numId w:val="94"/>
        </w:numPr>
        <w:tabs>
          <w:tab w:val="right" w:pos="-2700"/>
        </w:tabs>
        <w:spacing w:before="60" w:after="60"/>
        <w:rPr>
          <w:b w:val="0"/>
          <w:noProof/>
          <w:sz w:val="16"/>
          <w:szCs w:val="16"/>
        </w:rPr>
      </w:pPr>
      <w:r>
        <w:rPr>
          <w:b w:val="0"/>
          <w:noProof/>
          <w:sz w:val="16"/>
        </w:rPr>
        <w:t>Механизмът сключва договори за лихвен суап с цел хеджиране на лихвения риск за изплатени заеми. Към 31 декември 2018 г. съществуват два лихвени суапа с условна сума от 28,5 милиона евро (2017 г.: 31,7 милиона евро) и справедлива стойност от 0,7 милиона евро (2017 г.: 0,3 милиона евро).</w:t>
      </w:r>
    </w:p>
    <w:p>
      <w:pPr>
        <w:pStyle w:val="Notes16"/>
        <w:numPr>
          <w:ilvl w:val="0"/>
          <w:numId w:val="0"/>
        </w:numPr>
        <w:tabs>
          <w:tab w:val="right" w:pos="-2700"/>
        </w:tabs>
        <w:spacing w:before="60" w:after="60"/>
        <w:rPr>
          <w:b w:val="0"/>
          <w:noProof/>
          <w:sz w:val="16"/>
          <w:szCs w:val="16"/>
        </w:rPr>
      </w:pPr>
      <w:r>
        <w:rPr>
          <w:noProof/>
        </w:rPr>
        <w:t xml:space="preserve"> </w:t>
      </w:r>
    </w:p>
    <w:p>
      <w:pPr>
        <w:pStyle w:val="Title3212"/>
        <w:numPr>
          <w:ilvl w:val="2"/>
          <w:numId w:val="95"/>
        </w:numPr>
        <w:tabs>
          <w:tab w:val="clear" w:pos="822"/>
          <w:tab w:val="num" w:pos="709"/>
        </w:tabs>
        <w:ind w:left="709" w:hanging="709"/>
        <w:rPr>
          <w:noProof/>
          <w:sz w:val="16"/>
          <w:szCs w:val="16"/>
        </w:rPr>
      </w:pPr>
      <w:r>
        <w:rPr>
          <w:noProof/>
          <w:sz w:val="16"/>
        </w:rPr>
        <w:t>Кредитен риск на касовите финансови активи</w:t>
      </w:r>
    </w:p>
    <w:p>
      <w:pPr>
        <w:pStyle w:val="Notes17"/>
        <w:numPr>
          <w:ilvl w:val="0"/>
          <w:numId w:val="0"/>
        </w:numPr>
        <w:tabs>
          <w:tab w:val="clear" w:pos="4320"/>
          <w:tab w:val="clear" w:pos="8640"/>
          <w:tab w:val="right" w:pos="-2700"/>
        </w:tabs>
        <w:spacing w:before="60" w:after="60"/>
        <w:jc w:val="left"/>
        <w:rPr>
          <w:b w:val="0"/>
          <w:noProof/>
          <w:sz w:val="16"/>
          <w:szCs w:val="16"/>
        </w:rPr>
      </w:pPr>
    </w:p>
    <w:p>
      <w:pPr>
        <w:pStyle w:val="Notes160"/>
        <w:numPr>
          <w:ilvl w:val="0"/>
          <w:numId w:val="0"/>
        </w:numPr>
        <w:tabs>
          <w:tab w:val="right" w:pos="-2700"/>
        </w:tabs>
        <w:spacing w:before="60" w:after="60"/>
        <w:rPr>
          <w:b w:val="0"/>
          <w:noProof/>
          <w:sz w:val="16"/>
          <w:szCs w:val="16"/>
        </w:rPr>
      </w:pPr>
      <w:r>
        <w:rPr>
          <w:b w:val="0"/>
          <w:noProof/>
          <w:sz w:val="16"/>
        </w:rPr>
        <w:t>Таблицата по-долу показва състоянието на касовия портфейл, изцяло съставен от търговски ценни книжа, емитирани от структури на поддържавно равнище, банки и небанкови субекти, с остатъчен срок до падежа до три месеца. Държавите — членки на ЕС, техните агенции, банки и небанкови субекти са допустими емитенти. Максимално допустимата граница за всеки оторизиран емитент е 50 000 000 EUR (петдесет милиона евро). Инвестициите в средносрочни и дългосрочни облигации също могат да бъдат допустими според инвестиционните насоки и в зависимост от изискванията за ликвидност:</w:t>
      </w:r>
    </w:p>
    <w:p>
      <w:pPr>
        <w:pStyle w:val="Notes17"/>
        <w:numPr>
          <w:ilvl w:val="0"/>
          <w:numId w:val="0"/>
        </w:numPr>
        <w:tabs>
          <w:tab w:val="clear" w:pos="4320"/>
          <w:tab w:val="clear" w:pos="8640"/>
          <w:tab w:val="right" w:pos="-2700"/>
        </w:tabs>
        <w:spacing w:before="60" w:after="60"/>
        <w:rPr>
          <w:b w:val="0"/>
          <w:noProof/>
          <w:sz w:val="16"/>
          <w:szCs w:val="16"/>
        </w:rPr>
      </w:pPr>
      <w:r>
        <w:rPr>
          <w:noProof/>
        </w:rPr>
        <w:t xml:space="preserve"> </w:t>
      </w:r>
    </w:p>
    <w:tbl>
      <w:tblPr>
        <w:tblStyle w:val="CDMRange17"/>
        <w:tblW w:w="9960" w:type="dxa"/>
        <w:tblLayout w:type="fixed"/>
        <w:tblLook w:val="0600" w:firstRow="0" w:lastRow="0" w:firstColumn="0" w:lastColumn="0" w:noHBand="1" w:noVBand="1"/>
      </w:tblPr>
      <w:tblGrid>
        <w:gridCol w:w="1980"/>
        <w:gridCol w:w="1980"/>
        <w:gridCol w:w="1500"/>
        <w:gridCol w:w="1500"/>
        <w:gridCol w:w="1500"/>
        <w:gridCol w:w="1500"/>
      </w:tblGrid>
      <w:tr>
        <w:trPr>
          <w:trHeight w:val="450"/>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5"/>
              <w:rPr>
                <w:rFonts w:ascii="Arial" w:eastAsia="Arial" w:hAnsi="Arial" w:cs="Arial"/>
                <w:b/>
                <w:noProof/>
                <w:color w:val="000000"/>
                <w:sz w:val="16"/>
              </w:rPr>
            </w:pPr>
            <w:r>
              <w:rPr>
                <w:rFonts w:ascii="Arial" w:hAnsi="Arial"/>
                <w:b/>
                <w:noProof/>
                <w:color w:val="000000"/>
                <w:sz w:val="16"/>
              </w:rPr>
              <w:t>Минимален краткосрочен рейтинг</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5"/>
              <w:rPr>
                <w:rFonts w:ascii="Arial" w:eastAsia="Arial" w:hAnsi="Arial" w:cs="Arial"/>
                <w:b/>
                <w:noProof/>
                <w:color w:val="000000"/>
                <w:sz w:val="16"/>
              </w:rPr>
            </w:pPr>
            <w:r>
              <w:rPr>
                <w:rFonts w:ascii="Arial" w:hAnsi="Arial"/>
                <w:b/>
                <w:noProof/>
                <w:color w:val="000000"/>
                <w:sz w:val="16"/>
              </w:rPr>
              <w:t>Минимален дългосрочен рейтинг</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5"/>
              <w:jc w:val="center"/>
              <w:rPr>
                <w:rFonts w:ascii="Arial" w:eastAsia="Arial" w:hAnsi="Arial" w:cs="Arial"/>
                <w:b/>
                <w:noProof/>
                <w:color w:val="000000"/>
                <w:sz w:val="16"/>
              </w:rPr>
            </w:pPr>
            <w:r>
              <w:rPr>
                <w:rFonts w:ascii="Arial" w:hAnsi="Arial"/>
                <w:b/>
                <w:noProof/>
                <w:color w:val="000000"/>
                <w:sz w:val="16"/>
              </w:rPr>
              <w:t>31.12.2018 г.</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5"/>
              <w:jc w:val="center"/>
              <w:rPr>
                <w:rFonts w:ascii="Arial" w:eastAsia="Arial" w:hAnsi="Arial" w:cs="Arial"/>
                <w:b/>
                <w:noProof/>
                <w:color w:val="000000"/>
                <w:sz w:val="16"/>
              </w:rPr>
            </w:pPr>
            <w:r>
              <w:rPr>
                <w:rFonts w:ascii="Arial" w:hAnsi="Arial"/>
                <w:b/>
                <w:noProof/>
                <w:color w:val="000000"/>
                <w:sz w:val="16"/>
              </w:rPr>
              <w:t>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5"/>
              <w:rPr>
                <w:rFonts w:ascii="Arial" w:eastAsia="Arial" w:hAnsi="Arial" w:cs="Arial"/>
                <w:b/>
                <w:noProof/>
                <w:color w:val="000000"/>
                <w:sz w:val="16"/>
              </w:rPr>
            </w:pPr>
            <w:r>
              <w:rPr>
                <w:rFonts w:ascii="Arial" w:hAnsi="Arial"/>
                <w:b/>
                <w:noProof/>
                <w:color w:val="000000"/>
                <w:sz w:val="16"/>
              </w:rPr>
              <w:t>(по Moody’s)</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5"/>
              <w:rPr>
                <w:rFonts w:ascii="Arial" w:eastAsia="Arial" w:hAnsi="Arial" w:cs="Arial"/>
                <w:b/>
                <w:noProof/>
                <w:color w:val="000000"/>
                <w:sz w:val="16"/>
              </w:rPr>
            </w:pPr>
            <w:r>
              <w:rPr>
                <w:rFonts w:ascii="Arial" w:hAnsi="Arial"/>
                <w:b/>
                <w:noProof/>
                <w:color w:val="000000"/>
                <w:sz w:val="16"/>
              </w:rPr>
              <w:t>(по Moody’s)</w:t>
            </w:r>
          </w:p>
        </w:tc>
        <w:tc>
          <w:tcPr>
            <w:tcW w:w="3000" w:type="dxa"/>
            <w:gridSpan w:val="2"/>
            <w:vMerge/>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5"/>
              <w:jc w:val="center"/>
              <w:rPr>
                <w:rFonts w:ascii="Arial" w:eastAsia="Arial" w:hAnsi="Arial" w:cs="Arial"/>
                <w:b/>
                <w:noProof/>
                <w:color w:val="000000"/>
                <w:sz w:val="16"/>
              </w:rPr>
            </w:pPr>
          </w:p>
        </w:tc>
        <w:tc>
          <w:tcPr>
            <w:tcW w:w="3000" w:type="dxa"/>
            <w:gridSpan w:val="2"/>
            <w:vMerge/>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5"/>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Aa2</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80 041</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24%</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95 055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29%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15 005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45 008</w:t>
            </w:r>
          </w:p>
        </w:tc>
        <w:tc>
          <w:tcPr>
            <w:tcW w:w="1500" w:type="dxa"/>
            <w:tcBorders>
              <w:top w:val="nil"/>
              <w:left w:val="nil"/>
              <w:bottom w:val="nil"/>
              <w:right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sz w:val="16"/>
              </w:rPr>
              <w:t>13%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50 015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15%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50 016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15%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Baa2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94 353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NP</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Ba1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50 029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45"/>
              <w:jc w:val="right"/>
              <w:rPr>
                <w:rFonts w:ascii="Arial" w:eastAsia="Arial" w:hAnsi="Arial" w:cs="Arial"/>
                <w:noProof/>
                <w:color w:val="000000"/>
                <w:sz w:val="16"/>
              </w:rPr>
            </w:pPr>
            <w:r>
              <w:rPr>
                <w:rFonts w:ascii="Arial" w:hAnsi="Arial"/>
                <w:noProof/>
                <w:color w:val="000000"/>
                <w:sz w:val="16"/>
              </w:rPr>
              <w:t>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45"/>
              <w:rPr>
                <w:rFonts w:ascii="Arial" w:eastAsia="Arial" w:hAnsi="Arial" w:cs="Arial"/>
                <w:b/>
                <w:noProof/>
                <w:color w:val="000000"/>
                <w:sz w:val="16"/>
              </w:rPr>
            </w:pPr>
            <w:r>
              <w:rPr>
                <w:rFonts w:ascii="Arial" w:hAnsi="Arial"/>
                <w:b/>
                <w:noProof/>
                <w:color w:val="000000"/>
                <w:sz w:val="16"/>
              </w:rPr>
              <w:t>Общо</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45"/>
              <w:rPr>
                <w:rFonts w:ascii="Arial" w:eastAsia="Arial" w:hAnsi="Arial" w:cs="Arial"/>
                <w:noProof/>
                <w:color w:val="000000"/>
                <w:sz w:val="16"/>
              </w:rPr>
            </w:pPr>
            <w:r>
              <w:rPr>
                <w:rFonts w:ascii="Arial" w:hAnsi="Arial"/>
                <w:noProof/>
                <w:color w:val="000000"/>
                <w:sz w:val="16"/>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45"/>
              <w:jc w:val="right"/>
              <w:rPr>
                <w:rFonts w:ascii="Arial" w:eastAsia="Arial" w:hAnsi="Arial" w:cs="Arial"/>
                <w:b/>
                <w:noProof/>
                <w:color w:val="000000"/>
                <w:sz w:val="16"/>
              </w:rPr>
            </w:pPr>
            <w:r>
              <w:rPr>
                <w:rFonts w:ascii="Arial" w:hAnsi="Arial"/>
                <w:b/>
                <w:noProof/>
                <w:color w:val="000000"/>
                <w:sz w:val="16"/>
              </w:rPr>
              <w:t>335 140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45"/>
              <w:jc w:val="right"/>
              <w:rPr>
                <w:rFonts w:ascii="Arial" w:eastAsia="Arial" w:hAnsi="Arial" w:cs="Arial"/>
                <w:b/>
                <w:noProof/>
                <w:color w:val="000000"/>
                <w:sz w:val="16"/>
              </w:rPr>
            </w:pPr>
            <w:r>
              <w:rPr>
                <w:rFonts w:ascii="Arial" w:hAnsi="Arial"/>
                <w:b/>
                <w:noProof/>
                <w:color w:val="000000"/>
                <w:sz w:val="16"/>
              </w:rPr>
              <w:t>100%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45"/>
              <w:jc w:val="right"/>
              <w:rPr>
                <w:rFonts w:ascii="Arial" w:eastAsia="Arial" w:hAnsi="Arial" w:cs="Arial"/>
                <w:b/>
                <w:noProof/>
                <w:color w:val="000000"/>
                <w:sz w:val="16"/>
              </w:rPr>
            </w:pPr>
            <w:r>
              <w:rPr>
                <w:rFonts w:ascii="Arial" w:hAnsi="Arial"/>
                <w:b/>
                <w:noProof/>
                <w:color w:val="000000"/>
                <w:sz w:val="16"/>
              </w:rPr>
              <w:t>144 382</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45"/>
              <w:jc w:val="right"/>
              <w:rPr>
                <w:rFonts w:ascii="Arial" w:eastAsia="Arial" w:hAnsi="Arial" w:cs="Arial"/>
                <w:b/>
                <w:noProof/>
                <w:color w:val="000000"/>
                <w:sz w:val="16"/>
              </w:rPr>
            </w:pPr>
            <w:r>
              <w:rPr>
                <w:rFonts w:ascii="Arial" w:hAnsi="Arial"/>
                <w:b/>
                <w:noProof/>
                <w:color w:val="000000"/>
                <w:sz w:val="16"/>
              </w:rPr>
              <w:t>100%</w:t>
            </w:r>
          </w:p>
        </w:tc>
      </w:tr>
    </w:tbl>
    <w:p>
      <w:pPr>
        <w:pStyle w:val="Title112"/>
        <w:pageBreakBefore/>
        <w:numPr>
          <w:ilvl w:val="1"/>
          <w:numId w:val="96"/>
        </w:numPr>
        <w:spacing w:before="20"/>
        <w:rPr>
          <w:b/>
          <w:noProof/>
          <w:sz w:val="16"/>
          <w:szCs w:val="16"/>
        </w:rPr>
      </w:pPr>
      <w:r>
        <w:rPr>
          <w:b/>
          <w:noProof/>
          <w:sz w:val="16"/>
        </w:rPr>
        <w:t>Ликвиден риск</w:t>
      </w:r>
    </w:p>
    <w:p>
      <w:pPr>
        <w:pStyle w:val="Notes18"/>
        <w:numPr>
          <w:ilvl w:val="0"/>
          <w:numId w:val="0"/>
        </w:numPr>
        <w:tabs>
          <w:tab w:val="right" w:pos="-2700"/>
        </w:tabs>
        <w:spacing w:before="20" w:after="0"/>
        <w:rPr>
          <w:b w:val="0"/>
          <w:noProof/>
          <w:sz w:val="16"/>
          <w:szCs w:val="16"/>
        </w:rPr>
      </w:pPr>
    </w:p>
    <w:p>
      <w:pPr>
        <w:pStyle w:val="Notes18"/>
        <w:numPr>
          <w:ilvl w:val="0"/>
          <w:numId w:val="0"/>
        </w:numPr>
        <w:tabs>
          <w:tab w:val="right" w:pos="-2700"/>
        </w:tabs>
        <w:spacing w:before="20" w:after="0"/>
        <w:rPr>
          <w:b w:val="0"/>
          <w:noProof/>
          <w:sz w:val="16"/>
          <w:szCs w:val="16"/>
        </w:rPr>
      </w:pPr>
      <w:r>
        <w:rPr>
          <w:b w:val="0"/>
          <w:noProof/>
          <w:sz w:val="16"/>
        </w:rPr>
        <w:t>Ликвиден риск е способността на един субект да финансира увеличения на активите и да изпълнява задължения, когато те станат изискуеми, без да търпи неприемливи загуби. Той може да бъде разделен на ликвиден риск, свързан с финансирането, и пазарен ликвиден риск. Ликвидният риск, свързан с финансирането, е рискът, че един субект няма да може да посрещне ефикасно очакваните и неочакваните настоящи и бъдещи нужди от парични потоци, без това да се отразява върху ежедневната му дейност или финансовото му състояние. Пазарният ликвиден риск е рискът, че един субект няма да може лесно да компенсира или елиминира позиция на пазарната цена поради недостатъчна дълбочина на пазара или поради пазарни сътресения.</w:t>
      </w:r>
    </w:p>
    <w:p>
      <w:pPr>
        <w:pStyle w:val="Title112"/>
        <w:numPr>
          <w:ilvl w:val="0"/>
          <w:numId w:val="0"/>
        </w:numPr>
        <w:spacing w:before="20"/>
        <w:rPr>
          <w:noProof/>
          <w:sz w:val="16"/>
          <w:szCs w:val="16"/>
        </w:rPr>
      </w:pPr>
    </w:p>
    <w:p>
      <w:pPr>
        <w:pStyle w:val="Title112"/>
        <w:numPr>
          <w:ilvl w:val="2"/>
          <w:numId w:val="96"/>
        </w:numPr>
        <w:tabs>
          <w:tab w:val="right" w:pos="720"/>
        </w:tabs>
        <w:spacing w:before="20"/>
        <w:rPr>
          <w:b/>
          <w:noProof/>
          <w:sz w:val="16"/>
          <w:szCs w:val="16"/>
        </w:rPr>
      </w:pPr>
      <w:r>
        <w:rPr>
          <w:b/>
          <w:noProof/>
          <w:sz w:val="16"/>
        </w:rPr>
        <w:t xml:space="preserve"> </w:t>
      </w:r>
      <w:r>
        <w:rPr>
          <w:noProof/>
        </w:rPr>
        <w:tab/>
      </w:r>
      <w:r>
        <w:rPr>
          <w:b/>
          <w:noProof/>
          <w:sz w:val="16"/>
        </w:rPr>
        <w:t>Управление на ликвидния риск</w:t>
      </w:r>
    </w:p>
    <w:p>
      <w:pPr>
        <w:pStyle w:val="Notes18"/>
        <w:numPr>
          <w:ilvl w:val="0"/>
          <w:numId w:val="0"/>
        </w:numPr>
        <w:tabs>
          <w:tab w:val="clear" w:pos="4320"/>
          <w:tab w:val="clear" w:pos="8640"/>
          <w:tab w:val="right" w:pos="-2700"/>
        </w:tabs>
        <w:spacing w:before="20" w:after="0"/>
        <w:rPr>
          <w:b w:val="0"/>
          <w:noProof/>
          <w:sz w:val="16"/>
          <w:szCs w:val="16"/>
        </w:rPr>
      </w:pPr>
    </w:p>
    <w:p>
      <w:pPr>
        <w:pStyle w:val="Notes18"/>
        <w:numPr>
          <w:ilvl w:val="0"/>
          <w:numId w:val="0"/>
        </w:numPr>
        <w:tabs>
          <w:tab w:val="right" w:pos="-2700"/>
        </w:tabs>
        <w:spacing w:before="20" w:after="0"/>
        <w:rPr>
          <w:b w:val="0"/>
          <w:noProof/>
          <w:sz w:val="16"/>
          <w:szCs w:val="16"/>
        </w:rPr>
      </w:pPr>
      <w:r>
        <w:rPr>
          <w:b w:val="0"/>
          <w:noProof/>
          <w:sz w:val="16"/>
        </w:rPr>
        <w:t>Механизмът се финансира предимно със средства от годишните вноски на държавите членки, както и от обратните постъпления, произтичащи от операции на механизма. Механизмът управлява своя ликвиден риск, свързан с финансирането, главно чрез планиране на своите нетни нужди от ликвидност и изискваните годишни вноски на държавите членки.</w:t>
      </w:r>
    </w:p>
    <w:p>
      <w:pPr>
        <w:pStyle w:val="Notes18"/>
        <w:numPr>
          <w:ilvl w:val="0"/>
          <w:numId w:val="0"/>
        </w:numPr>
        <w:tabs>
          <w:tab w:val="clear" w:pos="4320"/>
          <w:tab w:val="clear" w:pos="8640"/>
          <w:tab w:val="right" w:pos="-2700"/>
        </w:tabs>
        <w:spacing w:before="20" w:after="0"/>
        <w:rPr>
          <w:b w:val="0"/>
          <w:noProof/>
          <w:sz w:val="16"/>
          <w:szCs w:val="16"/>
        </w:rPr>
      </w:pPr>
    </w:p>
    <w:p>
      <w:pPr>
        <w:pStyle w:val="Notes18"/>
        <w:numPr>
          <w:ilvl w:val="0"/>
          <w:numId w:val="0"/>
        </w:numPr>
        <w:tabs>
          <w:tab w:val="clear" w:pos="4320"/>
          <w:tab w:val="clear" w:pos="8640"/>
          <w:tab w:val="right" w:pos="-2700"/>
        </w:tabs>
        <w:spacing w:before="20" w:after="0"/>
        <w:rPr>
          <w:b w:val="0"/>
          <w:noProof/>
          <w:sz w:val="16"/>
          <w:szCs w:val="16"/>
        </w:rPr>
      </w:pPr>
      <w:r>
        <w:rPr>
          <w:b w:val="0"/>
          <w:noProof/>
          <w:sz w:val="16"/>
        </w:rPr>
        <w:t xml:space="preserve">За да се изчислят годишните вноски на държавите членки, моделите на разходване на съществуващия и следващия портфейл се анализират и проследяват през цялата година. Специални събития, например рано възстановени разходи, продажби на акции или случаи на неизпълнение, се вземат предвид за коригиране на годишните изисквания за ликвидност. </w:t>
      </w:r>
    </w:p>
    <w:p>
      <w:pPr>
        <w:pStyle w:val="Notes18"/>
        <w:numPr>
          <w:ilvl w:val="0"/>
          <w:numId w:val="0"/>
        </w:numPr>
        <w:tabs>
          <w:tab w:val="clear" w:pos="4320"/>
          <w:tab w:val="clear" w:pos="8640"/>
          <w:tab w:val="right" w:pos="-2700"/>
        </w:tabs>
        <w:spacing w:before="20" w:after="0"/>
        <w:rPr>
          <w:b w:val="0"/>
          <w:noProof/>
          <w:sz w:val="16"/>
          <w:szCs w:val="16"/>
        </w:rPr>
      </w:pPr>
    </w:p>
    <w:p>
      <w:pPr>
        <w:pStyle w:val="Notes18"/>
        <w:numPr>
          <w:ilvl w:val="0"/>
          <w:numId w:val="0"/>
        </w:numPr>
        <w:tabs>
          <w:tab w:val="right" w:pos="-2700"/>
        </w:tabs>
        <w:spacing w:before="20" w:after="0"/>
        <w:rPr>
          <w:b w:val="0"/>
          <w:noProof/>
          <w:sz w:val="16"/>
          <w:szCs w:val="16"/>
        </w:rPr>
      </w:pPr>
      <w:r>
        <w:rPr>
          <w:b w:val="0"/>
          <w:noProof/>
          <w:sz w:val="16"/>
        </w:rPr>
        <w:t xml:space="preserve">С цел допълнително минимизиране на ликвидния риск механизмът поддържа ликвиден резерв, достатъчен да покрие във всеки момент прогнозните касови плащания, съобщавани периодично от отдела по заемите на ЕИБ. Средствата се инвестират на паричния пазар и пазарите на облигации под формата на междубанкови депозити и други краткосрочни финансови инструменти, като се вземат предвид задълженията на механизма за касови плащания. Ликвидните активи на механизма се управляват от отдела за управление на касовите наличности на банката с цел да се поддържа подходяща ликвидност, за да може механизмът да изпълнява своите задължения.   </w:t>
      </w:r>
    </w:p>
    <w:p>
      <w:pPr>
        <w:pStyle w:val="Notes18"/>
        <w:numPr>
          <w:ilvl w:val="0"/>
          <w:numId w:val="0"/>
        </w:numPr>
        <w:tabs>
          <w:tab w:val="right" w:pos="-2700"/>
        </w:tabs>
        <w:spacing w:before="20" w:after="0"/>
        <w:ind w:left="432"/>
        <w:rPr>
          <w:b w:val="0"/>
          <w:noProof/>
          <w:sz w:val="16"/>
          <w:szCs w:val="16"/>
        </w:rPr>
      </w:pPr>
    </w:p>
    <w:p>
      <w:pPr>
        <w:pStyle w:val="Notes18"/>
        <w:numPr>
          <w:ilvl w:val="0"/>
          <w:numId w:val="0"/>
        </w:numPr>
        <w:tabs>
          <w:tab w:val="right" w:pos="-2700"/>
        </w:tabs>
        <w:spacing w:before="20" w:after="0"/>
        <w:rPr>
          <w:b w:val="0"/>
          <w:noProof/>
          <w:sz w:val="16"/>
          <w:szCs w:val="16"/>
        </w:rPr>
      </w:pPr>
      <w:r>
        <w:rPr>
          <w:b w:val="0"/>
          <w:noProof/>
          <w:sz w:val="16"/>
        </w:rPr>
        <w:t xml:space="preserve">В съответствие с принципа на разделение на функциите между фронт- и бек-офиса, операциите по сетълмент, свързани с инвестирането на тези активи, са под отговорността на отдела на ЕИБ по планиране и сетълмент на операциите. Освен това оторизирането на контрагенти и ограниченията за касовите инвестиции, както и мониторингът на тези ограничения, са отговорност на дирекцията за управление на риска на банката. </w:t>
      </w:r>
    </w:p>
    <w:p>
      <w:pPr>
        <w:pStyle w:val="Notes18"/>
        <w:numPr>
          <w:ilvl w:val="0"/>
          <w:numId w:val="0"/>
        </w:numPr>
        <w:tabs>
          <w:tab w:val="clear" w:pos="4320"/>
          <w:tab w:val="clear" w:pos="8640"/>
          <w:tab w:val="right" w:pos="-2700"/>
        </w:tabs>
        <w:spacing w:before="20" w:after="0"/>
        <w:rPr>
          <w:b w:val="0"/>
          <w:noProof/>
          <w:sz w:val="16"/>
          <w:szCs w:val="16"/>
        </w:rPr>
      </w:pPr>
    </w:p>
    <w:p>
      <w:pPr>
        <w:pStyle w:val="Title112"/>
        <w:numPr>
          <w:ilvl w:val="2"/>
          <w:numId w:val="96"/>
        </w:numPr>
        <w:tabs>
          <w:tab w:val="right" w:pos="720"/>
        </w:tabs>
        <w:spacing w:before="20"/>
        <w:rPr>
          <w:b/>
          <w:noProof/>
          <w:sz w:val="16"/>
          <w:szCs w:val="16"/>
        </w:rPr>
      </w:pPr>
      <w:r>
        <w:rPr>
          <w:b/>
          <w:noProof/>
          <w:sz w:val="16"/>
        </w:rPr>
        <w:t xml:space="preserve"> </w:t>
      </w:r>
      <w:r>
        <w:rPr>
          <w:noProof/>
        </w:rPr>
        <w:tab/>
      </w:r>
      <w:r>
        <w:rPr>
          <w:b/>
          <w:noProof/>
          <w:sz w:val="16"/>
        </w:rPr>
        <w:t>Измерване на ликвидния риск</w:t>
      </w:r>
    </w:p>
    <w:p>
      <w:pPr>
        <w:pStyle w:val="Notes18"/>
        <w:numPr>
          <w:ilvl w:val="0"/>
          <w:numId w:val="0"/>
        </w:numPr>
        <w:tabs>
          <w:tab w:val="clear" w:pos="4320"/>
          <w:tab w:val="clear" w:pos="8640"/>
          <w:tab w:val="right" w:pos="-2700"/>
        </w:tabs>
        <w:spacing w:before="20" w:after="0"/>
        <w:rPr>
          <w:b w:val="0"/>
          <w:noProof/>
          <w:sz w:val="16"/>
          <w:szCs w:val="16"/>
        </w:rPr>
      </w:pPr>
    </w:p>
    <w:p>
      <w:pPr>
        <w:pStyle w:val="Notes18"/>
        <w:numPr>
          <w:ilvl w:val="0"/>
          <w:numId w:val="0"/>
        </w:numPr>
        <w:tabs>
          <w:tab w:val="clear" w:pos="4320"/>
          <w:tab w:val="clear" w:pos="8640"/>
          <w:tab w:val="right" w:pos="-2700"/>
        </w:tabs>
        <w:spacing w:before="20" w:after="0"/>
        <w:rPr>
          <w:b w:val="0"/>
          <w:noProof/>
          <w:sz w:val="16"/>
          <w:szCs w:val="16"/>
        </w:rPr>
      </w:pPr>
      <w:r>
        <w:rPr>
          <w:b w:val="0"/>
          <w:noProof/>
          <w:sz w:val="16"/>
        </w:rPr>
        <w:t>В таблиците на този раздел се анализират финансовите пасиви на механизма по матуритет въз основа на оставащия период от време от датата на счетоводния баланс до договорната дата на падеж (въз основа на несконтирани парични потоци).</w:t>
      </w:r>
    </w:p>
    <w:p>
      <w:pPr>
        <w:pStyle w:val="Notes18"/>
        <w:numPr>
          <w:ilvl w:val="0"/>
          <w:numId w:val="0"/>
        </w:numPr>
        <w:tabs>
          <w:tab w:val="clear" w:pos="4320"/>
          <w:tab w:val="clear" w:pos="8640"/>
          <w:tab w:val="right" w:pos="-2700"/>
        </w:tabs>
        <w:spacing w:before="20" w:after="0"/>
        <w:rPr>
          <w:b w:val="0"/>
          <w:noProof/>
          <w:sz w:val="16"/>
          <w:szCs w:val="16"/>
        </w:rPr>
      </w:pPr>
    </w:p>
    <w:p>
      <w:pPr>
        <w:pStyle w:val="Notes18"/>
        <w:numPr>
          <w:ilvl w:val="0"/>
          <w:numId w:val="0"/>
        </w:numPr>
        <w:tabs>
          <w:tab w:val="clear" w:pos="4320"/>
          <w:tab w:val="clear" w:pos="8640"/>
          <w:tab w:val="right" w:pos="-2700"/>
        </w:tabs>
        <w:spacing w:before="20" w:after="0"/>
        <w:rPr>
          <w:b w:val="0"/>
          <w:noProof/>
          <w:sz w:val="16"/>
          <w:szCs w:val="16"/>
        </w:rPr>
      </w:pPr>
      <w:r>
        <w:rPr>
          <w:b w:val="0"/>
          <w:noProof/>
          <w:sz w:val="16"/>
        </w:rPr>
        <w:t xml:space="preserve">Що се отнася до недериватните финансови пасиви, механизмът има ангажименти под формата на неизплатени части от кредита по сключените споразумения за заем, неизплатени части на подписано вписване на капитал/инвестиционни споразумения, предоставени гаранции по заеми или поети като задължение лихвени субсидии и техническа помощ. </w:t>
      </w:r>
    </w:p>
    <w:p>
      <w:pPr>
        <w:pStyle w:val="Notes18"/>
        <w:numPr>
          <w:ilvl w:val="0"/>
          <w:numId w:val="0"/>
        </w:numPr>
        <w:tabs>
          <w:tab w:val="right" w:pos="-2700"/>
        </w:tabs>
        <w:spacing w:before="20" w:after="0"/>
        <w:rPr>
          <w:b w:val="0"/>
          <w:noProof/>
          <w:sz w:val="16"/>
          <w:szCs w:val="16"/>
        </w:rPr>
      </w:pPr>
    </w:p>
    <w:p>
      <w:pPr>
        <w:pStyle w:val="Notes18"/>
        <w:numPr>
          <w:ilvl w:val="0"/>
          <w:numId w:val="0"/>
        </w:numPr>
        <w:tabs>
          <w:tab w:val="clear" w:pos="4320"/>
          <w:tab w:val="clear" w:pos="8640"/>
          <w:tab w:val="right" w:pos="-2700"/>
        </w:tabs>
        <w:spacing w:before="20" w:after="0"/>
        <w:rPr>
          <w:b w:val="0"/>
          <w:noProof/>
          <w:sz w:val="16"/>
          <w:szCs w:val="16"/>
        </w:rPr>
      </w:pPr>
      <w:r>
        <w:rPr>
          <w:b w:val="0"/>
          <w:noProof/>
          <w:sz w:val="16"/>
        </w:rPr>
        <w:t xml:space="preserve">Заемите по Инвестиционния механизъм имат краен срок за плащане. Въпреки това плащанията се извършват в моменти и в размери, които отразяват напредъка на съответните инвестиционни проекти. Освен това заемите на механизма са операции, извършени в относително нестабилна работна среда, поради което графикът на изплащането им се характеризира със значителна степен на несигурност. </w:t>
      </w:r>
    </w:p>
    <w:p>
      <w:pPr>
        <w:pStyle w:val="Notes18"/>
        <w:numPr>
          <w:ilvl w:val="0"/>
          <w:numId w:val="0"/>
        </w:numPr>
        <w:tabs>
          <w:tab w:val="clear" w:pos="4320"/>
          <w:tab w:val="clear" w:pos="8640"/>
          <w:tab w:val="right" w:pos="-2700"/>
        </w:tabs>
        <w:spacing w:before="20" w:after="0"/>
        <w:rPr>
          <w:b w:val="0"/>
          <w:noProof/>
          <w:sz w:val="16"/>
          <w:szCs w:val="16"/>
        </w:rPr>
      </w:pPr>
    </w:p>
    <w:p>
      <w:pPr>
        <w:pStyle w:val="Notes18"/>
        <w:numPr>
          <w:ilvl w:val="0"/>
          <w:numId w:val="0"/>
        </w:numPr>
        <w:tabs>
          <w:tab w:val="clear" w:pos="4320"/>
          <w:tab w:val="clear" w:pos="8640"/>
          <w:tab w:val="right" w:pos="-2700"/>
        </w:tabs>
        <w:spacing w:before="20" w:after="0"/>
        <w:rPr>
          <w:b w:val="0"/>
          <w:noProof/>
          <w:sz w:val="16"/>
          <w:szCs w:val="16"/>
        </w:rPr>
      </w:pPr>
      <w:r>
        <w:rPr>
          <w:b w:val="0"/>
          <w:noProof/>
          <w:sz w:val="16"/>
        </w:rPr>
        <w:t xml:space="preserve">Капиталовите инвестиции стават дължими, когато и щом управителите на фондовете издадат валидни искания за капитал, отразяващи напредъка в техните инвестиционни дейности. Периодът на усвояване на заема обикновено е 3 години с често удължаване с една или две години. Някои задължения за плащания обикновено продължават и след края на периода на усвояване до пълното приключване на съответните инвестиции на фонда поради факта, че понякога ликвидността на фонда може да бъде недостатъчна за изпълнението на задълженията за плащане, произтичащи от такси или други разходи. </w:t>
      </w:r>
    </w:p>
    <w:p>
      <w:pPr>
        <w:pStyle w:val="Notes18"/>
        <w:numPr>
          <w:ilvl w:val="0"/>
          <w:numId w:val="0"/>
        </w:numPr>
        <w:tabs>
          <w:tab w:val="clear" w:pos="4320"/>
          <w:tab w:val="clear" w:pos="8640"/>
          <w:tab w:val="right" w:pos="-2700"/>
        </w:tabs>
        <w:spacing w:before="20" w:after="0"/>
        <w:rPr>
          <w:b w:val="0"/>
          <w:noProof/>
          <w:sz w:val="16"/>
          <w:szCs w:val="16"/>
        </w:rPr>
      </w:pPr>
    </w:p>
    <w:p>
      <w:pPr>
        <w:pStyle w:val="Notes18"/>
        <w:numPr>
          <w:ilvl w:val="0"/>
          <w:numId w:val="0"/>
        </w:numPr>
        <w:tabs>
          <w:tab w:val="clear" w:pos="4320"/>
          <w:tab w:val="clear" w:pos="8640"/>
          <w:tab w:val="right" w:pos="-2700"/>
        </w:tabs>
        <w:spacing w:before="20" w:after="0"/>
        <w:rPr>
          <w:b w:val="0"/>
          <w:noProof/>
          <w:sz w:val="16"/>
          <w:szCs w:val="16"/>
        </w:rPr>
      </w:pPr>
      <w:r>
        <w:rPr>
          <w:b w:val="0"/>
          <w:noProof/>
          <w:sz w:val="16"/>
        </w:rPr>
        <w:t>Гаранциите не са предмет на специфични задължения за плащане, освен ако гаранцията не е задействана. Размерът на оставащите гаранции се намалява съобразно с графика за връщане на гарантираните заеми.</w:t>
      </w:r>
    </w:p>
    <w:p>
      <w:pPr>
        <w:pStyle w:val="Notes18"/>
        <w:numPr>
          <w:ilvl w:val="0"/>
          <w:numId w:val="0"/>
        </w:numPr>
        <w:tabs>
          <w:tab w:val="clear" w:pos="4320"/>
          <w:tab w:val="clear" w:pos="8640"/>
          <w:tab w:val="right" w:pos="-2700"/>
        </w:tabs>
        <w:spacing w:before="20" w:after="0"/>
        <w:rPr>
          <w:b w:val="0"/>
          <w:noProof/>
          <w:sz w:val="16"/>
          <w:szCs w:val="16"/>
        </w:rPr>
      </w:pPr>
    </w:p>
    <w:p>
      <w:pPr>
        <w:pStyle w:val="Notes18"/>
        <w:numPr>
          <w:ilvl w:val="0"/>
          <w:numId w:val="0"/>
        </w:numPr>
        <w:tabs>
          <w:tab w:val="right" w:pos="-2700"/>
        </w:tabs>
        <w:spacing w:before="20" w:after="0"/>
        <w:rPr>
          <w:b w:val="0"/>
          <w:noProof/>
          <w:sz w:val="16"/>
          <w:szCs w:val="16"/>
        </w:rPr>
      </w:pPr>
      <w:r>
        <w:rPr>
          <w:b w:val="0"/>
          <w:noProof/>
          <w:sz w:val="16"/>
        </w:rPr>
        <w:t xml:space="preserve">Изходящите парични потоци за поетите като задължение лихвени субсидии се срещат в случай на субсидирани заеми, финансирани от собствените ресурси на банката. Поради това отчетените изходящи потоци представляват само поети задължения, свързани с тези заеми, а не общият размер на поетите като задължение неизплатени лихвени субсидии. Както при заемите, техният график на изплащане е несигурен.  </w:t>
      </w:r>
    </w:p>
    <w:p>
      <w:pPr>
        <w:pStyle w:val="Notes18"/>
        <w:numPr>
          <w:ilvl w:val="0"/>
          <w:numId w:val="0"/>
        </w:numPr>
        <w:tabs>
          <w:tab w:val="right" w:pos="-2700"/>
        </w:tabs>
        <w:spacing w:before="20" w:after="0"/>
        <w:ind w:left="432"/>
        <w:rPr>
          <w:b w:val="0"/>
          <w:noProof/>
          <w:sz w:val="16"/>
          <w:szCs w:val="16"/>
        </w:rPr>
      </w:pPr>
    </w:p>
    <w:p>
      <w:pPr>
        <w:pStyle w:val="Notes18"/>
        <w:numPr>
          <w:ilvl w:val="0"/>
          <w:numId w:val="0"/>
        </w:numPr>
        <w:tabs>
          <w:tab w:val="right" w:pos="-2700"/>
        </w:tabs>
        <w:spacing w:before="20" w:after="0"/>
        <w:rPr>
          <w:b w:val="0"/>
          <w:noProof/>
          <w:sz w:val="16"/>
          <w:szCs w:val="16"/>
        </w:rPr>
      </w:pPr>
      <w:r>
        <w:rPr>
          <w:b w:val="0"/>
          <w:noProof/>
          <w:sz w:val="16"/>
        </w:rPr>
        <w:t xml:space="preserve">„Брутният номинален изходящ поток“ на поетата като задължение техническа помощ в таблицата „Матуритетен профил на недериватните финансови пасиви“ се отнася до общата неизплатена част на подписаните договори за техническа помощ. Графикът на плащанията се характеризира със значителна степен на несигурност. Изходящите парични потоци, класифицирани в графа „3 месеца или по-малко“, представляват сумата на неплатените фактури, получени до отчетната дата. </w:t>
      </w:r>
    </w:p>
    <w:p>
      <w:pPr>
        <w:pStyle w:val="Notes18"/>
        <w:numPr>
          <w:ilvl w:val="0"/>
          <w:numId w:val="0"/>
        </w:numPr>
        <w:tabs>
          <w:tab w:val="right" w:pos="-2700"/>
        </w:tabs>
        <w:spacing w:before="20" w:after="0"/>
        <w:rPr>
          <w:b w:val="0"/>
          <w:noProof/>
          <w:sz w:val="16"/>
          <w:szCs w:val="16"/>
        </w:rPr>
      </w:pPr>
    </w:p>
    <w:p>
      <w:pPr>
        <w:pStyle w:val="Notes18"/>
        <w:numPr>
          <w:ilvl w:val="0"/>
          <w:numId w:val="0"/>
        </w:numPr>
        <w:tabs>
          <w:tab w:val="right" w:pos="-2700"/>
        </w:tabs>
        <w:spacing w:before="20" w:after="0"/>
        <w:rPr>
          <w:b w:val="0"/>
          <w:noProof/>
          <w:sz w:val="16"/>
          <w:szCs w:val="16"/>
        </w:rPr>
      </w:pPr>
      <w:r>
        <w:rPr>
          <w:b w:val="0"/>
          <w:noProof/>
          <w:sz w:val="16"/>
        </w:rPr>
        <w:t>Поетите задължения за недериватни финансови пасиви, за които не съществува определена договорна падежна дата, са класифицирани в графа „Неопределен падеж“. Поетите задължения, за които има регистрирано искане за плащане към отчетната дата, са класифицирани в съответните времеви интервали.</w:t>
      </w:r>
    </w:p>
    <w:p>
      <w:pPr>
        <w:pStyle w:val="Notes18"/>
        <w:numPr>
          <w:ilvl w:val="0"/>
          <w:numId w:val="0"/>
        </w:numPr>
        <w:tabs>
          <w:tab w:val="right" w:pos="-2700"/>
        </w:tabs>
        <w:spacing w:before="20" w:after="0"/>
        <w:rPr>
          <w:b w:val="0"/>
          <w:noProof/>
          <w:sz w:val="16"/>
          <w:szCs w:val="16"/>
        </w:rPr>
      </w:pPr>
    </w:p>
    <w:p>
      <w:pPr>
        <w:pStyle w:val="Notes18"/>
        <w:numPr>
          <w:ilvl w:val="0"/>
          <w:numId w:val="0"/>
        </w:numPr>
        <w:tabs>
          <w:tab w:val="clear" w:pos="4320"/>
          <w:tab w:val="clear" w:pos="8640"/>
          <w:tab w:val="right" w:pos="-2700"/>
        </w:tabs>
        <w:spacing w:before="20" w:after="0"/>
        <w:rPr>
          <w:b w:val="0"/>
          <w:noProof/>
          <w:sz w:val="16"/>
          <w:szCs w:val="16"/>
        </w:rPr>
      </w:pPr>
      <w:r>
        <w:rPr>
          <w:b w:val="0"/>
          <w:noProof/>
          <w:sz w:val="16"/>
        </w:rPr>
        <w:t>Що се отнася до дериватните финансови пасиви, ликвидният профил представя несконтираните брутни парични потоци по договорите за суап, включително кръстосани валутни суапове (CCS), кръстосани валутно-лихвени суапове (CCIRS), краткосрочните валутни суапове и лихвените суапове.</w:t>
      </w:r>
    </w:p>
    <w:p>
      <w:pPr>
        <w:pStyle w:val="Notes18"/>
        <w:numPr>
          <w:ilvl w:val="0"/>
          <w:numId w:val="0"/>
        </w:numPr>
        <w:tabs>
          <w:tab w:val="clear" w:pos="4320"/>
          <w:tab w:val="clear" w:pos="8640"/>
          <w:tab w:val="right" w:pos="-2700"/>
        </w:tabs>
        <w:spacing w:before="0" w:after="0"/>
        <w:rPr>
          <w:noProof/>
        </w:rPr>
      </w:pPr>
    </w:p>
    <w:tbl>
      <w:tblPr>
        <w:tblStyle w:val="CDMRange27"/>
        <w:tblW w:w="10230" w:type="dxa"/>
        <w:tblLayout w:type="fixed"/>
        <w:tblLook w:val="0600" w:firstRow="0" w:lastRow="0" w:firstColumn="0" w:lastColumn="0" w:noHBand="1" w:noVBand="1"/>
      </w:tblPr>
      <w:tblGrid>
        <w:gridCol w:w="4635"/>
        <w:gridCol w:w="960"/>
        <w:gridCol w:w="900"/>
        <w:gridCol w:w="900"/>
        <w:gridCol w:w="900"/>
        <w:gridCol w:w="975"/>
        <w:gridCol w:w="960"/>
      </w:tblGrid>
      <w:tr>
        <w:trPr>
          <w:trHeight w:val="57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b/>
                <w:noProof/>
                <w:color w:val="000000"/>
                <w:sz w:val="16"/>
              </w:rPr>
            </w:pPr>
            <w:r>
              <w:rPr>
                <w:rFonts w:ascii="Arial" w:hAnsi="Arial"/>
                <w:b/>
                <w:noProof/>
                <w:color w:val="000000"/>
                <w:sz w:val="16"/>
              </w:rPr>
              <w:t>Матуритетен профил на недериватните финансови пасиви</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 xml:space="preserve"> 3 месеца или по-малко</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Повече от 3 месеца до 1 година</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Повече от 1 година до 5 години</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Повече от 5 години</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Неопределен падеж</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Брутен номинален изходящ поток</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7"/>
              <w:rPr>
                <w:rFonts w:ascii="Arial" w:eastAsia="Arial" w:hAnsi="Arial" w:cs="Arial"/>
                <w:b/>
                <w:noProof/>
                <w:color w:val="000000"/>
                <w:sz w:val="16"/>
              </w:rPr>
            </w:pPr>
            <w:r>
              <w:rPr>
                <w:rFonts w:ascii="Arial" w:hAnsi="Arial"/>
                <w:b/>
                <w:noProof/>
                <w:color w:val="000000"/>
                <w:sz w:val="16"/>
              </w:rPr>
              <w:t>В хиляди евро към 31.12.2018 г.</w:t>
            </w:r>
          </w:p>
        </w:tc>
        <w:tc>
          <w:tcPr>
            <w:tcW w:w="9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color w:val="000000"/>
                <w:sz w:val="16"/>
              </w:rPr>
              <w:t>Изходящи потоци за поети като задължение, но неизплатени заеми</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7 854</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1 276 077</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1 283 931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color w:val="000000"/>
                <w:sz w:val="16"/>
              </w:rPr>
              <w:t>Изходящи потоци за поети като задължение инвестиционни средства и записване на акции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2 023</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345 144</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347 167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pacing w:val="-4"/>
                <w:sz w:val="16"/>
              </w:rPr>
            </w:pPr>
            <w:r>
              <w:rPr>
                <w:rFonts w:ascii="Arial" w:hAnsi="Arial"/>
                <w:noProof/>
                <w:color w:val="000000"/>
                <w:spacing w:val="-4"/>
                <w:sz w:val="16"/>
              </w:rPr>
              <w:t>Други (подписани не издадени гаранции, издадени гаранции)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1 556 468</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sz w:val="16"/>
              </w:rPr>
              <w:t>1 556 468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color w:val="000000"/>
                <w:sz w:val="16"/>
              </w:rPr>
              <w:t>Изходящи потоци за поети като задължение лихвени субсидии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360 655</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360 655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pacing w:val="-4"/>
                <w:sz w:val="16"/>
              </w:rPr>
            </w:pPr>
            <w:r>
              <w:rPr>
                <w:rFonts w:ascii="Arial" w:hAnsi="Arial"/>
                <w:noProof/>
                <w:color w:val="000000"/>
                <w:spacing w:val="-4"/>
                <w:sz w:val="16"/>
              </w:rPr>
              <w:t xml:space="preserve">Изходящи потоци за поета като задължение техническа помощ </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2 373</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24 082</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26 455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47"/>
              <w:rPr>
                <w:rFonts w:ascii="Arial" w:eastAsia="Arial" w:hAnsi="Arial" w:cs="Arial"/>
                <w:b/>
                <w:noProof/>
                <w:color w:val="000000"/>
                <w:sz w:val="16"/>
              </w:rPr>
            </w:pPr>
            <w:r>
              <w:rPr>
                <w:rFonts w:ascii="Arial" w:hAnsi="Arial"/>
                <w:b/>
                <w:noProof/>
                <w:color w:val="000000"/>
                <w:sz w:val="16"/>
              </w:rPr>
              <w:t xml:space="preserve">Общо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12 250</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3 562 426</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sz w:val="16"/>
              </w:rPr>
              <w:t>3 574 676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635"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47"/>
              <w:rPr>
                <w:rFonts w:ascii="Arial" w:eastAsia="Arial" w:hAnsi="Arial" w:cs="Arial"/>
                <w:noProof/>
                <w:color w:val="000000"/>
                <w:sz w:val="20"/>
              </w:rPr>
            </w:pPr>
          </w:p>
        </w:tc>
        <w:tc>
          <w:tcPr>
            <w:tcW w:w="96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c>
          <w:tcPr>
            <w:tcW w:w="96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4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b/>
                <w:noProof/>
                <w:color w:val="000000"/>
                <w:sz w:val="16"/>
              </w:rPr>
            </w:pPr>
            <w:r>
              <w:rPr>
                <w:rFonts w:ascii="Arial" w:hAnsi="Arial"/>
                <w:b/>
                <w:noProof/>
                <w:color w:val="000000"/>
                <w:sz w:val="16"/>
              </w:rPr>
              <w:t>Матуритетен профил на недериватните финансови пасиви</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 xml:space="preserve"> 3 месеца или по-малко</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Повече от 3 месеца до 1 година</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Повече от 1 година до 5 години</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Повече от 5 години</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Неопределен падеж</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Брутен номинален изходящ поток</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7"/>
              <w:rPr>
                <w:rFonts w:ascii="Arial" w:eastAsia="Arial" w:hAnsi="Arial" w:cs="Arial"/>
                <w:b/>
                <w:noProof/>
                <w:color w:val="000000"/>
                <w:sz w:val="16"/>
              </w:rPr>
            </w:pPr>
            <w:r>
              <w:rPr>
                <w:rFonts w:ascii="Arial" w:hAnsi="Arial"/>
                <w:b/>
                <w:noProof/>
                <w:color w:val="000000"/>
                <w:sz w:val="16"/>
              </w:rPr>
              <w:t>В хиляди евро към 31.12.2017 г.</w:t>
            </w:r>
          </w:p>
        </w:tc>
        <w:tc>
          <w:tcPr>
            <w:tcW w:w="9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color w:val="000000"/>
                <w:sz w:val="16"/>
              </w:rPr>
              <w:t>Изходящи потоци за поети като задължение, но неизплатени заеми</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5 543</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864 440</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869 983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z w:val="16"/>
              </w:rPr>
            </w:pPr>
            <w:r>
              <w:rPr>
                <w:rFonts w:ascii="Arial" w:hAnsi="Arial"/>
                <w:noProof/>
                <w:color w:val="000000"/>
                <w:sz w:val="16"/>
              </w:rPr>
              <w:t>Изходящи потоци за поети като задължение инвестиционни средства и записване на акции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5 039</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316 656</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321 695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pacing w:val="-4"/>
                <w:sz w:val="16"/>
              </w:rPr>
            </w:pPr>
            <w:r>
              <w:rPr>
                <w:rFonts w:ascii="Arial" w:hAnsi="Arial"/>
                <w:noProof/>
                <w:color w:val="000000"/>
                <w:spacing w:val="-4"/>
                <w:sz w:val="16"/>
              </w:rPr>
              <w:t>Други (подписани не издадени гаранции, издадени гаранции)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82 251</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82 251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pacing w:val="-4"/>
                <w:sz w:val="16"/>
              </w:rPr>
            </w:pPr>
            <w:r>
              <w:rPr>
                <w:rFonts w:ascii="Arial" w:hAnsi="Arial"/>
                <w:noProof/>
                <w:color w:val="000000"/>
                <w:spacing w:val="-4"/>
                <w:sz w:val="16"/>
              </w:rPr>
              <w:t>Изходящи потоци за поети като задължение лихвени субсидии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1 245</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286 066</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287 311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7"/>
              <w:rPr>
                <w:rFonts w:ascii="Arial" w:eastAsia="Arial" w:hAnsi="Arial" w:cs="Arial"/>
                <w:noProof/>
                <w:color w:val="000000"/>
                <w:spacing w:val="-4"/>
                <w:sz w:val="16"/>
              </w:rPr>
            </w:pPr>
            <w:r>
              <w:rPr>
                <w:rFonts w:ascii="Arial" w:hAnsi="Arial"/>
                <w:noProof/>
                <w:color w:val="000000"/>
                <w:spacing w:val="-4"/>
                <w:sz w:val="16"/>
              </w:rPr>
              <w:t xml:space="preserve">Изходящи потоци за поета като задължение техническа помощ </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1 931</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24 720</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47"/>
              <w:jc w:val="right"/>
              <w:rPr>
                <w:rFonts w:ascii="Arial" w:eastAsia="Arial" w:hAnsi="Arial" w:cs="Arial"/>
                <w:noProof/>
                <w:color w:val="000000"/>
                <w:sz w:val="16"/>
              </w:rPr>
            </w:pPr>
            <w:r>
              <w:rPr>
                <w:rFonts w:ascii="Arial" w:hAnsi="Arial"/>
                <w:noProof/>
                <w:color w:val="000000"/>
                <w:sz w:val="16"/>
              </w:rPr>
              <w:t>26 651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47"/>
              <w:rPr>
                <w:rFonts w:ascii="Arial" w:eastAsia="Arial" w:hAnsi="Arial" w:cs="Arial"/>
                <w:b/>
                <w:noProof/>
                <w:color w:val="000000"/>
                <w:sz w:val="16"/>
              </w:rPr>
            </w:pPr>
            <w:r>
              <w:rPr>
                <w:rFonts w:ascii="Arial" w:hAnsi="Arial"/>
                <w:b/>
                <w:noProof/>
                <w:color w:val="000000"/>
                <w:sz w:val="16"/>
              </w:rPr>
              <w:t xml:space="preserve">Общо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13 758</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1 574 133</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47"/>
              <w:jc w:val="right"/>
              <w:rPr>
                <w:rFonts w:ascii="Arial" w:eastAsia="Arial" w:hAnsi="Arial" w:cs="Arial"/>
                <w:b/>
                <w:noProof/>
                <w:color w:val="000000"/>
                <w:sz w:val="16"/>
              </w:rPr>
            </w:pPr>
            <w:r>
              <w:rPr>
                <w:rFonts w:ascii="Arial" w:hAnsi="Arial"/>
                <w:b/>
                <w:noProof/>
                <w:color w:val="000000"/>
                <w:sz w:val="16"/>
              </w:rPr>
              <w:t>1 587 891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47"/>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47"/>
              <w:jc w:val="right"/>
              <w:rPr>
                <w:rFonts w:ascii="Arial" w:eastAsia="Arial" w:hAnsi="Arial" w:cs="Arial"/>
                <w:b/>
                <w:noProof/>
                <w:color w:val="000000"/>
                <w:sz w:val="16"/>
              </w:rPr>
            </w:pPr>
          </w:p>
        </w:tc>
      </w:tr>
    </w:tbl>
    <w:tbl>
      <w:tblPr>
        <w:tblStyle w:val="CDMRange18"/>
        <w:tblW w:w="10230" w:type="dxa"/>
        <w:tblLayout w:type="fixed"/>
        <w:tblLook w:val="0600" w:firstRow="0" w:lastRow="0" w:firstColumn="0" w:lastColumn="0" w:noHBand="1" w:noVBand="1"/>
      </w:tblPr>
      <w:tblGrid>
        <w:gridCol w:w="4635"/>
        <w:gridCol w:w="1140"/>
        <w:gridCol w:w="1095"/>
        <w:gridCol w:w="1080"/>
        <w:gridCol w:w="1110"/>
        <w:gridCol w:w="1170"/>
      </w:tblGrid>
      <w:tr>
        <w:trPr>
          <w:trHeight w:val="30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b/>
                <w:noProof/>
                <w:color w:val="000000"/>
                <w:sz w:val="16"/>
              </w:rPr>
            </w:pPr>
            <w:r>
              <w:rPr>
                <w:rFonts w:ascii="Arial" w:hAnsi="Arial"/>
                <w:b/>
                <w:noProof/>
                <w:color w:val="000000"/>
                <w:sz w:val="16"/>
              </w:rPr>
              <w:t>Матуритетен профил на дериватни финансови пасиви</w:t>
            </w: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 xml:space="preserve"> 3 месеца или по-малко</w:t>
            </w:r>
          </w:p>
        </w:tc>
        <w:tc>
          <w:tcPr>
            <w:tcW w:w="109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Повече от 3 месеца до 1 година</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Повече от 1 година до 5 години</w:t>
            </w:r>
          </w:p>
        </w:tc>
        <w:tc>
          <w:tcPr>
            <w:tcW w:w="111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Повече от 5 години</w:t>
            </w:r>
          </w:p>
        </w:tc>
        <w:tc>
          <w:tcPr>
            <w:tcW w:w="117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Брутен номинален входящ/изходящ поток</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8"/>
              <w:rPr>
                <w:rFonts w:ascii="Arial" w:eastAsia="Arial" w:hAnsi="Arial" w:cs="Arial"/>
                <w:b/>
                <w:noProof/>
                <w:color w:val="000000"/>
                <w:sz w:val="16"/>
              </w:rPr>
            </w:pPr>
            <w:r>
              <w:rPr>
                <w:rFonts w:ascii="Arial" w:hAnsi="Arial"/>
                <w:b/>
                <w:noProof/>
                <w:color w:val="000000"/>
                <w:sz w:val="16"/>
              </w:rPr>
              <w:t>В хиляди евро към 31.12.2018 г.</w:t>
            </w: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109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108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111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117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color w:val="000000"/>
                <w:sz w:val="16"/>
              </w:rPr>
              <w:t>CCS и CCIRS — входящи потоци</w:t>
            </w: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5</w:t>
            </w:r>
          </w:p>
        </w:tc>
        <w:tc>
          <w:tcPr>
            <w:tcW w:w="109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3 281</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1 816</w:t>
            </w:r>
          </w:p>
        </w:tc>
        <w:tc>
          <w:tcPr>
            <w:tcW w:w="111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17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5 102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color w:val="000000"/>
                <w:sz w:val="16"/>
              </w:rPr>
              <w:t>CCS и CCIRS — изходящи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-4 081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-1 770</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-5 851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color w:val="000000"/>
                <w:sz w:val="16"/>
              </w:rPr>
              <w:t>Краткосрочни валутни суапове — входящи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1 460 608</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1 460 608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color w:val="000000"/>
                <w:sz w:val="16"/>
              </w:rPr>
              <w:t>Краткосрочни валутни суапове — изходящи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-1 465 498</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-1 465 498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color w:val="000000"/>
                <w:sz w:val="16"/>
              </w:rPr>
              <w:t>Лихвени суапове — входящи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397</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1 171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3 473</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204</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5 245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color w:val="000000"/>
                <w:sz w:val="16"/>
              </w:rPr>
              <w:t>Лихвени суапове — изходящи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-1 340</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-3 030</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-175</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-4 545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48"/>
              <w:rPr>
                <w:rFonts w:ascii="Arial" w:eastAsia="Arial" w:hAnsi="Arial" w:cs="Arial"/>
                <w:b/>
                <w:noProof/>
                <w:color w:val="000000"/>
                <w:sz w:val="16"/>
              </w:rPr>
            </w:pPr>
            <w:r>
              <w:rPr>
                <w:rFonts w:ascii="Arial" w:hAnsi="Arial"/>
                <w:b/>
                <w:noProof/>
                <w:color w:val="000000"/>
                <w:sz w:val="16"/>
              </w:rPr>
              <w:t xml:space="preserve">Общо </w:t>
            </w:r>
          </w:p>
        </w:tc>
        <w:tc>
          <w:tcPr>
            <w:tcW w:w="114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-4 488</w:t>
            </w:r>
          </w:p>
        </w:tc>
        <w:tc>
          <w:tcPr>
            <w:tcW w:w="1095"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-969</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489</w:t>
            </w:r>
          </w:p>
        </w:tc>
        <w:tc>
          <w:tcPr>
            <w:tcW w:w="111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29</w:t>
            </w:r>
          </w:p>
        </w:tc>
        <w:tc>
          <w:tcPr>
            <w:tcW w:w="117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-4 939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463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09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08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11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c>
          <w:tcPr>
            <w:tcW w:w="117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b/>
                <w:noProof/>
                <w:color w:val="000000"/>
                <w:sz w:val="16"/>
              </w:rPr>
            </w:pPr>
            <w:r>
              <w:rPr>
                <w:rFonts w:ascii="Arial" w:hAnsi="Arial"/>
                <w:b/>
                <w:noProof/>
                <w:color w:val="000000"/>
                <w:sz w:val="16"/>
              </w:rPr>
              <w:t>Матуритетен профил на дериватни финансови пасиви</w:t>
            </w: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 xml:space="preserve"> 3 месеца или по-малко</w:t>
            </w:r>
          </w:p>
        </w:tc>
        <w:tc>
          <w:tcPr>
            <w:tcW w:w="109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Повече от 3 месеца до 1 година</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Повече от 1 година до 5 години</w:t>
            </w:r>
          </w:p>
        </w:tc>
        <w:tc>
          <w:tcPr>
            <w:tcW w:w="111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Повече от 5 години</w:t>
            </w:r>
          </w:p>
        </w:tc>
        <w:tc>
          <w:tcPr>
            <w:tcW w:w="117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Брутен номинален входящ/изходящ поток</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48"/>
              <w:rPr>
                <w:rFonts w:ascii="Arial" w:eastAsia="Arial" w:hAnsi="Arial" w:cs="Arial"/>
                <w:b/>
                <w:noProof/>
                <w:color w:val="000000"/>
                <w:sz w:val="16"/>
              </w:rPr>
            </w:pPr>
            <w:r>
              <w:rPr>
                <w:rFonts w:ascii="Arial" w:hAnsi="Arial"/>
                <w:b/>
                <w:noProof/>
                <w:color w:val="000000"/>
                <w:sz w:val="16"/>
              </w:rPr>
              <w:t>В хиляди евро към 31.12.2017 г.</w:t>
            </w: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109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108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111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c>
          <w:tcPr>
            <w:tcW w:w="117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4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color w:val="000000"/>
                <w:sz w:val="16"/>
              </w:rPr>
              <w:t>CCS и CCIRS — входящи потоци</w:t>
            </w: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7</w:t>
            </w:r>
          </w:p>
        </w:tc>
        <w:tc>
          <w:tcPr>
            <w:tcW w:w="109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3 144</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5 122</w:t>
            </w:r>
          </w:p>
        </w:tc>
        <w:tc>
          <w:tcPr>
            <w:tcW w:w="111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17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8 273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color w:val="000000"/>
                <w:sz w:val="16"/>
              </w:rPr>
              <w:t>CCS и CCIRS — изходящи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-4 051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-5 959</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-10 010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color w:val="000000"/>
                <w:sz w:val="16"/>
              </w:rPr>
              <w:t>Краткосрочни валутни суапове — входящи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1 500 000</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1 500 000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color w:val="000000"/>
                <w:sz w:val="16"/>
              </w:rPr>
              <w:t>Краткосрочни валутни суапове — изходящи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-1 493 987</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-1 493 987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color w:val="000000"/>
                <w:sz w:val="16"/>
              </w:rPr>
              <w:t>Лихвени суапове — входящи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355</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1 102</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4 138</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625</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6 219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48"/>
              <w:rPr>
                <w:rFonts w:ascii="Arial" w:eastAsia="Arial" w:hAnsi="Arial" w:cs="Arial"/>
                <w:noProof/>
                <w:color w:val="000000"/>
                <w:sz w:val="16"/>
              </w:rPr>
            </w:pPr>
            <w:r>
              <w:rPr>
                <w:rFonts w:ascii="Arial" w:hAnsi="Arial"/>
                <w:noProof/>
                <w:color w:val="000000"/>
                <w:sz w:val="16"/>
              </w:rPr>
              <w:t>Лихвени суапове — изходящи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-1 502</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-3 782</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-556</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48"/>
              <w:jc w:val="right"/>
              <w:rPr>
                <w:rFonts w:ascii="Arial" w:eastAsia="Arial" w:hAnsi="Arial" w:cs="Arial"/>
                <w:noProof/>
                <w:color w:val="000000"/>
                <w:sz w:val="16"/>
              </w:rPr>
            </w:pPr>
            <w:r>
              <w:rPr>
                <w:rFonts w:ascii="Arial" w:hAnsi="Arial"/>
                <w:noProof/>
                <w:color w:val="000000"/>
                <w:sz w:val="16"/>
              </w:rPr>
              <w:t>-5 840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48"/>
              <w:rPr>
                <w:rFonts w:ascii="Arial" w:eastAsia="Arial" w:hAnsi="Arial" w:cs="Arial"/>
                <w:b/>
                <w:noProof/>
                <w:color w:val="000000"/>
                <w:sz w:val="16"/>
              </w:rPr>
            </w:pPr>
            <w:r>
              <w:rPr>
                <w:rFonts w:ascii="Arial" w:hAnsi="Arial"/>
                <w:b/>
                <w:noProof/>
                <w:color w:val="000000"/>
                <w:sz w:val="16"/>
              </w:rPr>
              <w:t xml:space="preserve">Общо </w:t>
            </w:r>
          </w:p>
        </w:tc>
        <w:tc>
          <w:tcPr>
            <w:tcW w:w="114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6 375</w:t>
            </w:r>
          </w:p>
        </w:tc>
        <w:tc>
          <w:tcPr>
            <w:tcW w:w="1095"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-1 307</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-482</w:t>
            </w:r>
          </w:p>
        </w:tc>
        <w:tc>
          <w:tcPr>
            <w:tcW w:w="111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69</w:t>
            </w:r>
          </w:p>
        </w:tc>
        <w:tc>
          <w:tcPr>
            <w:tcW w:w="1170" w:type="dxa"/>
            <w:tcBorders>
              <w:top w:val="nil"/>
              <w:left w:val="nil"/>
              <w:bottom w:val="nil"/>
              <w:right w:val="nil"/>
              <w:tl2br w:val="nil"/>
              <w:tr2bl w:val="nil"/>
            </w:tcBorders>
            <w:shd w:val="clear" w:color="FFFFFF" w:fill="C0C0C0"/>
            <w:tcMar>
              <w:left w:w="40" w:type="dxa"/>
              <w:right w:w="40" w:type="dxa"/>
            </w:tcMar>
            <w:vAlign w:val="center"/>
          </w:tcPr>
          <w:p>
            <w:pPr>
              <w:pStyle w:val="Normal48"/>
              <w:jc w:val="right"/>
              <w:rPr>
                <w:rFonts w:ascii="Arial" w:eastAsia="Arial" w:hAnsi="Arial" w:cs="Arial"/>
                <w:b/>
                <w:noProof/>
                <w:color w:val="000000"/>
                <w:sz w:val="16"/>
              </w:rPr>
            </w:pPr>
            <w:r>
              <w:rPr>
                <w:rFonts w:ascii="Arial" w:hAnsi="Arial"/>
                <w:b/>
                <w:noProof/>
                <w:color w:val="000000"/>
                <w:sz w:val="16"/>
              </w:rPr>
              <w:t>4 655</w:t>
            </w:r>
          </w:p>
        </w:tc>
      </w:tr>
    </w:tbl>
    <w:p>
      <w:pPr>
        <w:pStyle w:val="Title113"/>
        <w:pageBreakBefore/>
        <w:numPr>
          <w:ilvl w:val="2"/>
          <w:numId w:val="97"/>
        </w:numPr>
        <w:tabs>
          <w:tab w:val="right" w:pos="720"/>
        </w:tabs>
        <w:rPr>
          <w:b/>
          <w:noProof/>
          <w:sz w:val="16"/>
          <w:szCs w:val="16"/>
        </w:rPr>
      </w:pPr>
      <w:r>
        <w:rPr>
          <w:b/>
          <w:noProof/>
          <w:sz w:val="16"/>
        </w:rPr>
        <w:t xml:space="preserve"> </w:t>
      </w:r>
      <w:r>
        <w:rPr>
          <w:noProof/>
        </w:rPr>
        <w:tab/>
      </w:r>
      <w:r>
        <w:rPr>
          <w:b/>
          <w:noProof/>
          <w:sz w:val="16"/>
        </w:rPr>
        <w:t>Дългосрочни финансови активи и пасиви</w:t>
      </w:r>
    </w:p>
    <w:p>
      <w:pPr>
        <w:pStyle w:val="Notes19"/>
        <w:numPr>
          <w:ilvl w:val="0"/>
          <w:numId w:val="0"/>
        </w:numPr>
        <w:tabs>
          <w:tab w:val="right" w:pos="-2700"/>
        </w:tabs>
        <w:spacing w:before="60" w:after="60"/>
        <w:rPr>
          <w:b w:val="0"/>
          <w:noProof/>
          <w:sz w:val="16"/>
          <w:szCs w:val="16"/>
        </w:rPr>
      </w:pPr>
    </w:p>
    <w:p>
      <w:pPr>
        <w:pStyle w:val="Notes19"/>
        <w:numPr>
          <w:ilvl w:val="0"/>
          <w:numId w:val="0"/>
        </w:numPr>
        <w:tabs>
          <w:tab w:val="right" w:pos="-2700"/>
        </w:tabs>
        <w:spacing w:before="60" w:after="60"/>
        <w:rPr>
          <w:b w:val="0"/>
          <w:noProof/>
          <w:sz w:val="16"/>
          <w:szCs w:val="16"/>
        </w:rPr>
      </w:pPr>
      <w:r>
        <w:rPr>
          <w:b w:val="0"/>
          <w:noProof/>
          <w:sz w:val="16"/>
        </w:rPr>
        <w:t>Таблицата по-долу съдържа балансовите стойности на недериватните финансови активи и пасиви, които се очаква да бъдат възстановени или изплатени след повече от 12 месеца от датата на отчитане.</w:t>
      </w:r>
    </w:p>
    <w:p>
      <w:pPr>
        <w:pStyle w:val="Notes19"/>
        <w:numPr>
          <w:ilvl w:val="0"/>
          <w:numId w:val="0"/>
        </w:numPr>
        <w:tabs>
          <w:tab w:val="right" w:pos="-2700"/>
        </w:tabs>
        <w:spacing w:before="60" w:after="60"/>
        <w:rPr>
          <w:b w:val="0"/>
          <w:noProof/>
          <w:sz w:val="16"/>
          <w:szCs w:val="16"/>
        </w:rPr>
      </w:pPr>
      <w:r>
        <w:rPr>
          <w:noProof/>
        </w:rPr>
        <w:t xml:space="preserve"> </w:t>
      </w:r>
    </w:p>
    <w:tbl>
      <w:tblPr>
        <w:tblStyle w:val="CDMRange28"/>
        <w:tblW w:w="9975" w:type="dxa"/>
        <w:tblLayout w:type="fixed"/>
        <w:tblLook w:val="0600" w:firstRow="0" w:lastRow="0" w:firstColumn="0" w:lastColumn="0" w:noHBand="1" w:noVBand="1"/>
      </w:tblPr>
      <w:tblGrid>
        <w:gridCol w:w="6975"/>
        <w:gridCol w:w="1500"/>
        <w:gridCol w:w="1500"/>
      </w:tblGrid>
      <w:tr>
        <w:trPr>
          <w:trHeight w:val="46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00"/>
              <w:rPr>
                <w:rFonts w:ascii="Arial" w:eastAsia="Arial" w:hAnsi="Arial" w:cs="Arial"/>
                <w:b/>
                <w:noProof/>
                <w:color w:val="000000"/>
                <w:sz w:val="16"/>
              </w:rPr>
            </w:pPr>
            <w:r>
              <w:rPr>
                <w:rFonts w:ascii="Arial" w:hAnsi="Arial"/>
                <w:b/>
                <w:noProof/>
                <w:color w:val="000000"/>
                <w:sz w:val="16"/>
              </w:rPr>
              <w:t>хиляди евро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00"/>
              <w:jc w:val="right"/>
              <w:rPr>
                <w:rFonts w:ascii="Arial" w:eastAsia="Arial" w:hAnsi="Arial" w:cs="Arial"/>
                <w:b/>
                <w:noProof/>
                <w:color w:val="000000"/>
                <w:sz w:val="16"/>
              </w:rPr>
            </w:pPr>
            <w:r>
              <w:rPr>
                <w:rFonts w:ascii="Arial" w:hAnsi="Arial"/>
                <w:b/>
                <w:noProof/>
                <w:color w:val="000000"/>
                <w:sz w:val="16"/>
              </w:rPr>
              <w:t>31.12.2018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00"/>
              <w:jc w:val="right"/>
              <w:rPr>
                <w:rFonts w:ascii="Arial" w:eastAsia="Arial" w:hAnsi="Arial" w:cs="Arial"/>
                <w:b/>
                <w:noProof/>
                <w:color w:val="000000"/>
                <w:sz w:val="16"/>
              </w:rPr>
            </w:pPr>
            <w:r>
              <w:rPr>
                <w:rFonts w:ascii="Arial" w:hAnsi="Arial"/>
                <w:b/>
                <w:noProof/>
                <w:color w:val="000000"/>
                <w:sz w:val="16"/>
              </w:rPr>
              <w:t>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b/>
                <w:noProof/>
                <w:color w:val="000000"/>
                <w:sz w:val="16"/>
              </w:rPr>
            </w:pPr>
            <w:r>
              <w:rPr>
                <w:rFonts w:ascii="Arial" w:hAnsi="Arial"/>
                <w:b/>
                <w:noProof/>
                <w:color w:val="000000"/>
                <w:sz w:val="16"/>
              </w:rPr>
              <w:t>Финансови активи:</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hAnsi="Arial"/>
                <w:noProof/>
                <w:color w:val="000000"/>
                <w:sz w:val="16"/>
              </w:rPr>
              <w:t>Заеми и аванси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color w:val="000000"/>
                <w:sz w:val="16"/>
              </w:rPr>
              <w:t>1 666 232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color w:val="000000"/>
                <w:sz w:val="16"/>
              </w:rPr>
              <w:t>1 608 488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hAnsi="Arial"/>
                <w:noProof/>
                <w:color w:val="000000"/>
                <w:sz w:val="16"/>
              </w:rPr>
              <w:t>Акции и други ценни книжа с променлива доходност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color w:val="000000"/>
                <w:sz w:val="16"/>
              </w:rPr>
              <w:t>567 292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color w:val="000000"/>
                <w:sz w:val="16"/>
              </w:rPr>
              <w:t>497 539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hAnsi="Arial"/>
                <w:noProof/>
                <w:color w:val="000000"/>
                <w:sz w:val="16"/>
              </w:rPr>
              <w:t>Други активи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color w:val="000000"/>
                <w:sz w:val="16"/>
              </w:rPr>
              <w:t>171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color w:val="000000"/>
                <w:sz w:val="16"/>
              </w:rPr>
              <w:t>318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500"/>
              <w:rPr>
                <w:rFonts w:ascii="Arial" w:eastAsia="Arial" w:hAnsi="Arial" w:cs="Arial"/>
                <w:b/>
                <w:noProof/>
                <w:color w:val="000000"/>
                <w:sz w:val="16"/>
              </w:rPr>
            </w:pPr>
            <w:r>
              <w:rPr>
                <w:rFonts w:ascii="Arial" w:hAnsi="Arial"/>
                <w:b/>
                <w:noProof/>
                <w:color w:val="000000"/>
                <w:sz w:val="16"/>
              </w:rPr>
              <w:t xml:space="preserve">Общо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00"/>
              <w:jc w:val="right"/>
              <w:rPr>
                <w:rFonts w:ascii="Arial" w:eastAsia="Arial" w:hAnsi="Arial" w:cs="Arial"/>
                <w:b/>
                <w:noProof/>
                <w:color w:val="000000"/>
                <w:sz w:val="16"/>
              </w:rPr>
            </w:pPr>
            <w:r>
              <w:rPr>
                <w:rFonts w:ascii="Arial" w:hAnsi="Arial"/>
                <w:b/>
                <w:noProof/>
                <w:color w:val="000000"/>
                <w:sz w:val="16"/>
              </w:rPr>
              <w:t>2 233 695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00"/>
              <w:jc w:val="right"/>
              <w:rPr>
                <w:rFonts w:ascii="Arial" w:eastAsia="Arial" w:hAnsi="Arial" w:cs="Arial"/>
                <w:b/>
                <w:noProof/>
                <w:color w:val="000000"/>
                <w:sz w:val="16"/>
              </w:rPr>
            </w:pPr>
            <w:r>
              <w:rPr>
                <w:rFonts w:ascii="Arial" w:hAnsi="Arial"/>
                <w:b/>
                <w:noProof/>
                <w:color w:val="000000"/>
                <w:sz w:val="16"/>
              </w:rPr>
              <w:t>2 106 345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500"/>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b/>
                <w:noProof/>
                <w:color w:val="000000"/>
                <w:sz w:val="16"/>
              </w:rPr>
            </w:pPr>
            <w:r>
              <w:rPr>
                <w:rFonts w:ascii="Arial" w:hAnsi="Arial"/>
                <w:b/>
                <w:noProof/>
                <w:color w:val="000000"/>
                <w:sz w:val="16"/>
              </w:rPr>
              <w:t>Финансови пасиви:</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5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hAnsi="Arial"/>
                <w:noProof/>
                <w:color w:val="000000"/>
                <w:sz w:val="16"/>
              </w:rPr>
              <w:t>Провизии за 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color w:val="000000"/>
                <w:sz w:val="16"/>
              </w:rPr>
              <w:t>793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color w:val="000000"/>
                <w:sz w:val="16"/>
              </w:rPr>
              <w:t>549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hAnsi="Arial"/>
                <w:noProof/>
                <w:color w:val="000000"/>
                <w:sz w:val="16"/>
              </w:rPr>
              <w:t>Сума, дължима на трети страни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color w:val="000000"/>
                <w:sz w:val="16"/>
              </w:rPr>
              <w:t>93 641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color w:val="000000"/>
                <w:sz w:val="16"/>
              </w:rPr>
              <w:t>109 004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500"/>
              <w:rPr>
                <w:rFonts w:ascii="Arial" w:eastAsia="Arial" w:hAnsi="Arial" w:cs="Arial"/>
                <w:noProof/>
                <w:color w:val="000000"/>
                <w:sz w:val="16"/>
              </w:rPr>
            </w:pPr>
            <w:r>
              <w:rPr>
                <w:rFonts w:ascii="Arial" w:hAnsi="Arial"/>
                <w:noProof/>
                <w:color w:val="000000"/>
                <w:sz w:val="16"/>
              </w:rPr>
              <w:t>Провизии за кредитни ангажименти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color w:val="000000"/>
                <w:sz w:val="16"/>
              </w:rPr>
              <w:t>23 822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50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500"/>
              <w:rPr>
                <w:rFonts w:ascii="Arial" w:eastAsia="Arial" w:hAnsi="Arial" w:cs="Arial"/>
                <w:b/>
                <w:noProof/>
                <w:color w:val="000000"/>
                <w:sz w:val="16"/>
              </w:rPr>
            </w:pPr>
            <w:r>
              <w:rPr>
                <w:rFonts w:ascii="Arial" w:hAnsi="Arial"/>
                <w:b/>
                <w:noProof/>
                <w:color w:val="000000"/>
                <w:sz w:val="16"/>
              </w:rPr>
              <w:t xml:space="preserve">Общо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00"/>
              <w:jc w:val="right"/>
              <w:rPr>
                <w:rFonts w:ascii="Arial" w:eastAsia="Arial" w:hAnsi="Arial" w:cs="Arial"/>
                <w:b/>
                <w:noProof/>
                <w:color w:val="000000"/>
                <w:sz w:val="16"/>
              </w:rPr>
            </w:pPr>
            <w:r>
              <w:rPr>
                <w:rFonts w:ascii="Arial" w:hAnsi="Arial"/>
                <w:b/>
                <w:noProof/>
                <w:color w:val="000000"/>
                <w:sz w:val="16"/>
              </w:rPr>
              <w:t>118 256</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500"/>
              <w:jc w:val="right"/>
              <w:rPr>
                <w:rFonts w:ascii="Arial" w:eastAsia="Arial" w:hAnsi="Arial" w:cs="Arial"/>
                <w:b/>
                <w:noProof/>
                <w:color w:val="000000"/>
                <w:sz w:val="16"/>
              </w:rPr>
            </w:pPr>
            <w:r>
              <w:rPr>
                <w:rFonts w:ascii="Arial" w:hAnsi="Arial"/>
                <w:b/>
                <w:noProof/>
                <w:color w:val="000000"/>
                <w:sz w:val="16"/>
              </w:rPr>
              <w:t>109 553</w:t>
            </w:r>
          </w:p>
        </w:tc>
      </w:tr>
    </w:tbl>
    <w:p>
      <w:pPr>
        <w:pStyle w:val="Normal51"/>
        <w:rPr>
          <w:noProof/>
        </w:rPr>
      </w:pPr>
    </w:p>
    <w:p>
      <w:pPr>
        <w:pStyle w:val="Title114"/>
        <w:numPr>
          <w:ilvl w:val="1"/>
          <w:numId w:val="98"/>
        </w:numPr>
        <w:rPr>
          <w:b/>
          <w:noProof/>
          <w:sz w:val="16"/>
          <w:szCs w:val="16"/>
        </w:rPr>
      </w:pPr>
      <w:r>
        <w:rPr>
          <w:b/>
          <w:noProof/>
          <w:sz w:val="16"/>
        </w:rPr>
        <w:t>Пазарен риск</w:t>
      </w:r>
    </w:p>
    <w:p>
      <w:pPr>
        <w:pStyle w:val="Notes20"/>
        <w:numPr>
          <w:ilvl w:val="0"/>
          <w:numId w:val="0"/>
        </w:numPr>
        <w:tabs>
          <w:tab w:val="clear" w:pos="4320"/>
          <w:tab w:val="clear" w:pos="8640"/>
          <w:tab w:val="right" w:pos="-2700"/>
          <w:tab w:val="right" w:pos="720"/>
        </w:tabs>
        <w:spacing w:before="60" w:after="60"/>
        <w:rPr>
          <w:b w:val="0"/>
          <w:noProof/>
          <w:sz w:val="16"/>
          <w:szCs w:val="16"/>
        </w:rPr>
      </w:pPr>
    </w:p>
    <w:p>
      <w:pPr>
        <w:pStyle w:val="Notes20"/>
        <w:numPr>
          <w:ilvl w:val="0"/>
          <w:numId w:val="0"/>
        </w:numPr>
        <w:tabs>
          <w:tab w:val="clear" w:pos="4320"/>
          <w:tab w:val="clear" w:pos="8640"/>
          <w:tab w:val="right" w:pos="-2700"/>
          <w:tab w:val="right" w:pos="720"/>
        </w:tabs>
        <w:spacing w:before="60" w:after="60"/>
        <w:rPr>
          <w:b w:val="0"/>
          <w:noProof/>
          <w:sz w:val="16"/>
          <w:szCs w:val="16"/>
        </w:rPr>
      </w:pPr>
      <w:r>
        <w:rPr>
          <w:b w:val="0"/>
          <w:noProof/>
          <w:sz w:val="16"/>
        </w:rPr>
        <w:t>Пазарният риск представлява рискът, че промените в пазарните цени и проценти, например лихвени проценти, цени на капиталови инструменти, обменни курсове на чуждестранни валути, ще засегнат приходите на образуванието или стойността на неговото участие във финансови инструменти.</w:t>
      </w:r>
    </w:p>
    <w:p>
      <w:pPr>
        <w:pStyle w:val="Notes20"/>
        <w:numPr>
          <w:ilvl w:val="0"/>
          <w:numId w:val="0"/>
        </w:numPr>
        <w:tabs>
          <w:tab w:val="clear" w:pos="4320"/>
          <w:tab w:val="clear" w:pos="8640"/>
          <w:tab w:val="right" w:pos="-2700"/>
          <w:tab w:val="right" w:pos="720"/>
        </w:tabs>
        <w:spacing w:before="60" w:after="60"/>
        <w:rPr>
          <w:b w:val="0"/>
          <w:noProof/>
          <w:sz w:val="16"/>
          <w:szCs w:val="16"/>
        </w:rPr>
      </w:pPr>
    </w:p>
    <w:p>
      <w:pPr>
        <w:pStyle w:val="Title114"/>
        <w:numPr>
          <w:ilvl w:val="2"/>
          <w:numId w:val="98"/>
        </w:numPr>
        <w:tabs>
          <w:tab w:val="right" w:pos="720"/>
        </w:tabs>
        <w:rPr>
          <w:b/>
          <w:noProof/>
          <w:sz w:val="16"/>
          <w:szCs w:val="16"/>
        </w:rPr>
      </w:pPr>
      <w:r>
        <w:rPr>
          <w:b/>
          <w:noProof/>
          <w:sz w:val="16"/>
        </w:rPr>
        <w:t xml:space="preserve"> </w:t>
      </w:r>
      <w:r>
        <w:rPr>
          <w:noProof/>
        </w:rPr>
        <w:tab/>
      </w:r>
      <w:r>
        <w:rPr>
          <w:b/>
          <w:noProof/>
          <w:sz w:val="16"/>
        </w:rPr>
        <w:t>Лихвен риск</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rPr>
      </w:pPr>
      <w:r>
        <w:rPr>
          <w:rFonts w:ascii="Arial" w:hAnsi="Arial"/>
          <w:noProof/>
          <w:sz w:val="16"/>
        </w:rPr>
        <w:t xml:space="preserve">Лихвеният риск възниква от променливостта в икономическата стойност на лихвената позиция или в дохода, получен от нея, дължаща се на неблагоприятни промени в лихвените проценти. </w:t>
      </w:r>
    </w:p>
    <w:p>
      <w:pPr>
        <w:pStyle w:val="Normal51"/>
        <w:spacing w:before="60" w:after="60"/>
        <w:jc w:val="both"/>
        <w:rPr>
          <w:rFonts w:ascii="Arial" w:hAnsi="Arial"/>
          <w:noProof/>
          <w:sz w:val="16"/>
          <w:szCs w:val="16"/>
        </w:rPr>
      </w:pPr>
    </w:p>
    <w:p>
      <w:pPr>
        <w:pStyle w:val="Normal170"/>
        <w:spacing w:before="60" w:after="60"/>
        <w:jc w:val="both"/>
        <w:rPr>
          <w:rFonts w:ascii="Arial" w:hAnsi="Arial"/>
          <w:noProof/>
          <w:sz w:val="16"/>
          <w:szCs w:val="16"/>
        </w:rPr>
      </w:pPr>
      <w:r>
        <w:rPr>
          <w:rFonts w:ascii="Arial" w:hAnsi="Arial"/>
          <w:noProof/>
          <w:sz w:val="16"/>
        </w:rPr>
        <w:t>Механизмът не се влияе директно от колебанията на икономическата си стойност или от ценовите несъответствия между различните активи, пасиви и хеджиращи инструменти, тъй като i) той няма преки разходи по заеми или лихвоносни пасиви и ii) той поема въздействието на колебанията на лихвените проценти върху приходите от своите инвестиции.</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rPr>
      </w:pPr>
      <w:r>
        <w:rPr>
          <w:rFonts w:ascii="Arial" w:hAnsi="Arial"/>
          <w:noProof/>
          <w:sz w:val="16"/>
        </w:rPr>
        <w:t>Механизмът измерва чувствителността към колебанията на лихвения процент на кредитния си портфейл и суаповете за микро хеджиране с помощта на изчисление на стойността по базисни точки (BPV).</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rPr>
      </w:pPr>
      <w:r>
        <w:rPr>
          <w:rFonts w:ascii="Arial" w:hAnsi="Arial"/>
          <w:noProof/>
          <w:sz w:val="16"/>
        </w:rPr>
        <w:t>Стойността по базисни точки (BPV) измерва печалбата или загубата в нетната настояща стойност на съответния портфейл, дължаща се на увеличение с 1 базисна точка (0,01 %) на лихвения процент в рамките на определени продължителности: „паричен пазар — до една година“, „много кратки — 2 до 3 години“, „кратки — от 4 до 6 години“, „средносрочни — от 7 до 11 години“, „дългосрочни — от 12 до 20 години“ или „много дългосрочни — повече от 21 години“.</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rPr>
      </w:pPr>
      <w:r>
        <w:rPr>
          <w:rFonts w:ascii="Arial" w:hAnsi="Arial"/>
          <w:noProof/>
          <w:sz w:val="16"/>
        </w:rPr>
        <w:t xml:space="preserve">За определяне на нетната настояща стойност (ННС) на паричните потоци по заеми, деноминирани в евро, механизмът използва кривата на финансиране на ЕИБ на база евро (евро суапова крива, коригирана с глобалния спред на финансиране на ЕИБ). Кривата на финансиране на ЕИБ в USD се използва за изчисляване на ННС на паричните потоци по заеми, деноминирани в USD. ННС на паричните потоци по заеми, деноминирани във валути, за които не е налична достоверна и достатъчно пълна сконтова крива, се определя, като се използва кривата на финансиране на ЕИБ на база евро като заместител. </w:t>
      </w:r>
    </w:p>
    <w:p>
      <w:pPr>
        <w:pStyle w:val="Normal51"/>
        <w:spacing w:before="60" w:after="60"/>
        <w:jc w:val="both"/>
        <w:rPr>
          <w:rFonts w:ascii="Arial" w:hAnsi="Arial"/>
          <w:noProof/>
          <w:sz w:val="16"/>
          <w:szCs w:val="16"/>
        </w:rPr>
      </w:pPr>
    </w:p>
    <w:p>
      <w:pPr>
        <w:pStyle w:val="Normal51"/>
        <w:spacing w:before="60" w:after="60"/>
        <w:jc w:val="both"/>
        <w:rPr>
          <w:rFonts w:ascii="Arial" w:hAnsi="Arial"/>
          <w:noProof/>
          <w:sz w:val="16"/>
          <w:szCs w:val="16"/>
        </w:rPr>
      </w:pPr>
      <w:r>
        <w:rPr>
          <w:rFonts w:ascii="Arial" w:hAnsi="Arial"/>
          <w:noProof/>
          <w:sz w:val="16"/>
        </w:rPr>
        <w:t>За да се изчисли нетната настояща стойност на заемите, механизмът използва кривата на финансиране с евро (евро суапова крива + спред на финансиране от ЕИБ) за паричните потоци, деноминирани в евро и в чуждестранни валути, различни от USD, и кривата на финансиране с щатски долари за паричните потоци, деноминирани в USD.</w:t>
      </w:r>
    </w:p>
    <w:p>
      <w:pPr>
        <w:pStyle w:val="Normal51"/>
        <w:suppressAutoHyphens w:val="0"/>
        <w:rPr>
          <w:rFonts w:ascii="Arial" w:hAnsi="Arial"/>
          <w:noProof/>
          <w:sz w:val="16"/>
          <w:szCs w:val="16"/>
        </w:rPr>
      </w:pPr>
      <w:r>
        <w:rPr>
          <w:noProof/>
        </w:rPr>
        <w:br w:type="page"/>
      </w:r>
    </w:p>
    <w:p>
      <w:pPr>
        <w:pStyle w:val="Normal51"/>
        <w:spacing w:before="60" w:after="60"/>
        <w:jc w:val="both"/>
        <w:rPr>
          <w:rFonts w:ascii="Arial" w:hAnsi="Arial"/>
          <w:noProof/>
          <w:sz w:val="16"/>
          <w:szCs w:val="16"/>
        </w:rPr>
      </w:pPr>
      <w:r>
        <w:rPr>
          <w:rFonts w:ascii="Arial" w:hAnsi="Arial"/>
          <w:noProof/>
          <w:sz w:val="16"/>
        </w:rPr>
        <w:t>Както е показано в следната таблица, нетната настояща стойност на кредитния портфейл, включително свързаните с него суапове за микро хеджиране, към 31 декември 2018 г. ще намалее с 483 хиляди евро (към 31 декември 2017 г.: намаление с 488 хиляди евро), ако всички съответни криви на лихвените проценти едновременно променят своята посока нагоре с 1 базисна точка.</w:t>
      </w:r>
    </w:p>
    <w:p>
      <w:pPr>
        <w:pStyle w:val="Normal51"/>
        <w:spacing w:before="60" w:after="60"/>
        <w:jc w:val="both"/>
        <w:rPr>
          <w:rFonts w:ascii="Arial" w:hAnsi="Arial"/>
          <w:noProof/>
          <w:sz w:val="16"/>
          <w:szCs w:val="16"/>
        </w:rPr>
      </w:pPr>
      <w:r>
        <w:rPr>
          <w:noProof/>
        </w:rPr>
        <w:t xml:space="preserve"> </w:t>
      </w:r>
    </w:p>
    <w:tbl>
      <w:tblPr>
        <w:tblStyle w:val="CDMRange19"/>
        <w:tblW w:w="9975" w:type="dxa"/>
        <w:tblLayout w:type="fixed"/>
        <w:tblLook w:val="0600" w:firstRow="0" w:lastRow="0" w:firstColumn="0" w:lastColumn="0" w:noHBand="1" w:noVBand="1"/>
      </w:tblPr>
      <w:tblGrid>
        <w:gridCol w:w="1575"/>
        <w:gridCol w:w="1200"/>
        <w:gridCol w:w="1200"/>
        <w:gridCol w:w="1200"/>
        <w:gridCol w:w="1200"/>
        <w:gridCol w:w="1200"/>
        <w:gridCol w:w="1200"/>
        <w:gridCol w:w="1200"/>
      </w:tblGrid>
      <w:tr>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hAnsi="Arial"/>
                <w:b/>
                <w:noProof/>
                <w:color w:val="000000"/>
                <w:sz w:val="16"/>
              </w:rPr>
              <w:t>Стойност по базисни точки</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Пари</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 xml:space="preserve">Много кратки </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Кратки</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Средни</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Дълги</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 xml:space="preserve">Много дълги </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hAnsi="Arial"/>
                <w:b/>
                <w:noProof/>
                <w:color w:val="000000"/>
                <w:sz w:val="16"/>
              </w:rPr>
              <w:t>хиляди евро</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Пазар</w:t>
            </w: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7"/>
        </w:trPr>
        <w:tc>
          <w:tcPr>
            <w:tcW w:w="157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rPr>
                <w:rFonts w:ascii="Arial" w:eastAsia="Arial" w:hAnsi="Arial" w:cs="Arial"/>
                <w:b/>
                <w:noProof/>
                <w:color w:val="000000"/>
                <w:sz w:val="16"/>
              </w:rPr>
            </w:pPr>
            <w:r>
              <w:rPr>
                <w:rFonts w:ascii="Arial" w:hAnsi="Arial"/>
                <w:b/>
                <w:noProof/>
                <w:color w:val="000000"/>
                <w:sz w:val="16"/>
              </w:rPr>
              <w:t>Към 31.12.2018 г.</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1 година</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От 2 до 3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От 4 до 6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От 7 до 11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От 12 до 20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21 години</w:t>
            </w:r>
          </w:p>
        </w:tc>
        <w:tc>
          <w:tcPr>
            <w:tcW w:w="1200" w:type="dxa"/>
            <w:tcBorders>
              <w:top w:val="nil"/>
              <w:left w:val="nil"/>
              <w:bottom w:val="single" w:sz="8" w:space="0" w:color="000000"/>
              <w:right w:val="nil"/>
              <w:tl2br w:val="nil"/>
              <w:tr2bl w:val="nil"/>
            </w:tcBorders>
            <w:shd w:val="clear" w:color="FFFFFF" w:fill="FFFFFF"/>
            <w:noWrap/>
            <w:tcMar>
              <w:left w:w="0" w:type="dxa"/>
              <w:right w:w="0" w:type="dxa"/>
            </w:tcMar>
            <w:vAlign w:val="center"/>
          </w:tcPr>
          <w:p>
            <w:pPr>
              <w:pStyle w:val="Normal5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pStyle w:val="Normal52"/>
              <w:rPr>
                <w:rFonts w:ascii="Arial" w:eastAsia="Arial" w:hAnsi="Arial" w:cs="Arial"/>
                <w:noProof/>
                <w:color w:val="000000"/>
                <w:sz w:val="16"/>
              </w:rPr>
            </w:pPr>
            <w:r>
              <w:rPr>
                <w:rFonts w:ascii="Arial" w:hAnsi="Arial"/>
                <w:noProof/>
                <w:color w:val="000000"/>
                <w:sz w:val="16"/>
              </w:rPr>
              <w:t>Обща чувствителност на заемите и суаповете за микро хеджиране</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color w:val="000000"/>
                <w:sz w:val="16"/>
              </w:rPr>
              <w:t>-38</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color w:val="000000"/>
                <w:sz w:val="16"/>
              </w:rPr>
              <w:t>-94</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color w:val="000000"/>
                <w:sz w:val="16"/>
              </w:rPr>
              <w:t>-168</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color w:val="000000"/>
                <w:sz w:val="16"/>
              </w:rPr>
              <w:t>-154</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color w:val="000000"/>
                <w:sz w:val="16"/>
              </w:rPr>
              <w:t>-29</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color w:val="000000"/>
                <w:sz w:val="16"/>
              </w:rPr>
              <w:t>-483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57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5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hAnsi="Arial"/>
                <w:b/>
                <w:noProof/>
                <w:color w:val="000000"/>
                <w:sz w:val="16"/>
              </w:rPr>
              <w:t>Стойност по базисни точки</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Пари</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 xml:space="preserve">Много кратки </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Кратки</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Средни</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Дълги</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 xml:space="preserve">Много дълги </w:t>
            </w:r>
          </w:p>
        </w:tc>
        <w:tc>
          <w:tcPr>
            <w:tcW w:w="36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hAnsi="Arial"/>
                <w:b/>
                <w:noProof/>
                <w:color w:val="000000"/>
                <w:sz w:val="16"/>
              </w:rPr>
              <w:t>хиляди евро</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Пазар</w:t>
            </w: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52"/>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52"/>
              <w:rPr>
                <w:rFonts w:ascii="Arial" w:eastAsia="Arial" w:hAnsi="Arial" w:cs="Arial"/>
                <w:b/>
                <w:noProof/>
                <w:color w:val="000000"/>
                <w:sz w:val="16"/>
              </w:rPr>
            </w:pPr>
            <w:r>
              <w:rPr>
                <w:rFonts w:ascii="Arial" w:hAnsi="Arial"/>
                <w:b/>
                <w:noProof/>
                <w:color w:val="000000"/>
                <w:sz w:val="16"/>
              </w:rPr>
              <w:t>Към 31.12.2017 г.</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1 година</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От 2 до 3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От 4 до 6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От 7 до 11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От 12 до 20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b/>
                <w:noProof/>
                <w:color w:val="000000"/>
                <w:sz w:val="16"/>
              </w:rPr>
            </w:pPr>
            <w:r>
              <w:rPr>
                <w:rFonts w:ascii="Arial" w:hAnsi="Arial"/>
                <w:b/>
                <w:noProof/>
                <w:color w:val="000000"/>
                <w:sz w:val="16"/>
              </w:rPr>
              <w:t>21 години</w:t>
            </w:r>
          </w:p>
        </w:tc>
        <w:tc>
          <w:tcPr>
            <w:tcW w:w="1200" w:type="dxa"/>
            <w:tcBorders>
              <w:top w:val="nil"/>
              <w:left w:val="nil"/>
              <w:bottom w:val="single" w:sz="8" w:space="0" w:color="000000"/>
              <w:right w:val="nil"/>
              <w:tl2br w:val="nil"/>
              <w:tr2bl w:val="nil"/>
            </w:tcBorders>
            <w:shd w:val="clear" w:color="FFFFFF" w:fill="FFFFFF"/>
            <w:noWrap/>
            <w:tcMar>
              <w:left w:w="0" w:type="dxa"/>
              <w:right w:w="0" w:type="dxa"/>
            </w:tcMar>
            <w:vAlign w:val="center"/>
          </w:tcPr>
          <w:p>
            <w:pPr>
              <w:pStyle w:val="Normal5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pStyle w:val="Normal52"/>
              <w:rPr>
                <w:rFonts w:ascii="Arial" w:eastAsia="Arial" w:hAnsi="Arial" w:cs="Arial"/>
                <w:noProof/>
                <w:color w:val="000000"/>
                <w:sz w:val="16"/>
              </w:rPr>
            </w:pPr>
            <w:r>
              <w:rPr>
                <w:rFonts w:ascii="Arial" w:hAnsi="Arial"/>
                <w:noProof/>
                <w:color w:val="000000"/>
                <w:sz w:val="16"/>
              </w:rPr>
              <w:t>Обща чувствителност на заемите и суаповете за микро хеджиране</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color w:val="000000"/>
                <w:sz w:val="16"/>
              </w:rPr>
              <w:t>-49</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color w:val="000000"/>
                <w:sz w:val="16"/>
              </w:rPr>
              <w:t>-96</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color w:val="000000"/>
                <w:sz w:val="16"/>
              </w:rPr>
              <w:t>-159</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color w:val="000000"/>
                <w:sz w:val="16"/>
              </w:rPr>
              <w:t>-168</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color w:val="000000"/>
                <w:sz w:val="16"/>
              </w:rPr>
              <w:t>-16</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2"/>
              <w:jc w:val="center"/>
              <w:rPr>
                <w:rFonts w:ascii="Arial" w:eastAsia="Arial" w:hAnsi="Arial" w:cs="Arial"/>
                <w:noProof/>
                <w:color w:val="000000"/>
                <w:sz w:val="16"/>
              </w:rPr>
            </w:pPr>
            <w:r>
              <w:rPr>
                <w:rFonts w:ascii="Arial" w:hAnsi="Arial"/>
                <w:noProof/>
                <w:color w:val="000000"/>
                <w:sz w:val="16"/>
              </w:rPr>
              <w:t>-488</w:t>
            </w:r>
          </w:p>
        </w:tc>
      </w:tr>
    </w:tbl>
    <w:p>
      <w:pPr>
        <w:pStyle w:val="Normal53"/>
        <w:rPr>
          <w:noProof/>
        </w:rPr>
      </w:pPr>
    </w:p>
    <w:p>
      <w:pPr>
        <w:pStyle w:val="Normal53"/>
        <w:numPr>
          <w:ilvl w:val="2"/>
          <w:numId w:val="99"/>
        </w:numPr>
        <w:suppressAutoHyphens w:val="0"/>
        <w:spacing w:before="60" w:after="60"/>
        <w:jc w:val="both"/>
        <w:rPr>
          <w:rFonts w:ascii="Arial" w:hAnsi="Arial"/>
          <w:b/>
          <w:noProof/>
          <w:sz w:val="16"/>
          <w:szCs w:val="16"/>
        </w:rPr>
      </w:pPr>
      <w:r>
        <w:rPr>
          <w:rFonts w:ascii="Arial" w:hAnsi="Arial"/>
          <w:b/>
          <w:noProof/>
          <w:sz w:val="16"/>
        </w:rPr>
        <w:t>Валутен риск</w:t>
      </w:r>
    </w:p>
    <w:p>
      <w:pPr>
        <w:pStyle w:val="Notes21"/>
        <w:numPr>
          <w:ilvl w:val="0"/>
          <w:numId w:val="0"/>
        </w:numPr>
        <w:tabs>
          <w:tab w:val="clear" w:pos="4320"/>
          <w:tab w:val="clear" w:pos="8640"/>
          <w:tab w:val="right" w:pos="-2700"/>
        </w:tabs>
        <w:spacing w:before="60" w:after="60"/>
        <w:rPr>
          <w:b w:val="0"/>
          <w:noProof/>
          <w:sz w:val="16"/>
          <w:szCs w:val="16"/>
        </w:rPr>
      </w:pPr>
    </w:p>
    <w:p>
      <w:pPr>
        <w:pStyle w:val="Notes21"/>
        <w:numPr>
          <w:ilvl w:val="0"/>
          <w:numId w:val="0"/>
        </w:numPr>
        <w:tabs>
          <w:tab w:val="clear" w:pos="4320"/>
          <w:tab w:val="clear" w:pos="8640"/>
          <w:tab w:val="right" w:pos="-2700"/>
        </w:tabs>
        <w:spacing w:before="60" w:after="60"/>
        <w:rPr>
          <w:b w:val="0"/>
          <w:noProof/>
          <w:sz w:val="16"/>
          <w:szCs w:val="16"/>
        </w:rPr>
      </w:pPr>
      <w:r>
        <w:rPr>
          <w:b w:val="0"/>
          <w:noProof/>
          <w:sz w:val="16"/>
        </w:rPr>
        <w:t>Валутният риск за Инвестиционния механизъм е рискът от загуба на доходите или икономическа стойност, дължаща се на неблагоприятни промени на валутните курсове.</w:t>
      </w:r>
    </w:p>
    <w:p>
      <w:pPr>
        <w:pStyle w:val="Notes21"/>
        <w:numPr>
          <w:ilvl w:val="0"/>
          <w:numId w:val="0"/>
        </w:numPr>
        <w:tabs>
          <w:tab w:val="clear" w:pos="4320"/>
          <w:tab w:val="clear" w:pos="8640"/>
          <w:tab w:val="right" w:pos="-2700"/>
        </w:tabs>
        <w:spacing w:before="60" w:after="60"/>
        <w:rPr>
          <w:b w:val="0"/>
          <w:noProof/>
          <w:sz w:val="16"/>
          <w:szCs w:val="16"/>
        </w:rPr>
      </w:pPr>
    </w:p>
    <w:p>
      <w:pPr>
        <w:pStyle w:val="Normal53"/>
        <w:suppressAutoHyphens w:val="0"/>
        <w:spacing w:before="60" w:after="60"/>
        <w:jc w:val="both"/>
        <w:rPr>
          <w:rFonts w:ascii="Arial" w:hAnsi="Arial"/>
          <w:noProof/>
          <w:sz w:val="16"/>
          <w:szCs w:val="16"/>
        </w:rPr>
      </w:pPr>
      <w:r>
        <w:rPr>
          <w:rFonts w:ascii="Arial" w:hAnsi="Arial"/>
          <w:noProof/>
          <w:sz w:val="16"/>
        </w:rPr>
        <w:t>Като се има предвид референтна отчетна валута (евро за Инвестиционния механизъм), механизмът е изложен към валутен риск, когато има несъответствие между активите и пасивите, деноминирани във валута, различна от референтната отчетна валута. Валутният риск обхваща също и ефекта от промени в стойността на бъдещите парични потоци, деноминирани във валута, различна от референтната отчетна валута, например лихви и дивиденти, поради колебанията във валутните курсове.</w:t>
      </w:r>
    </w:p>
    <w:p>
      <w:pPr>
        <w:pStyle w:val="Normal53"/>
        <w:suppressAutoHyphens w:val="0"/>
        <w:spacing w:before="60" w:after="60"/>
        <w:jc w:val="both"/>
        <w:rPr>
          <w:rFonts w:ascii="Arial" w:hAnsi="Arial"/>
          <w:noProof/>
          <w:sz w:val="16"/>
          <w:szCs w:val="16"/>
          <w:highlight w:val="green"/>
        </w:rPr>
      </w:pPr>
    </w:p>
    <w:p>
      <w:pPr>
        <w:pStyle w:val="Normal53"/>
        <w:numPr>
          <w:ilvl w:val="3"/>
          <w:numId w:val="99"/>
        </w:numPr>
        <w:suppressAutoHyphens w:val="0"/>
        <w:spacing w:before="60" w:after="60"/>
        <w:jc w:val="both"/>
        <w:rPr>
          <w:rFonts w:ascii="Arial" w:hAnsi="Arial"/>
          <w:b/>
          <w:noProof/>
          <w:sz w:val="16"/>
          <w:szCs w:val="16"/>
        </w:rPr>
      </w:pPr>
      <w:r>
        <w:rPr>
          <w:rFonts w:ascii="Arial" w:hAnsi="Arial"/>
          <w:b/>
          <w:noProof/>
          <w:sz w:val="16"/>
        </w:rPr>
        <w:t>Валутен риск и касови активи</w:t>
      </w:r>
    </w:p>
    <w:p>
      <w:pPr>
        <w:pStyle w:val="Normal53"/>
        <w:suppressAutoHyphens w:val="0"/>
        <w:spacing w:before="60" w:after="60"/>
        <w:jc w:val="both"/>
        <w:rPr>
          <w:rFonts w:ascii="Arial" w:hAnsi="Arial"/>
          <w:noProof/>
          <w:sz w:val="16"/>
          <w:szCs w:val="16"/>
          <w:u w:val="single"/>
        </w:rPr>
      </w:pPr>
    </w:p>
    <w:p>
      <w:pPr>
        <w:pStyle w:val="Normal53"/>
        <w:suppressAutoHyphens w:val="0"/>
        <w:spacing w:before="60" w:after="60"/>
        <w:jc w:val="both"/>
        <w:rPr>
          <w:rFonts w:ascii="Arial" w:hAnsi="Arial"/>
          <w:noProof/>
          <w:sz w:val="16"/>
          <w:szCs w:val="16"/>
        </w:rPr>
      </w:pPr>
      <w:r>
        <w:rPr>
          <w:rFonts w:ascii="Arial" w:hAnsi="Arial"/>
          <w:noProof/>
          <w:sz w:val="16"/>
        </w:rPr>
        <w:t>Касовите активи на Инвестиционния механизъм са деноминирани в евро или щатски долари.</w:t>
      </w:r>
    </w:p>
    <w:p>
      <w:pPr>
        <w:pStyle w:val="Normal53"/>
        <w:suppressAutoHyphens w:val="0"/>
        <w:spacing w:before="60" w:after="60"/>
        <w:jc w:val="both"/>
        <w:rPr>
          <w:rFonts w:ascii="Arial" w:hAnsi="Arial"/>
          <w:noProof/>
          <w:sz w:val="16"/>
          <w:szCs w:val="16"/>
        </w:rPr>
      </w:pPr>
    </w:p>
    <w:p>
      <w:pPr>
        <w:pStyle w:val="Normal53"/>
        <w:suppressAutoHyphens w:val="0"/>
        <w:spacing w:before="60" w:after="60"/>
        <w:jc w:val="both"/>
        <w:rPr>
          <w:rFonts w:ascii="Arial" w:hAnsi="Arial"/>
          <w:noProof/>
          <w:sz w:val="16"/>
          <w:szCs w:val="16"/>
        </w:rPr>
      </w:pPr>
      <w:r>
        <w:rPr>
          <w:rFonts w:ascii="Arial" w:hAnsi="Arial"/>
          <w:noProof/>
          <w:sz w:val="16"/>
        </w:rPr>
        <w:t>Валутният риск се хеджира посредством кръстосани валутни спот или форуърд сделки, валутни суапове или кръстосани валутни суапове. Отделът за управление на касовите наличности на ЕИБ може, когато счита за необходимо и уместно, да използва всякакви други инструменти, в съответствие с политиката на банката, които осигуряват защита срещу пазарните рискове, поети във връзка с финансовите дейности на механизма.</w:t>
      </w:r>
    </w:p>
    <w:p>
      <w:pPr>
        <w:pStyle w:val="Normal53"/>
        <w:suppressAutoHyphens w:val="0"/>
        <w:spacing w:before="60" w:after="60"/>
        <w:jc w:val="both"/>
        <w:rPr>
          <w:rFonts w:ascii="Arial" w:hAnsi="Arial"/>
          <w:noProof/>
          <w:sz w:val="16"/>
          <w:szCs w:val="16"/>
        </w:rPr>
      </w:pPr>
    </w:p>
    <w:p>
      <w:pPr>
        <w:pStyle w:val="Normal53"/>
        <w:numPr>
          <w:ilvl w:val="3"/>
          <w:numId w:val="99"/>
        </w:numPr>
        <w:suppressAutoHyphens w:val="0"/>
        <w:spacing w:before="60" w:after="60"/>
        <w:jc w:val="both"/>
        <w:rPr>
          <w:rFonts w:ascii="Arial" w:hAnsi="Arial"/>
          <w:b/>
          <w:noProof/>
          <w:sz w:val="16"/>
          <w:szCs w:val="16"/>
        </w:rPr>
      </w:pPr>
      <w:r>
        <w:rPr>
          <w:rFonts w:ascii="Arial" w:hAnsi="Arial"/>
          <w:b/>
          <w:noProof/>
          <w:sz w:val="16"/>
        </w:rPr>
        <w:t>Валутен риск и операции, финансирани или гарантирани от механизма</w:t>
      </w:r>
    </w:p>
    <w:p>
      <w:pPr>
        <w:pStyle w:val="Normal53"/>
        <w:suppressAutoHyphens w:val="0"/>
        <w:spacing w:before="60" w:after="60"/>
        <w:jc w:val="both"/>
        <w:rPr>
          <w:rFonts w:ascii="Arial" w:hAnsi="Arial"/>
          <w:noProof/>
          <w:sz w:val="16"/>
          <w:szCs w:val="16"/>
          <w:u w:val="single"/>
        </w:rPr>
      </w:pPr>
    </w:p>
    <w:p>
      <w:pPr>
        <w:pStyle w:val="Normal53"/>
        <w:suppressAutoHyphens w:val="0"/>
        <w:spacing w:before="60" w:after="60"/>
        <w:jc w:val="both"/>
        <w:rPr>
          <w:rFonts w:ascii="Arial" w:hAnsi="Arial"/>
          <w:noProof/>
          <w:sz w:val="16"/>
          <w:szCs w:val="16"/>
        </w:rPr>
      </w:pPr>
      <w:r>
        <w:rPr>
          <w:rFonts w:ascii="Arial" w:hAnsi="Arial"/>
          <w:noProof/>
          <w:sz w:val="16"/>
        </w:rPr>
        <w:t>Вноските на държавите членки за механизма се получават в EUR. Операциите, финансирани или гарантирани от механизма, както и лихвените субсидии, могат да бъдат деноминирани в EUR, USD или всякаква друга разрешена валута.</w:t>
      </w:r>
    </w:p>
    <w:p>
      <w:pPr>
        <w:pStyle w:val="Normal53"/>
        <w:suppressAutoHyphens w:val="0"/>
        <w:spacing w:before="60" w:after="60"/>
        <w:jc w:val="both"/>
        <w:rPr>
          <w:rFonts w:ascii="Arial" w:hAnsi="Arial"/>
          <w:noProof/>
          <w:sz w:val="16"/>
          <w:szCs w:val="16"/>
        </w:rPr>
      </w:pPr>
    </w:p>
    <w:p>
      <w:pPr>
        <w:pStyle w:val="Normal53"/>
        <w:suppressAutoHyphens w:val="0"/>
        <w:spacing w:before="60" w:after="60"/>
        <w:jc w:val="both"/>
        <w:rPr>
          <w:rFonts w:ascii="Arial" w:hAnsi="Arial"/>
          <w:noProof/>
          <w:sz w:val="16"/>
          <w:szCs w:val="16"/>
        </w:rPr>
      </w:pPr>
      <w:r>
        <w:rPr>
          <w:rFonts w:ascii="Arial" w:hAnsi="Arial"/>
          <w:noProof/>
          <w:sz w:val="16"/>
        </w:rPr>
        <w:t>Валутен риск (спрямо еврото като референтна валута) възниква, когато сделките, деноминирани във валути, различни от еврото, са оставени без хеджиране. Насоките за хеджиране на валутния риск на механизма са изложени по-долу. </w:t>
      </w:r>
    </w:p>
    <w:p>
      <w:pPr>
        <w:pStyle w:val="Normal53"/>
        <w:suppressAutoHyphens w:val="0"/>
        <w:spacing w:before="60" w:after="60"/>
        <w:jc w:val="both"/>
        <w:rPr>
          <w:rFonts w:ascii="Arial" w:hAnsi="Arial"/>
          <w:noProof/>
          <w:sz w:val="16"/>
          <w:szCs w:val="16"/>
        </w:rPr>
      </w:pPr>
    </w:p>
    <w:p>
      <w:pPr>
        <w:pStyle w:val="Notes21"/>
        <w:numPr>
          <w:ilvl w:val="4"/>
          <w:numId w:val="100"/>
        </w:numPr>
        <w:tabs>
          <w:tab w:val="clear" w:pos="4320"/>
          <w:tab w:val="clear" w:pos="8640"/>
          <w:tab w:val="right" w:pos="-2700"/>
        </w:tabs>
        <w:spacing w:before="60" w:after="60"/>
        <w:rPr>
          <w:noProof/>
          <w:sz w:val="16"/>
          <w:szCs w:val="16"/>
        </w:rPr>
      </w:pPr>
      <w:r>
        <w:rPr>
          <w:noProof/>
          <w:sz w:val="16"/>
        </w:rPr>
        <w:t>Хеджиране на операции, деноминирани в USD</w:t>
      </w:r>
    </w:p>
    <w:p>
      <w:pPr>
        <w:pStyle w:val="Normal53"/>
        <w:suppressAutoHyphens w:val="0"/>
        <w:spacing w:before="60" w:after="60"/>
        <w:jc w:val="both"/>
        <w:rPr>
          <w:rFonts w:ascii="Arial" w:hAnsi="Arial"/>
          <w:noProof/>
          <w:sz w:val="16"/>
          <w:szCs w:val="16"/>
        </w:rPr>
      </w:pPr>
    </w:p>
    <w:p>
      <w:pPr>
        <w:pStyle w:val="Normal180"/>
        <w:suppressAutoHyphens w:val="0"/>
        <w:spacing w:before="60" w:after="60"/>
        <w:jc w:val="both"/>
        <w:rPr>
          <w:rFonts w:ascii="Arial" w:hAnsi="Arial"/>
          <w:noProof/>
          <w:sz w:val="16"/>
          <w:szCs w:val="16"/>
        </w:rPr>
      </w:pPr>
      <w:r>
        <w:rPr>
          <w:rFonts w:ascii="Arial" w:hAnsi="Arial"/>
          <w:noProof/>
          <w:sz w:val="16"/>
        </w:rPr>
        <w:t>Валутният риск, породен от операции на механизма, деноминирани в USD, се обезпечава на агрегирана основа чрез валутни суапове за USD/EUR, прехвърляни и коригирани периодично по отношение на размера на средствата. Използването на валутни суапове преследва двойна цел. От една страна, се създава необходимата ликвидност за нови плащания (заеми и собствен капитал) и, от друга страна, се поддържа валутно макрохеджиране.</w:t>
      </w:r>
    </w:p>
    <w:p>
      <w:pPr>
        <w:pStyle w:val="Normal180"/>
        <w:suppressAutoHyphens w:val="0"/>
        <w:spacing w:before="60" w:after="60"/>
        <w:jc w:val="both"/>
        <w:rPr>
          <w:rFonts w:ascii="Arial" w:hAnsi="Arial"/>
          <w:noProof/>
          <w:sz w:val="16"/>
          <w:szCs w:val="16"/>
        </w:rPr>
      </w:pPr>
      <w:r>
        <w:rPr>
          <w:rFonts w:ascii="Arial" w:hAnsi="Arial"/>
          <w:noProof/>
          <w:sz w:val="16"/>
        </w:rPr>
        <w:t xml:space="preserve">В началото на всеки период паричните потоци, които следва да се получат или платят в USD през следващия период, се изчисляват въз основа на планирани или очаквани обратни постъпления/плащания. Следователно валутните суапове с наближаващ падеж се разсрочват, техните суми се коригират, за да се покрият поне нуждите от ликвидност на USD, планирани за следващия период. </w:t>
      </w:r>
    </w:p>
    <w:p>
      <w:pPr>
        <w:pStyle w:val="Normal180"/>
        <w:suppressAutoHyphens w:val="0"/>
        <w:spacing w:before="60" w:after="60"/>
        <w:jc w:val="both"/>
        <w:rPr>
          <w:rFonts w:ascii="Arial" w:hAnsi="Arial"/>
          <w:noProof/>
          <w:sz w:val="16"/>
          <w:szCs w:val="16"/>
        </w:rPr>
      </w:pPr>
    </w:p>
    <w:p>
      <w:pPr>
        <w:pStyle w:val="Normal53"/>
        <w:numPr>
          <w:ilvl w:val="0"/>
          <w:numId w:val="101"/>
        </w:numPr>
        <w:suppressAutoHyphens w:val="0"/>
        <w:spacing w:before="60" w:after="60"/>
        <w:jc w:val="both"/>
        <w:rPr>
          <w:rFonts w:ascii="Arial" w:hAnsi="Arial"/>
          <w:noProof/>
          <w:sz w:val="16"/>
          <w:szCs w:val="16"/>
        </w:rPr>
      </w:pPr>
      <w:r>
        <w:rPr>
          <w:rFonts w:ascii="Arial" w:hAnsi="Arial"/>
          <w:noProof/>
          <w:sz w:val="16"/>
        </w:rPr>
        <w:t>Всеки месец валутната позиция за USD се хеджира, ако надвишава съответните ограничения, чрез спот или форуърд операции.</w:t>
      </w:r>
    </w:p>
    <w:p>
      <w:pPr>
        <w:pStyle w:val="Normal180"/>
        <w:suppressAutoHyphens w:val="0"/>
        <w:spacing w:before="60" w:after="60"/>
        <w:jc w:val="both"/>
        <w:rPr>
          <w:rFonts w:ascii="Arial" w:hAnsi="Arial"/>
          <w:noProof/>
          <w:sz w:val="16"/>
          <w:szCs w:val="16"/>
        </w:rPr>
      </w:pPr>
    </w:p>
    <w:p>
      <w:pPr>
        <w:pStyle w:val="Normal53"/>
        <w:numPr>
          <w:ilvl w:val="0"/>
          <w:numId w:val="101"/>
        </w:numPr>
        <w:suppressAutoHyphens w:val="0"/>
        <w:spacing w:before="60" w:after="60"/>
        <w:jc w:val="both"/>
        <w:rPr>
          <w:rFonts w:ascii="Arial" w:hAnsi="Arial"/>
          <w:noProof/>
          <w:sz w:val="16"/>
          <w:szCs w:val="16"/>
        </w:rPr>
      </w:pPr>
      <w:r>
        <w:rPr>
          <w:rFonts w:ascii="Arial" w:hAnsi="Arial"/>
          <w:noProof/>
          <w:sz w:val="16"/>
        </w:rPr>
        <w:t>В рамките на периода на разсрочване неочакваните ликвидни дефицити за USD се покриват чрез ad hoc валутни суапови операции, докато ликвидните излишъци или се инвестират в касови активи, или се преобръщат в евро, ако са възникнали от увеличение на валутната позиция.</w:t>
      </w:r>
    </w:p>
    <w:p>
      <w:pPr>
        <w:pStyle w:val="Normal53"/>
        <w:suppressAutoHyphens w:val="0"/>
        <w:spacing w:before="60" w:after="60"/>
        <w:jc w:val="both"/>
        <w:rPr>
          <w:rFonts w:ascii="Arial" w:hAnsi="Arial"/>
          <w:noProof/>
          <w:sz w:val="16"/>
          <w:szCs w:val="16"/>
        </w:rPr>
      </w:pPr>
    </w:p>
    <w:p>
      <w:pPr>
        <w:pStyle w:val="Notes21"/>
        <w:numPr>
          <w:ilvl w:val="4"/>
          <w:numId w:val="100"/>
        </w:numPr>
        <w:tabs>
          <w:tab w:val="clear" w:pos="4320"/>
          <w:tab w:val="clear" w:pos="8640"/>
          <w:tab w:val="right" w:pos="-2700"/>
        </w:tabs>
        <w:spacing w:before="60" w:after="60"/>
        <w:rPr>
          <w:noProof/>
          <w:sz w:val="16"/>
          <w:szCs w:val="16"/>
        </w:rPr>
      </w:pPr>
      <w:r>
        <w:rPr>
          <w:noProof/>
          <w:sz w:val="16"/>
        </w:rPr>
        <w:t>Хеджиране на операциите, деноминирани във валута, различна от EUR или USD</w:t>
      </w:r>
    </w:p>
    <w:p>
      <w:pPr>
        <w:pStyle w:val="Normal53"/>
        <w:suppressAutoHyphens w:val="0"/>
        <w:spacing w:before="60" w:after="60"/>
        <w:jc w:val="both"/>
        <w:rPr>
          <w:rFonts w:ascii="Arial" w:hAnsi="Arial"/>
          <w:noProof/>
          <w:sz w:val="16"/>
          <w:szCs w:val="16"/>
        </w:rPr>
      </w:pPr>
    </w:p>
    <w:p>
      <w:pPr>
        <w:pStyle w:val="Normal53"/>
        <w:numPr>
          <w:ilvl w:val="0"/>
          <w:numId w:val="101"/>
        </w:numPr>
        <w:suppressAutoHyphens w:val="0"/>
        <w:spacing w:before="60" w:after="60"/>
        <w:jc w:val="both"/>
        <w:rPr>
          <w:rFonts w:ascii="Arial" w:hAnsi="Arial"/>
          <w:noProof/>
          <w:sz w:val="16"/>
          <w:szCs w:val="16"/>
        </w:rPr>
      </w:pPr>
      <w:r>
        <w:rPr>
          <w:rFonts w:ascii="Arial" w:hAnsi="Arial"/>
          <w:noProof/>
          <w:sz w:val="16"/>
        </w:rPr>
        <w:t>Операциите на механизма, деноминирани във валути, различни от EUR и USD, се хеджират посредством кръстосани суапови договори със същите финансови профили като съответния заем, при условие че суаповият пазар е функциониращ.</w:t>
      </w:r>
    </w:p>
    <w:p>
      <w:pPr>
        <w:pStyle w:val="Normal53"/>
        <w:suppressAutoHyphens w:val="0"/>
        <w:spacing w:before="60" w:after="60"/>
        <w:jc w:val="both"/>
        <w:rPr>
          <w:rFonts w:ascii="Arial" w:hAnsi="Arial"/>
          <w:noProof/>
          <w:sz w:val="16"/>
          <w:szCs w:val="16"/>
        </w:rPr>
      </w:pPr>
    </w:p>
    <w:p>
      <w:pPr>
        <w:pStyle w:val="Normal1800"/>
        <w:numPr>
          <w:ilvl w:val="0"/>
          <w:numId w:val="102"/>
        </w:numPr>
        <w:suppressAutoHyphens w:val="0"/>
        <w:spacing w:before="60" w:after="60"/>
        <w:jc w:val="both"/>
        <w:rPr>
          <w:rFonts w:ascii="Arial" w:hAnsi="Arial"/>
          <w:noProof/>
          <w:sz w:val="16"/>
          <w:szCs w:val="16"/>
        </w:rPr>
      </w:pPr>
      <w:r>
        <w:rPr>
          <w:rFonts w:ascii="Arial" w:hAnsi="Arial"/>
          <w:noProof/>
          <w:sz w:val="16"/>
        </w:rPr>
        <w:t>Механизмът има операции във валути, за които възможности за хеджиране или не са налични, или се предоставят на висока цена. Тези операции са деноминирани в местна валута, но платени в EUR или USD. Рамката за финансовия риск на механизма, която беше одобрена от Комитета механизма на 22 януари 2015 г., предлага възможност за хеджиране на валутна експозиция в местни валути със значителна положителна корелация синтетично с щатския долар чрез деривати, деноминирани в щатски долари. Местните валути, хеджирани синтетично с деривати, деноминирани в долари, се отчитат в таблицата в раздел 3.4.2.2.3 по-долу в точка „Местни валути (със синтетично хеджиране)“, докато местните валути, нехеджирани синтетично с щатския долар, се отчитат в същата таблица в точка „Местни валути (без синтетично хеджиране)“.</w:t>
      </w:r>
    </w:p>
    <w:p>
      <w:pPr>
        <w:pStyle w:val="Notes21"/>
        <w:numPr>
          <w:ilvl w:val="0"/>
          <w:numId w:val="0"/>
        </w:numPr>
        <w:tabs>
          <w:tab w:val="clear" w:pos="4320"/>
          <w:tab w:val="clear" w:pos="8640"/>
          <w:tab w:val="right" w:pos="-2700"/>
        </w:tabs>
        <w:spacing w:before="60" w:after="60"/>
        <w:rPr>
          <w:b w:val="0"/>
          <w:noProof/>
          <w:sz w:val="16"/>
          <w:szCs w:val="16"/>
        </w:rPr>
      </w:pPr>
    </w:p>
    <w:p>
      <w:pPr>
        <w:pStyle w:val="Notes22"/>
        <w:numPr>
          <w:ilvl w:val="4"/>
          <w:numId w:val="103"/>
        </w:numPr>
        <w:tabs>
          <w:tab w:val="clear" w:pos="4320"/>
          <w:tab w:val="clear" w:pos="8640"/>
          <w:tab w:val="right" w:pos="-2700"/>
        </w:tabs>
        <w:spacing w:before="60" w:after="60"/>
        <w:rPr>
          <w:noProof/>
          <w:sz w:val="16"/>
          <w:szCs w:val="16"/>
        </w:rPr>
      </w:pPr>
      <w:r>
        <w:rPr>
          <w:noProof/>
          <w:sz w:val="16"/>
        </w:rPr>
        <w:t>Валутна позиция (в хиляди евро)</w:t>
      </w:r>
    </w:p>
    <w:p>
      <w:pPr>
        <w:pStyle w:val="Notes22"/>
        <w:numPr>
          <w:ilvl w:val="0"/>
          <w:numId w:val="0"/>
        </w:numPr>
        <w:tabs>
          <w:tab w:val="clear" w:pos="4320"/>
          <w:tab w:val="clear" w:pos="8640"/>
          <w:tab w:val="right" w:pos="-2700"/>
        </w:tabs>
        <w:spacing w:before="60" w:after="60"/>
        <w:ind w:left="1021"/>
        <w:rPr>
          <w:noProof/>
          <w:sz w:val="16"/>
          <w:szCs w:val="16"/>
        </w:rPr>
      </w:pPr>
    </w:p>
    <w:p>
      <w:pPr>
        <w:pStyle w:val="Notes210"/>
        <w:tabs>
          <w:tab w:val="right" w:pos="-2700"/>
        </w:tabs>
        <w:spacing w:before="60" w:after="60"/>
        <w:ind w:left="0" w:firstLine="0"/>
        <w:rPr>
          <w:b w:val="0"/>
          <w:noProof/>
          <w:sz w:val="16"/>
          <w:szCs w:val="16"/>
        </w:rPr>
      </w:pPr>
      <w:r>
        <w:rPr>
          <w:b w:val="0"/>
          <w:noProof/>
          <w:sz w:val="16"/>
        </w:rPr>
        <w:t>В таблиците на тази бележка се съдържа валутната позиция на механизма.</w:t>
      </w:r>
    </w:p>
    <w:p>
      <w:pPr>
        <w:pStyle w:val="Notes210"/>
        <w:tabs>
          <w:tab w:val="right" w:pos="-2700"/>
        </w:tabs>
        <w:spacing w:before="60" w:after="60"/>
        <w:ind w:left="0" w:firstLine="0"/>
        <w:rPr>
          <w:b w:val="0"/>
          <w:noProof/>
          <w:sz w:val="16"/>
          <w:szCs w:val="16"/>
        </w:rPr>
      </w:pPr>
    </w:p>
    <w:p>
      <w:pPr>
        <w:pStyle w:val="Normal181"/>
        <w:suppressAutoHyphens w:val="0"/>
        <w:spacing w:before="60" w:after="60"/>
        <w:jc w:val="both"/>
        <w:rPr>
          <w:rFonts w:ascii="Arial" w:hAnsi="Arial"/>
          <w:noProof/>
          <w:sz w:val="16"/>
          <w:szCs w:val="16"/>
        </w:rPr>
      </w:pPr>
      <w:r>
        <w:rPr>
          <w:rFonts w:ascii="Arial" w:hAnsi="Arial"/>
          <w:noProof/>
          <w:sz w:val="16"/>
        </w:rPr>
        <w:t>Валутната позиция е представена в таблиците по-долу в съответствие с политиките за риска на механизма (както е описано в рамката за финансовия риск на механизма). Валутната позиция съгласно политиките за риска се основава на счетоводните данни и се определя като салдото между избрани активи и пасиви. Активите и пасивите, определени във валутната позиция съгласно рисковите политики, са подбрани така, че да гарантират, че приходите ще бъдат конвертирани в отчетната валута (евро) едва при тяхното получаване.</w:t>
      </w:r>
    </w:p>
    <w:p>
      <w:pPr>
        <w:pStyle w:val="Normal181"/>
        <w:suppressAutoHyphens w:val="0"/>
        <w:spacing w:before="60" w:after="60"/>
        <w:jc w:val="both"/>
        <w:rPr>
          <w:rFonts w:ascii="Arial" w:hAnsi="Arial"/>
          <w:noProof/>
          <w:sz w:val="16"/>
          <w:szCs w:val="16"/>
        </w:rPr>
      </w:pPr>
    </w:p>
    <w:p>
      <w:pPr>
        <w:pStyle w:val="Normal160"/>
        <w:jc w:val="both"/>
        <w:rPr>
          <w:rFonts w:ascii="Arial" w:hAnsi="Arial" w:cs="Arial"/>
          <w:i/>
          <w:noProof/>
          <w:sz w:val="16"/>
          <w:szCs w:val="16"/>
        </w:rPr>
      </w:pPr>
      <w:r>
        <w:rPr>
          <w:rFonts w:ascii="Arial" w:hAnsi="Arial"/>
          <w:i/>
          <w:noProof/>
          <w:sz w:val="16"/>
        </w:rPr>
        <w:t>Политика, приложима преди 1 януари 2018 г.</w:t>
      </w:r>
    </w:p>
    <w:p>
      <w:pPr>
        <w:pStyle w:val="Normal181"/>
        <w:suppressAutoHyphens w:val="0"/>
        <w:spacing w:before="60" w:after="60"/>
        <w:jc w:val="both"/>
        <w:rPr>
          <w:rFonts w:ascii="Arial" w:hAnsi="Arial"/>
          <w:noProof/>
          <w:sz w:val="16"/>
          <w:szCs w:val="16"/>
        </w:rPr>
      </w:pPr>
      <w:r>
        <w:rPr>
          <w:rFonts w:ascii="Arial" w:hAnsi="Arial"/>
          <w:noProof/>
          <w:sz w:val="16"/>
        </w:rPr>
        <w:t>Нереализираните печалби/загуби и обезценката на финансови активи на разположение за продажба (МСС 39) са включени във валутната позиция съгласно рисковите политики, както и обезценките на заемите и вземанията. Дериватите, включени във валутната позиция съгласно рисковите политики, се вземат по номинална стойност вместо по справедлива стойност, за да бъдат приведени в съответствие с неразпределената стойност на активите, също взета по номинална стойност, коригирана с обезценката за заемите.</w:t>
      </w:r>
    </w:p>
    <w:p>
      <w:pPr>
        <w:pStyle w:val="Normal181"/>
        <w:suppressAutoHyphens w:val="0"/>
        <w:spacing w:before="60" w:after="60"/>
        <w:jc w:val="both"/>
        <w:rPr>
          <w:rFonts w:ascii="Arial" w:hAnsi="Arial"/>
          <w:noProof/>
          <w:sz w:val="16"/>
          <w:szCs w:val="16"/>
        </w:rPr>
      </w:pPr>
    </w:p>
    <w:p>
      <w:pPr>
        <w:pStyle w:val="Normal160"/>
        <w:jc w:val="both"/>
        <w:rPr>
          <w:rFonts w:ascii="Arial" w:hAnsi="Arial" w:cs="Arial"/>
          <w:i/>
          <w:noProof/>
          <w:sz w:val="16"/>
          <w:szCs w:val="16"/>
        </w:rPr>
      </w:pPr>
      <w:r>
        <w:rPr>
          <w:rFonts w:ascii="Arial" w:hAnsi="Arial"/>
          <w:i/>
          <w:noProof/>
          <w:sz w:val="16"/>
        </w:rPr>
        <w:t>Политика, приложима след 1 януари 2018 г.</w:t>
      </w:r>
    </w:p>
    <w:p>
      <w:pPr>
        <w:pStyle w:val="Normal181"/>
        <w:suppressAutoHyphens w:val="0"/>
        <w:spacing w:before="60" w:after="60"/>
        <w:jc w:val="both"/>
        <w:rPr>
          <w:rFonts w:ascii="Arial" w:hAnsi="Arial"/>
          <w:noProof/>
          <w:sz w:val="16"/>
          <w:szCs w:val="16"/>
        </w:rPr>
      </w:pPr>
      <w:r>
        <w:rPr>
          <w:rFonts w:ascii="Arial" w:hAnsi="Arial"/>
          <w:noProof/>
          <w:sz w:val="16"/>
        </w:rPr>
        <w:t>Промяната на справедливата стойност на акции и други ценни книжа с променлива доходност се включва във валутната позиция съгласно рисковите политики, както и обезценките на заемите и авансите. Дериватите, включени във валутната позиция съгласно рисковите политики, се вземат по номинална стойност вместо по справедлива стойност, за да бъдат приведени в съответствие с неразпределената стойност на активите, също взета по номинална стойност, коригирана с обезценката за заемите.</w:t>
      </w:r>
    </w:p>
    <w:p>
      <w:pPr>
        <w:pStyle w:val="Normal54"/>
        <w:rPr>
          <w:noProof/>
        </w:rPr>
      </w:pPr>
    </w:p>
    <w:p>
      <w:pPr>
        <w:pStyle w:val="Normal54"/>
        <w:suppressAutoHyphens w:val="0"/>
        <w:rPr>
          <w:rFonts w:ascii="Arial" w:hAnsi="Arial"/>
          <w:noProof/>
          <w:sz w:val="16"/>
          <w:szCs w:val="16"/>
        </w:rPr>
      </w:pPr>
      <w:r>
        <w:rPr>
          <w:noProof/>
        </w:rPr>
        <w:br w:type="page"/>
      </w:r>
    </w:p>
    <w:p>
      <w:pPr>
        <w:pStyle w:val="Normal181"/>
        <w:suppressAutoHyphens w:val="0"/>
        <w:spacing w:before="60" w:after="60"/>
        <w:jc w:val="both"/>
        <w:rPr>
          <w:rFonts w:ascii="Arial" w:hAnsi="Arial"/>
          <w:noProof/>
          <w:sz w:val="16"/>
          <w:szCs w:val="16"/>
        </w:rPr>
      </w:pPr>
      <w:r>
        <w:rPr>
          <w:rFonts w:ascii="Arial" w:hAnsi="Arial"/>
          <w:noProof/>
          <w:sz w:val="16"/>
        </w:rPr>
        <w:t>В таблиците по-долу останалата част от активите и пасивите, които включват главно начислени лихви по заеми, деривати и субсидии, е представена като „Валутна позиция, изключена от политиките за риска“.</w:t>
      </w:r>
    </w:p>
    <w:tbl>
      <w:tblPr>
        <w:tblStyle w:val="CDMRange29"/>
        <w:tblW w:w="9975" w:type="dxa"/>
        <w:tblLayout w:type="fixed"/>
        <w:tblLook w:val="0600" w:firstRow="0" w:lastRow="0" w:firstColumn="0" w:lastColumn="0" w:noHBand="1" w:noVBand="1"/>
      </w:tblPr>
      <w:tblGrid>
        <w:gridCol w:w="2625"/>
        <w:gridCol w:w="1800"/>
        <w:gridCol w:w="1800"/>
        <w:gridCol w:w="1800"/>
        <w:gridCol w:w="150"/>
        <w:gridCol w:w="1800"/>
      </w:tblGrid>
      <w:tr>
        <w:trPr>
          <w:trHeight w:val="465"/>
        </w:trPr>
        <w:tc>
          <w:tcPr>
            <w:tcW w:w="2625"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color w:val="000000"/>
                <w:sz w:val="16"/>
              </w:rPr>
              <w:t>Към 31 декември 2018 г.</w:t>
            </w:r>
          </w:p>
        </w:tc>
        <w:tc>
          <w:tcPr>
            <w:tcW w:w="5400" w:type="dxa"/>
            <w:gridSpan w:val="3"/>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Активи и пасиви</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b/>
                <w:noProof/>
                <w:color w:val="000000"/>
                <w:sz w:val="16"/>
              </w:rPr>
            </w:pPr>
          </w:p>
        </w:tc>
        <w:tc>
          <w:tcPr>
            <w:tcW w:w="1800"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Поети задължения и условни пасиви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625"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color w:val="000000"/>
                <w:sz w:val="16"/>
              </w:rPr>
              <w:t>Валути</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Валутна позиция съгласно политиките за риска</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Валутна позиция, изключена от политиките за риска</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Валутна позиция на баланса</w:t>
            </w:r>
          </w:p>
        </w:tc>
        <w:tc>
          <w:tcPr>
            <w:tcW w:w="150" w:type="dxa"/>
            <w:tcBorders>
              <w:top w:val="nil"/>
              <w:left w:val="nil"/>
              <w:bottom w:val="nil"/>
              <w:right w:val="nil"/>
              <w:tl2br w:val="nil"/>
              <w:tr2bl w:val="nil"/>
            </w:tcBorders>
            <w:shd w:val="clear" w:color="FFFFFF" w:fill="FFFFFF"/>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single" w:sz="8" w:space="0" w:color="000000"/>
              <w:left w:val="nil"/>
              <w:bottom w:val="nil"/>
              <w:right w:val="nil"/>
              <w:tl2br w:val="nil"/>
              <w:tr2bl w:val="nil"/>
            </w:tcBorders>
            <w:shd w:val="clear" w:color="FFFFFF" w:fill="FFFFFF"/>
            <w:noWrap/>
            <w:tcMar>
              <w:left w:w="0" w:type="dxa"/>
              <w:right w:w="0" w:type="dxa"/>
            </w:tcMar>
            <w:vAlign w:val="center"/>
          </w:tcPr>
          <w:p>
            <w:pPr>
              <w:pStyle w:val="Normal55"/>
              <w:rPr>
                <w:rFonts w:ascii="Arial" w:eastAsia="Arial" w:hAnsi="Arial" w:cs="Arial"/>
                <w:b/>
                <w:i/>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-157 177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-52 111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-209 288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600 271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55"/>
              <w:rPr>
                <w:rFonts w:ascii="Arial" w:eastAsia="Arial" w:hAnsi="Arial" w:cs="Arial"/>
                <w:i/>
                <w:noProof/>
                <w:color w:val="000000"/>
                <w:sz w:val="16"/>
              </w:rPr>
            </w:pPr>
            <w:r>
              <w:rPr>
                <w:rFonts w:ascii="Arial" w:hAnsi="Arial"/>
                <w:i/>
                <w:noProof/>
                <w:color w:val="000000"/>
                <w:sz w:val="16"/>
              </w:rPr>
              <w:t xml:space="preserve">Местни валути </w:t>
            </w:r>
          </w:p>
          <w:p>
            <w:pPr>
              <w:pStyle w:val="Normal55"/>
              <w:rPr>
                <w:rFonts w:ascii="Arial" w:eastAsia="Arial" w:hAnsi="Arial" w:cs="Arial"/>
                <w:i/>
                <w:noProof/>
                <w:color w:val="000000"/>
                <w:sz w:val="16"/>
              </w:rPr>
            </w:pPr>
            <w:r>
              <w:rPr>
                <w:rFonts w:ascii="Arial" w:hAnsi="Arial"/>
                <w:i/>
                <w:noProof/>
                <w:color w:val="000000"/>
                <w:sz w:val="16"/>
              </w:rPr>
              <w:t>(със синтетично хеджиране)*</w:t>
            </w: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5"/>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5"/>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5"/>
              <w:rPr>
                <w:rFonts w:ascii="Arial" w:eastAsia="Arial" w:hAnsi="Arial" w:cs="Arial"/>
                <w:i/>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35 806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252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36 058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71 195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814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72 009</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35 311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821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36 132</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45 731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769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46 500</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24 176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17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24 193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55"/>
              <w:rPr>
                <w:rFonts w:ascii="Arial" w:eastAsia="Arial" w:hAnsi="Arial" w:cs="Arial"/>
                <w:i/>
                <w:noProof/>
                <w:color w:val="000000"/>
                <w:sz w:val="16"/>
              </w:rPr>
            </w:pPr>
            <w:r>
              <w:rPr>
                <w:rFonts w:ascii="Arial" w:hAnsi="Arial"/>
                <w:i/>
                <w:noProof/>
                <w:color w:val="000000"/>
                <w:sz w:val="16"/>
              </w:rPr>
              <w:t xml:space="preserve">Местни валути </w:t>
            </w:r>
          </w:p>
          <w:p>
            <w:pPr>
              <w:pStyle w:val="Normal55"/>
              <w:rPr>
                <w:rFonts w:ascii="Arial" w:eastAsia="Arial" w:hAnsi="Arial" w:cs="Arial"/>
                <w:i/>
                <w:noProof/>
                <w:color w:val="000000"/>
                <w:sz w:val="16"/>
              </w:rPr>
            </w:pPr>
            <w:r>
              <w:rPr>
                <w:rFonts w:ascii="Arial" w:hAnsi="Arial"/>
                <w:i/>
                <w:noProof/>
                <w:color w:val="000000"/>
                <w:sz w:val="16"/>
              </w:rPr>
              <w:t>(без синтетично хеджиране)*</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5"/>
              <w:jc w:val="center"/>
              <w:rPr>
                <w:rFonts w:ascii="Arial" w:eastAsia="Arial" w:hAnsi="Arial" w:cs="Arial"/>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color w:val="000000"/>
                <w:sz w:val="16"/>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74 265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-432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73 833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55"/>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pStyle w:val="Normal55"/>
              <w:rPr>
                <w:rFonts w:ascii="Arial" w:eastAsia="Arial" w:hAnsi="Arial" w:cs="Arial"/>
                <w:b/>
                <w:noProof/>
                <w:color w:val="000000"/>
                <w:sz w:val="16"/>
              </w:rPr>
            </w:pPr>
            <w:r>
              <w:rPr>
                <w:rFonts w:ascii="Arial" w:hAnsi="Arial"/>
                <w:b/>
                <w:noProof/>
                <w:color w:val="000000"/>
                <w:sz w:val="16"/>
              </w:rPr>
              <w:t>Общо валути, различни от еврото</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129 307</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-49 870</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79 437</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600 271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62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2 834 560</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2 834 560</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b/>
                <w:noProof/>
                <w:color w:val="000000"/>
                <w:sz w:val="16"/>
              </w:rPr>
            </w:pP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3 044 623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625"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rPr>
                <w:rFonts w:ascii="Arial" w:eastAsia="Arial" w:hAnsi="Arial" w:cs="Arial"/>
                <w:b/>
                <w:noProof/>
                <w:color w:val="000000"/>
                <w:sz w:val="16"/>
              </w:rPr>
            </w:pPr>
            <w:r>
              <w:rPr>
                <w:rFonts w:ascii="Arial" w:hAnsi="Arial"/>
                <w:b/>
                <w:noProof/>
                <w:color w:val="000000"/>
                <w:sz w:val="16"/>
              </w:rPr>
              <w:t>Общо евро и други валути</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129 307</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2 784 690</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2 913 997</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55"/>
              <w:jc w:val="center"/>
              <w:rPr>
                <w:rFonts w:ascii="Arial" w:eastAsia="Arial" w:hAnsi="Arial" w:cs="Arial"/>
                <w:noProof/>
                <w:color w:val="000000"/>
                <w:sz w:val="16"/>
              </w:rPr>
            </w:pP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5"/>
              <w:jc w:val="center"/>
              <w:rPr>
                <w:rFonts w:ascii="Arial" w:eastAsia="Arial" w:hAnsi="Arial" w:cs="Arial"/>
                <w:b/>
                <w:noProof/>
                <w:color w:val="000000"/>
                <w:sz w:val="16"/>
              </w:rPr>
            </w:pPr>
            <w:r>
              <w:rPr>
                <w:rFonts w:ascii="Arial" w:hAnsi="Arial"/>
                <w:b/>
                <w:noProof/>
                <w:color w:val="000000"/>
                <w:sz w:val="16"/>
              </w:rPr>
              <w:t>3 644 894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9975" w:type="dxa"/>
            <w:gridSpan w:val="6"/>
            <w:tcBorders>
              <w:top w:val="nil"/>
              <w:left w:val="nil"/>
              <w:bottom w:val="nil"/>
              <w:right w:val="nil"/>
              <w:tl2br w:val="nil"/>
              <w:tr2bl w:val="nil"/>
            </w:tcBorders>
            <w:shd w:val="clear" w:color="FFFFFF" w:fill="FFFFFF"/>
            <w:tcMar>
              <w:left w:w="0" w:type="dxa"/>
              <w:right w:w="0" w:type="dxa"/>
            </w:tcMar>
          </w:tcPr>
          <w:p>
            <w:pPr>
              <w:pStyle w:val="Normal55"/>
              <w:jc w:val="both"/>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975" w:type="dxa"/>
            <w:gridSpan w:val="6"/>
            <w:tcBorders>
              <w:top w:val="nil"/>
              <w:left w:val="nil"/>
              <w:bottom w:val="nil"/>
              <w:right w:val="nil"/>
              <w:tl2br w:val="nil"/>
              <w:tr2bl w:val="nil"/>
            </w:tcBorders>
            <w:shd w:val="clear" w:color="FFFFFF" w:fill="FFFFFF"/>
            <w:tcMar>
              <w:left w:w="40" w:type="dxa"/>
              <w:right w:w="40" w:type="dxa"/>
            </w:tcMar>
          </w:tcPr>
          <w:p>
            <w:pPr>
              <w:pStyle w:val="Normal55"/>
              <w:jc w:val="both"/>
              <w:rPr>
                <w:rFonts w:ascii="Arial" w:eastAsia="Arial" w:hAnsi="Arial" w:cs="Arial"/>
                <w:noProof/>
                <w:color w:val="000000"/>
                <w:sz w:val="16"/>
              </w:rPr>
            </w:pPr>
            <w:r>
              <w:rPr>
                <w:rFonts w:ascii="Arial" w:hAnsi="Arial"/>
                <w:noProof/>
                <w:color w:val="000000"/>
                <w:sz w:val="16"/>
              </w:rPr>
              <w:t>* Вж. точка 3.4.2.2.2 за обяснение на синтетичното хеджиране.</w:t>
            </w:r>
          </w:p>
        </w:tc>
      </w:tr>
    </w:tbl>
    <w:tbl>
      <w:tblPr>
        <w:tblStyle w:val="CDMRange110"/>
        <w:tblW w:w="9975" w:type="dxa"/>
        <w:tblLayout w:type="fixed"/>
        <w:tblLook w:val="0600" w:firstRow="0" w:lastRow="0" w:firstColumn="0" w:lastColumn="0" w:noHBand="1" w:noVBand="1"/>
      </w:tblPr>
      <w:tblGrid>
        <w:gridCol w:w="2625"/>
        <w:gridCol w:w="1800"/>
        <w:gridCol w:w="1800"/>
        <w:gridCol w:w="1713"/>
        <w:gridCol w:w="237"/>
        <w:gridCol w:w="1800"/>
      </w:tblGrid>
      <w:tr>
        <w:trPr>
          <w:trHeight w:val="465"/>
        </w:trPr>
        <w:tc>
          <w:tcPr>
            <w:tcW w:w="2625"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pageBreakBefore/>
              <w:rPr>
                <w:rFonts w:ascii="Arial" w:eastAsia="Arial" w:hAnsi="Arial" w:cs="Arial"/>
                <w:b/>
                <w:noProof/>
                <w:color w:val="000000"/>
                <w:sz w:val="16"/>
              </w:rPr>
            </w:pPr>
            <w:r>
              <w:rPr>
                <w:rFonts w:ascii="Arial" w:hAnsi="Arial"/>
                <w:b/>
                <w:noProof/>
                <w:color w:val="000000"/>
                <w:sz w:val="16"/>
              </w:rPr>
              <w:t>Към 31 декември 2017 г.</w:t>
            </w:r>
          </w:p>
        </w:tc>
        <w:tc>
          <w:tcPr>
            <w:tcW w:w="5313" w:type="dxa"/>
            <w:gridSpan w:val="3"/>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Активи и пасиви</w:t>
            </w: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b/>
                <w:noProof/>
                <w:color w:val="000000"/>
                <w:sz w:val="16"/>
              </w:rPr>
            </w:pPr>
          </w:p>
        </w:tc>
        <w:tc>
          <w:tcPr>
            <w:tcW w:w="1800"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Поети задължения и условни пасиви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625"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color w:val="000000"/>
                <w:sz w:val="16"/>
              </w:rPr>
              <w:t>Валути</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Валутна позиция съгласно политиките за риска</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Валутна позиция, изключена от политиките за риска</w:t>
            </w:r>
          </w:p>
        </w:tc>
        <w:tc>
          <w:tcPr>
            <w:tcW w:w="1713" w:type="dxa"/>
            <w:tcBorders>
              <w:top w:val="single" w:sz="8" w:space="0" w:color="000000"/>
              <w:left w:val="nil"/>
              <w:bottom w:val="nil"/>
              <w:right w:val="nil"/>
              <w:tl2br w:val="nil"/>
              <w:tr2bl w:val="nil"/>
            </w:tcBorders>
            <w:shd w:val="clear" w:color="FFFFFF" w:fill="FFFFFF"/>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Валутна позиция на баланса</w:t>
            </w:r>
          </w:p>
        </w:tc>
        <w:tc>
          <w:tcPr>
            <w:tcW w:w="237" w:type="dxa"/>
            <w:tcBorders>
              <w:top w:val="nil"/>
              <w:left w:val="nil"/>
              <w:bottom w:val="nil"/>
              <w:right w:val="nil"/>
              <w:tl2br w:val="nil"/>
              <w:tr2bl w:val="nil"/>
            </w:tcBorders>
            <w:shd w:val="clear" w:color="FFFFFF" w:fill="FFFFFF"/>
            <w:tcMar>
              <w:left w:w="0" w:type="dxa"/>
              <w:right w:w="0" w:type="dxa"/>
            </w:tcMar>
            <w:vAlign w:val="center"/>
          </w:tcPr>
          <w:p>
            <w:pPr>
              <w:pStyle w:val="Normal56"/>
              <w:jc w:val="center"/>
              <w:rPr>
                <w:rFonts w:ascii="Arial" w:eastAsia="Arial" w:hAnsi="Arial" w:cs="Arial"/>
                <w:noProof/>
                <w:color w:val="000000"/>
                <w:sz w:val="16"/>
              </w:rPr>
            </w:pPr>
          </w:p>
        </w:tc>
        <w:tc>
          <w:tcPr>
            <w:tcW w:w="1800" w:type="dxa"/>
            <w:tcBorders>
              <w:top w:val="single" w:sz="8" w:space="0" w:color="000000"/>
              <w:left w:val="nil"/>
              <w:bottom w:val="nil"/>
              <w:right w:val="nil"/>
              <w:tl2br w:val="nil"/>
              <w:tr2bl w:val="nil"/>
            </w:tcBorders>
            <w:shd w:val="clear" w:color="FFFFFF" w:fill="FFFFFF"/>
            <w:noWrap/>
            <w:tcMar>
              <w:left w:w="0" w:type="dxa"/>
              <w:right w:w="0" w:type="dxa"/>
            </w:tcMar>
            <w:vAlign w:val="center"/>
          </w:tcPr>
          <w:p>
            <w:pPr>
              <w:pStyle w:val="Normal56"/>
              <w:rPr>
                <w:rFonts w:ascii="Arial" w:eastAsia="Arial" w:hAnsi="Arial" w:cs="Arial"/>
                <w:b/>
                <w:i/>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-206 535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6 087</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-200 448</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377 994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56"/>
              <w:rPr>
                <w:rFonts w:ascii="Arial" w:eastAsia="Arial" w:hAnsi="Arial" w:cs="Arial"/>
                <w:i/>
                <w:noProof/>
                <w:color w:val="000000"/>
                <w:sz w:val="16"/>
              </w:rPr>
            </w:pPr>
            <w:r>
              <w:rPr>
                <w:rFonts w:ascii="Arial" w:hAnsi="Arial"/>
                <w:i/>
                <w:noProof/>
                <w:color w:val="000000"/>
                <w:sz w:val="16"/>
              </w:rPr>
              <w:t xml:space="preserve">Местни валути </w:t>
            </w:r>
          </w:p>
          <w:p>
            <w:pPr>
              <w:pStyle w:val="Normal56"/>
              <w:rPr>
                <w:rFonts w:ascii="Arial" w:eastAsia="Arial" w:hAnsi="Arial" w:cs="Arial"/>
                <w:i/>
                <w:noProof/>
                <w:color w:val="000000"/>
                <w:sz w:val="16"/>
              </w:rPr>
            </w:pPr>
            <w:r>
              <w:rPr>
                <w:rFonts w:ascii="Arial" w:hAnsi="Arial"/>
                <w:i/>
                <w:noProof/>
                <w:color w:val="000000"/>
                <w:sz w:val="16"/>
              </w:rPr>
              <w:t>(със синтетично хеджиране)*</w:t>
            </w: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6"/>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56"/>
              <w:rPr>
                <w:rFonts w:ascii="Arial" w:eastAsia="Arial" w:hAnsi="Arial" w:cs="Arial"/>
                <w:i/>
                <w:noProof/>
                <w:color w:val="000000"/>
                <w:sz w:val="16"/>
              </w:rPr>
            </w:pPr>
          </w:p>
        </w:tc>
        <w:tc>
          <w:tcPr>
            <w:tcW w:w="1713" w:type="dxa"/>
            <w:tcBorders>
              <w:top w:val="nil"/>
              <w:left w:val="nil"/>
              <w:bottom w:val="nil"/>
              <w:right w:val="nil"/>
              <w:tl2br w:val="nil"/>
              <w:tr2bl w:val="nil"/>
            </w:tcBorders>
            <w:shd w:val="clear" w:color="FFFFFF" w:fill="FFFFFF"/>
            <w:tcMar>
              <w:left w:w="0" w:type="dxa"/>
              <w:right w:w="0" w:type="dxa"/>
            </w:tcMar>
            <w:vAlign w:val="center"/>
          </w:tcPr>
          <w:p>
            <w:pPr>
              <w:pStyle w:val="Normal56"/>
              <w:rPr>
                <w:rFonts w:ascii="Arial" w:eastAsia="Arial" w:hAnsi="Arial" w:cs="Arial"/>
                <w:i/>
                <w:noProof/>
                <w:color w:val="000000"/>
                <w:sz w:val="16"/>
              </w:rPr>
            </w:pP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88 532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2 854</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91 386</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98 722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1 820</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100 542</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37 785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1 494</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39 279</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52 653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1 505</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54 158</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32 714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354</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33 068</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56"/>
              <w:rPr>
                <w:rFonts w:ascii="Arial" w:eastAsia="Arial" w:hAnsi="Arial" w:cs="Arial"/>
                <w:i/>
                <w:noProof/>
                <w:color w:val="000000"/>
                <w:sz w:val="16"/>
              </w:rPr>
            </w:pPr>
            <w:r>
              <w:rPr>
                <w:rFonts w:ascii="Arial" w:hAnsi="Arial"/>
                <w:i/>
                <w:noProof/>
                <w:color w:val="000000"/>
                <w:sz w:val="16"/>
              </w:rPr>
              <w:t xml:space="preserve">Местни валути </w:t>
            </w:r>
          </w:p>
          <w:p>
            <w:pPr>
              <w:pStyle w:val="Normal56"/>
              <w:rPr>
                <w:rFonts w:ascii="Arial" w:eastAsia="Arial" w:hAnsi="Arial" w:cs="Arial"/>
                <w:i/>
                <w:noProof/>
                <w:color w:val="000000"/>
                <w:sz w:val="16"/>
              </w:rPr>
            </w:pPr>
            <w:r>
              <w:rPr>
                <w:rFonts w:ascii="Arial" w:hAnsi="Arial"/>
                <w:i/>
                <w:noProof/>
                <w:color w:val="000000"/>
                <w:sz w:val="16"/>
              </w:rPr>
              <w:t>(без синтетично хеджиране)*</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6"/>
              <w:jc w:val="center"/>
              <w:rPr>
                <w:rFonts w:ascii="Arial" w:eastAsia="Arial" w:hAnsi="Arial" w:cs="Arial"/>
                <w:noProof/>
                <w:color w:val="000000"/>
                <w:sz w:val="16"/>
              </w:rPr>
            </w:pPr>
          </w:p>
        </w:tc>
        <w:tc>
          <w:tcPr>
            <w:tcW w:w="1713" w:type="dxa"/>
            <w:tcBorders>
              <w:top w:val="nil"/>
              <w:left w:val="nil"/>
              <w:bottom w:val="nil"/>
              <w:right w:val="nil"/>
              <w:tl2br w:val="nil"/>
              <w:tr2bl w:val="nil"/>
            </w:tcBorders>
            <w:shd w:val="clear" w:color="auto" w:fill="auto"/>
            <w:noWrap/>
            <w:tcMar>
              <w:left w:w="0" w:type="dxa"/>
              <w:right w:w="0" w:type="dxa"/>
            </w:tcMar>
            <w:vAlign w:val="center"/>
          </w:tcPr>
          <w:p>
            <w:pPr>
              <w:pStyle w:val="Normal56"/>
              <w:jc w:val="center"/>
              <w:rPr>
                <w:rFonts w:ascii="Arial" w:eastAsia="Arial" w:hAnsi="Arial" w:cs="Arial"/>
                <w:noProof/>
                <w:color w:val="000000"/>
                <w:sz w:val="16"/>
              </w:rPr>
            </w:pP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56"/>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color w:val="000000"/>
                <w:sz w:val="16"/>
              </w:rPr>
              <w:t>HTG, MUR, MZN, XOF, ZMW, BWP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30 802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183</w:t>
            </w:r>
          </w:p>
        </w:tc>
        <w:tc>
          <w:tcPr>
            <w:tcW w:w="1713"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30 985</w:t>
            </w:r>
          </w:p>
        </w:tc>
        <w:tc>
          <w:tcPr>
            <w:tcW w:w="237" w:type="dxa"/>
            <w:tcBorders>
              <w:top w:val="nil"/>
              <w:left w:val="nil"/>
              <w:bottom w:val="nil"/>
              <w:right w:val="nil"/>
              <w:tl2br w:val="nil"/>
              <w:tr2bl w:val="nil"/>
            </w:tcBorders>
            <w:shd w:val="clear" w:color="FFFFFF" w:fill="FFFFFF"/>
            <w:noWrap/>
            <w:tcMar>
              <w:left w:w="0" w:type="dxa"/>
              <w:right w:w="0" w:type="dxa"/>
            </w:tcMar>
            <w:vAlign w:val="bottom"/>
          </w:tcPr>
          <w:p>
            <w:pPr>
              <w:pStyle w:val="Normal5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pStyle w:val="Normal56"/>
              <w:rPr>
                <w:rFonts w:ascii="Arial" w:eastAsia="Arial" w:hAnsi="Arial" w:cs="Arial"/>
                <w:b/>
                <w:noProof/>
                <w:color w:val="000000"/>
                <w:sz w:val="16"/>
              </w:rPr>
            </w:pPr>
            <w:r>
              <w:rPr>
                <w:rFonts w:ascii="Arial" w:hAnsi="Arial"/>
                <w:b/>
                <w:noProof/>
                <w:color w:val="000000"/>
                <w:sz w:val="16"/>
              </w:rPr>
              <w:t>Общо валути, различни от еврото</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134 673</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14 297</w:t>
            </w:r>
          </w:p>
        </w:tc>
        <w:tc>
          <w:tcPr>
            <w:tcW w:w="1713" w:type="dxa"/>
            <w:tcBorders>
              <w:top w:val="nil"/>
              <w:left w:val="nil"/>
              <w:bottom w:val="nil"/>
              <w:right w:val="nil"/>
              <w:tl2br w:val="nil"/>
              <w:tr2bl w:val="nil"/>
            </w:tcBorders>
            <w:shd w:val="clear" w:color="FFFFFF" w:fill="C0C0C0"/>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148 970</w:t>
            </w: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377 994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62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2 688 497</w:t>
            </w:r>
          </w:p>
        </w:tc>
        <w:tc>
          <w:tcPr>
            <w:tcW w:w="1713"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2 688 497</w:t>
            </w: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b/>
                <w:noProof/>
                <w:color w:val="000000"/>
                <w:sz w:val="16"/>
              </w:rPr>
            </w:pP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1 278 511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625"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rPr>
                <w:rFonts w:ascii="Arial" w:eastAsia="Arial" w:hAnsi="Arial" w:cs="Arial"/>
                <w:b/>
                <w:noProof/>
                <w:color w:val="000000"/>
                <w:sz w:val="16"/>
              </w:rPr>
            </w:pPr>
            <w:r>
              <w:rPr>
                <w:rFonts w:ascii="Arial" w:hAnsi="Arial"/>
                <w:b/>
                <w:noProof/>
                <w:color w:val="000000"/>
                <w:sz w:val="16"/>
              </w:rPr>
              <w:t>Общо евро и други валути</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134 673</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2 702 794</w:t>
            </w:r>
          </w:p>
        </w:tc>
        <w:tc>
          <w:tcPr>
            <w:tcW w:w="1713"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2 837 467</w:t>
            </w:r>
          </w:p>
        </w:tc>
        <w:tc>
          <w:tcPr>
            <w:tcW w:w="237" w:type="dxa"/>
            <w:tcBorders>
              <w:top w:val="nil"/>
              <w:left w:val="nil"/>
              <w:bottom w:val="nil"/>
              <w:right w:val="nil"/>
              <w:tl2br w:val="nil"/>
              <w:tr2bl w:val="nil"/>
            </w:tcBorders>
            <w:shd w:val="clear" w:color="FFFFFF" w:fill="FFFFFF"/>
            <w:noWrap/>
            <w:tcMar>
              <w:left w:w="0" w:type="dxa"/>
              <w:right w:w="0" w:type="dxa"/>
            </w:tcMar>
            <w:vAlign w:val="center"/>
          </w:tcPr>
          <w:p>
            <w:pPr>
              <w:pStyle w:val="Normal56"/>
              <w:jc w:val="center"/>
              <w:rPr>
                <w:rFonts w:ascii="Arial" w:eastAsia="Arial" w:hAnsi="Arial" w:cs="Arial"/>
                <w:noProof/>
                <w:color w:val="000000"/>
                <w:sz w:val="16"/>
              </w:rPr>
            </w:pP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pStyle w:val="Normal56"/>
              <w:jc w:val="center"/>
              <w:rPr>
                <w:rFonts w:ascii="Arial" w:eastAsia="Arial" w:hAnsi="Arial" w:cs="Arial"/>
                <w:b/>
                <w:noProof/>
                <w:color w:val="000000"/>
                <w:sz w:val="16"/>
              </w:rPr>
            </w:pPr>
            <w:r>
              <w:rPr>
                <w:rFonts w:ascii="Arial" w:hAnsi="Arial"/>
                <w:b/>
                <w:noProof/>
                <w:color w:val="000000"/>
                <w:sz w:val="16"/>
              </w:rPr>
              <w:t>1 656 505</w:t>
            </w:r>
          </w:p>
        </w:tc>
      </w:tr>
    </w:tbl>
    <w:p>
      <w:pPr>
        <w:pStyle w:val="Normal57"/>
        <w:rPr>
          <w:noProof/>
        </w:rPr>
      </w:pPr>
    </w:p>
    <w:p>
      <w:pPr>
        <w:pStyle w:val="ListParagraph1"/>
        <w:numPr>
          <w:ilvl w:val="3"/>
          <w:numId w:val="104"/>
        </w:numPr>
        <w:jc w:val="both"/>
        <w:rPr>
          <w:rFonts w:ascii="Arial" w:hAnsi="Arial"/>
          <w:b/>
          <w:noProof/>
          <w:sz w:val="16"/>
          <w:szCs w:val="16"/>
        </w:rPr>
      </w:pPr>
      <w:r>
        <w:rPr>
          <w:rFonts w:ascii="Arial" w:hAnsi="Arial"/>
          <w:b/>
          <w:noProof/>
          <w:sz w:val="16"/>
        </w:rPr>
        <w:t>Анализ на валутната чувствителност</w:t>
      </w:r>
    </w:p>
    <w:p>
      <w:pPr>
        <w:pStyle w:val="Normal57"/>
        <w:jc w:val="both"/>
        <w:rPr>
          <w:rFonts w:ascii="Arial" w:hAnsi="Arial"/>
          <w:noProof/>
          <w:sz w:val="16"/>
          <w:szCs w:val="16"/>
        </w:rPr>
      </w:pPr>
    </w:p>
    <w:p>
      <w:pPr>
        <w:pStyle w:val="Normal57"/>
        <w:spacing w:before="60" w:after="60"/>
        <w:jc w:val="both"/>
        <w:rPr>
          <w:rFonts w:ascii="Arial" w:hAnsi="Arial"/>
          <w:noProof/>
          <w:sz w:val="16"/>
          <w:szCs w:val="16"/>
        </w:rPr>
      </w:pPr>
      <w:r>
        <w:rPr>
          <w:rFonts w:ascii="Arial" w:hAnsi="Arial"/>
          <w:noProof/>
          <w:sz w:val="16"/>
        </w:rPr>
        <w:t>Към 31 декември 2018 г. обезценяване на еврото с 10 % спрямо всички валути би довело до увеличение на вноските на донорите в размер на 8,8 милиона евро (31 декември 2017 г.: 16,6 милиона евро). Поскъпване на еврото с 10 % спрямо всички валути би довело до намаление на вноските на донорите в размер на 7,2 милиона евро (31 декември 2017 г.: 13,6 милиона евро).</w:t>
      </w:r>
    </w:p>
    <w:p>
      <w:pPr>
        <w:pStyle w:val="Normal57"/>
        <w:spacing w:before="60" w:after="60"/>
        <w:jc w:val="both"/>
        <w:rPr>
          <w:noProof/>
        </w:rPr>
      </w:pPr>
      <w:r>
        <w:rPr>
          <w:noProof/>
        </w:rPr>
        <w:t xml:space="preserve"> </w:t>
      </w:r>
    </w:p>
    <w:p>
      <w:pPr>
        <w:rPr>
          <w:noProof/>
        </w:rPr>
      </w:pPr>
      <w:r>
        <w:rPr>
          <w:noProof/>
        </w:rPr>
        <w:br w:type="page"/>
      </w:r>
    </w:p>
    <w:p>
      <w:pPr>
        <w:pStyle w:val="ListParagraph2"/>
        <w:numPr>
          <w:ilvl w:val="3"/>
          <w:numId w:val="105"/>
        </w:numPr>
        <w:jc w:val="both"/>
        <w:rPr>
          <w:rFonts w:ascii="Arial" w:hAnsi="Arial"/>
          <w:b/>
          <w:noProof/>
          <w:sz w:val="16"/>
          <w:szCs w:val="16"/>
        </w:rPr>
      </w:pPr>
      <w:r>
        <w:rPr>
          <w:rFonts w:ascii="Arial" w:hAnsi="Arial"/>
          <w:b/>
          <w:noProof/>
          <w:sz w:val="16"/>
        </w:rPr>
        <w:t>Обменни курсове</w:t>
      </w:r>
    </w:p>
    <w:p>
      <w:pPr>
        <w:pStyle w:val="ListParagraph2"/>
        <w:ind w:left="794"/>
        <w:jc w:val="both"/>
        <w:rPr>
          <w:rFonts w:ascii="Arial" w:hAnsi="Arial"/>
          <w:noProof/>
          <w:sz w:val="16"/>
          <w:szCs w:val="16"/>
        </w:rPr>
      </w:pPr>
    </w:p>
    <w:p>
      <w:pPr>
        <w:pStyle w:val="Normal58"/>
        <w:jc w:val="both"/>
        <w:rPr>
          <w:rFonts w:ascii="Arial" w:hAnsi="Arial"/>
          <w:noProof/>
          <w:sz w:val="16"/>
          <w:szCs w:val="16"/>
        </w:rPr>
      </w:pPr>
      <w:r>
        <w:rPr>
          <w:rFonts w:ascii="Arial" w:hAnsi="Arial"/>
          <w:noProof/>
          <w:sz w:val="16"/>
        </w:rPr>
        <w:t>Следните обменни курсове са използвани за изготвяне на счетоводния баланс към 31 декември 2018 г. и 31 декември 2017 г.:</w:t>
      </w:r>
    </w:p>
    <w:p>
      <w:pPr>
        <w:pStyle w:val="Normal58"/>
        <w:jc w:val="both"/>
        <w:rPr>
          <w:rFonts w:ascii="Arial" w:hAnsi="Arial"/>
          <w:noProof/>
          <w:sz w:val="16"/>
          <w:szCs w:val="16"/>
        </w:rPr>
      </w:pPr>
      <w:r>
        <w:rPr>
          <w:noProof/>
        </w:rPr>
        <w:t xml:space="preserve"> </w:t>
      </w:r>
    </w:p>
    <w:tbl>
      <w:tblPr>
        <w:tblStyle w:val="CDMRange210"/>
        <w:tblW w:w="7575" w:type="dxa"/>
        <w:tblLayout w:type="fixed"/>
        <w:tblLook w:val="0600" w:firstRow="0" w:lastRow="0" w:firstColumn="0" w:lastColumn="0" w:noHBand="1" w:noVBand="1"/>
      </w:tblPr>
      <w:tblGrid>
        <w:gridCol w:w="4125"/>
        <w:gridCol w:w="1725"/>
        <w:gridCol w:w="1725"/>
      </w:tblGrid>
      <w:tr>
        <w:trPr>
          <w:trHeight w:val="540"/>
        </w:trPr>
        <w:tc>
          <w:tcPr>
            <w:tcW w:w="41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59"/>
              <w:jc w:val="right"/>
              <w:rPr>
                <w:rFonts w:ascii="Arial" w:eastAsia="Arial" w:hAnsi="Arial" w:cs="Arial"/>
                <w:b/>
                <w:noProof/>
                <w:color w:val="000000"/>
                <w:sz w:val="16"/>
              </w:rPr>
            </w:pPr>
          </w:p>
        </w:tc>
        <w:tc>
          <w:tcPr>
            <w:tcW w:w="17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9"/>
              <w:jc w:val="right"/>
              <w:rPr>
                <w:rFonts w:ascii="Arial" w:eastAsia="Arial" w:hAnsi="Arial" w:cs="Arial"/>
                <w:b/>
                <w:noProof/>
                <w:color w:val="000000"/>
                <w:sz w:val="16"/>
              </w:rPr>
            </w:pPr>
            <w:r>
              <w:rPr>
                <w:rFonts w:ascii="Arial" w:hAnsi="Arial"/>
                <w:b/>
                <w:noProof/>
                <w:color w:val="000000"/>
                <w:sz w:val="16"/>
              </w:rPr>
              <w:t>31 декември 2018 г.</w:t>
            </w:r>
          </w:p>
        </w:tc>
        <w:tc>
          <w:tcPr>
            <w:tcW w:w="17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59"/>
              <w:jc w:val="right"/>
              <w:rPr>
                <w:rFonts w:ascii="Arial" w:eastAsia="Arial" w:hAnsi="Arial" w:cs="Arial"/>
                <w:b/>
                <w:noProof/>
                <w:color w:val="000000"/>
                <w:sz w:val="16"/>
              </w:rPr>
            </w:pPr>
            <w:r>
              <w:rPr>
                <w:rFonts w:ascii="Arial" w:hAnsi="Arial"/>
                <w:b/>
                <w:noProof/>
                <w:color w:val="000000"/>
                <w:sz w:val="16"/>
              </w:rPr>
              <w:t>31 декември 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1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9"/>
              <w:rPr>
                <w:rFonts w:ascii="Arial" w:eastAsia="Arial" w:hAnsi="Arial" w:cs="Arial"/>
                <w:b/>
                <w:noProof/>
                <w:color w:val="000000"/>
                <w:sz w:val="16"/>
              </w:rPr>
            </w:pPr>
            <w:r>
              <w:rPr>
                <w:rFonts w:ascii="Arial" w:hAnsi="Arial"/>
                <w:b/>
                <w:noProof/>
                <w:color w:val="000000"/>
                <w:sz w:val="16"/>
              </w:rPr>
              <w:t>Валути, различни от тези на държавите членки</w:t>
            </w:r>
          </w:p>
        </w:tc>
        <w:tc>
          <w:tcPr>
            <w:tcW w:w="17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9"/>
              <w:jc w:val="right"/>
              <w:rPr>
                <w:rFonts w:ascii="Arial" w:eastAsia="Arial" w:hAnsi="Arial" w:cs="Arial"/>
                <w:b/>
                <w:noProof/>
                <w:color w:val="000000"/>
                <w:sz w:val="16"/>
              </w:rPr>
            </w:pPr>
          </w:p>
        </w:tc>
        <w:tc>
          <w:tcPr>
            <w:tcW w:w="17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5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Ботсванска пула (BWP)</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12,2038</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11,7512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Доминиканско песо (DOP)</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57,4037</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57,1465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Фиджийски долар (FJD)</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2,4104</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2,4186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Хаитянски гурд (HTG)</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86,92</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75,69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Ямайски долар (JMD)</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144,081</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148,7032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Кенийски шилинг (KES)</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116,24</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123,7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Мавританска угия (MRO)*</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422,36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Мавританска угия (MRU)*</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41,166</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Маврицийска рупия (MUR)</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39,05</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40,07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Мозамбикски метикал (MZN)</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70,14</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70,09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Нигерийска найра (NGN)</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351,05</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367,44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Руандски франк (RWF)</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1020,1</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1003,37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Танзанийски шилинг (TZS)</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2624,33</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2681,78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Угандски шилинг (UGX)</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4239</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4357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Щатски долар (USD)</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1,145</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1,1993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CFA франк (XAF/XOF)</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655,957</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655,957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125" w:type="dxa"/>
            <w:tcBorders>
              <w:top w:val="nil"/>
              <w:left w:val="nil"/>
              <w:bottom w:val="nil"/>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Южноафрикански ранд (ZAR)</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16,4594</w:t>
            </w:r>
          </w:p>
        </w:tc>
        <w:tc>
          <w:tcPr>
            <w:tcW w:w="1725" w:type="dxa"/>
            <w:tcBorders>
              <w:top w:val="nil"/>
              <w:left w:val="nil"/>
              <w:bottom w:val="nil"/>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14,8054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12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Замбийска квача (ZMW)</w:t>
            </w:r>
          </w:p>
        </w:tc>
        <w:tc>
          <w:tcPr>
            <w:tcW w:w="17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13,6077</w:t>
            </w:r>
          </w:p>
        </w:tc>
        <w:tc>
          <w:tcPr>
            <w:tcW w:w="172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59"/>
              <w:jc w:val="right"/>
              <w:rPr>
                <w:rFonts w:ascii="Arial" w:eastAsia="Arial" w:hAnsi="Arial" w:cs="Arial"/>
                <w:noProof/>
                <w:color w:val="000000"/>
                <w:sz w:val="16"/>
              </w:rPr>
            </w:pPr>
            <w:r>
              <w:rPr>
                <w:rFonts w:ascii="Arial" w:hAnsi="Arial"/>
                <w:noProof/>
                <w:color w:val="000000"/>
                <w:sz w:val="16"/>
              </w:rPr>
              <w:t>11,965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trPr>
        <w:tc>
          <w:tcPr>
            <w:tcW w:w="7575" w:type="dxa"/>
            <w:gridSpan w:val="3"/>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59"/>
              <w:rPr>
                <w:rFonts w:ascii="Arial" w:eastAsia="Arial" w:hAnsi="Arial" w:cs="Arial"/>
                <w:noProof/>
                <w:color w:val="000000"/>
                <w:sz w:val="16"/>
              </w:rPr>
            </w:pPr>
            <w:r>
              <w:rPr>
                <w:rFonts w:ascii="Arial" w:hAnsi="Arial"/>
                <w:noProof/>
                <w:color w:val="000000"/>
                <w:sz w:val="16"/>
              </w:rPr>
              <w:t>(*) MRU беше въведена от 1 януари 2018 г., като замени старата MRO с курс от 1 MRU = 10 MRO.</w:t>
            </w:r>
          </w:p>
        </w:tc>
      </w:tr>
    </w:tbl>
    <w:p>
      <w:pPr>
        <w:pStyle w:val="Normal53"/>
        <w:numPr>
          <w:ilvl w:val="2"/>
          <w:numId w:val="99"/>
        </w:numPr>
        <w:suppressAutoHyphens w:val="0"/>
        <w:spacing w:before="60" w:after="60"/>
        <w:jc w:val="both"/>
        <w:rPr>
          <w:noProof/>
          <w:sz w:val="16"/>
          <w:szCs w:val="16"/>
        </w:rPr>
      </w:pPr>
      <w:r>
        <w:rPr>
          <w:rFonts w:ascii="Arial" w:hAnsi="Arial"/>
          <w:b/>
          <w:noProof/>
          <w:sz w:val="16"/>
        </w:rPr>
        <w:t>Ценови риск на собствения капитал</w:t>
      </w:r>
    </w:p>
    <w:p>
      <w:pPr>
        <w:pStyle w:val="Notes23"/>
        <w:numPr>
          <w:ilvl w:val="0"/>
          <w:numId w:val="0"/>
        </w:numPr>
        <w:tabs>
          <w:tab w:val="clear" w:pos="4320"/>
          <w:tab w:val="clear" w:pos="8640"/>
          <w:tab w:val="right" w:pos="-2700"/>
        </w:tabs>
        <w:spacing w:before="60" w:after="60"/>
        <w:ind w:left="432"/>
        <w:rPr>
          <w:b w:val="0"/>
          <w:noProof/>
          <w:sz w:val="16"/>
          <w:szCs w:val="16"/>
        </w:rPr>
      </w:pPr>
    </w:p>
    <w:p>
      <w:pPr>
        <w:pStyle w:val="Normal600"/>
        <w:spacing w:before="60" w:after="60"/>
        <w:jc w:val="both"/>
        <w:rPr>
          <w:rFonts w:ascii="Arial" w:hAnsi="Arial"/>
          <w:noProof/>
          <w:sz w:val="16"/>
          <w:szCs w:val="16"/>
        </w:rPr>
      </w:pPr>
      <w:r>
        <w:rPr>
          <w:rFonts w:ascii="Arial" w:hAnsi="Arial"/>
          <w:noProof/>
          <w:sz w:val="16"/>
        </w:rPr>
        <w:t>Ценовият риск на собствения капитал е рискът справедливата стойност на капиталовите инвестиции да намалее в резултат на промени в нивата на цените на акциите и/или стойността на капиталовите инвестиции.</w:t>
      </w:r>
    </w:p>
    <w:p>
      <w:pPr>
        <w:pStyle w:val="Normal600"/>
        <w:spacing w:before="60" w:after="60"/>
        <w:jc w:val="both"/>
        <w:rPr>
          <w:rFonts w:ascii="Arial" w:hAnsi="Arial"/>
          <w:noProof/>
          <w:sz w:val="16"/>
          <w:szCs w:val="16"/>
        </w:rPr>
      </w:pPr>
    </w:p>
    <w:p>
      <w:pPr>
        <w:pStyle w:val="Normal600"/>
        <w:spacing w:before="60" w:after="60"/>
        <w:jc w:val="both"/>
        <w:rPr>
          <w:rFonts w:ascii="Arial" w:hAnsi="Arial"/>
          <w:noProof/>
          <w:sz w:val="16"/>
          <w:szCs w:val="16"/>
        </w:rPr>
      </w:pPr>
      <w:r>
        <w:rPr>
          <w:rFonts w:ascii="Arial" w:hAnsi="Arial"/>
          <w:noProof/>
          <w:sz w:val="16"/>
        </w:rPr>
        <w:t>Механизмът е изложен на ценови риск на собствения капитал по отношение на своите инвестиции в преки дялови участия и фондове за рисков капитал.</w:t>
      </w:r>
    </w:p>
    <w:p>
      <w:pPr>
        <w:pStyle w:val="Normal600"/>
        <w:spacing w:before="60" w:after="60"/>
        <w:jc w:val="both"/>
        <w:rPr>
          <w:rFonts w:ascii="Arial" w:hAnsi="Arial"/>
          <w:noProof/>
          <w:sz w:val="16"/>
          <w:szCs w:val="16"/>
        </w:rPr>
      </w:pPr>
    </w:p>
    <w:p>
      <w:pPr>
        <w:pStyle w:val="Normal600"/>
        <w:spacing w:before="60" w:after="60"/>
        <w:jc w:val="both"/>
        <w:rPr>
          <w:rFonts w:ascii="Arial" w:hAnsi="Arial"/>
          <w:noProof/>
          <w:sz w:val="16"/>
          <w:szCs w:val="16"/>
        </w:rPr>
      </w:pPr>
      <w:r>
        <w:rPr>
          <w:rFonts w:ascii="Arial" w:hAnsi="Arial"/>
          <w:noProof/>
          <w:sz w:val="16"/>
        </w:rPr>
        <w:t>Стойността на некотираните капиталови позиции не е непосредствено и постоянно достъпна за целите на наблюдението и контрола. За тези позиции най-добрите налични данни включват цените, определени въз основа на всички съответни методи за остойностяване.</w:t>
      </w:r>
    </w:p>
    <w:p>
      <w:pPr>
        <w:pStyle w:val="Normal600"/>
        <w:spacing w:before="60" w:after="60"/>
        <w:jc w:val="both"/>
        <w:rPr>
          <w:rFonts w:ascii="Arial" w:hAnsi="Arial"/>
          <w:noProof/>
          <w:sz w:val="16"/>
          <w:szCs w:val="16"/>
        </w:rPr>
      </w:pPr>
    </w:p>
    <w:p>
      <w:pPr>
        <w:pStyle w:val="Normal600"/>
        <w:spacing w:before="60" w:after="60"/>
        <w:jc w:val="both"/>
        <w:rPr>
          <w:rFonts w:ascii="Arial" w:hAnsi="Arial"/>
          <w:noProof/>
          <w:sz w:val="16"/>
          <w:szCs w:val="16"/>
        </w:rPr>
      </w:pPr>
      <w:r>
        <w:rPr>
          <w:rFonts w:ascii="Arial" w:hAnsi="Arial"/>
          <w:noProof/>
          <w:sz w:val="16"/>
        </w:rPr>
        <w:t>Въздействието върху ресурсите на вносителите на механизма (като резултат от промяна в справедливата стойност на портфейла с капиталови инструменти), дължащо се на промяна с +/10 % на стойността на отделните преки капиталови и рискови капиталови инвестиции при постоянни други променливи, е 56,7 милиона евро, съответно -56,7 милиона евро, към 31 декември 2018 г. (49,8 милиона евро, съответно -49,8 милиона евро, към 31 декември 2017 г.).</w:t>
      </w:r>
    </w:p>
    <w:p>
      <w:pPr>
        <w:pStyle w:val="Normal600"/>
        <w:spacing w:before="60" w:after="60"/>
        <w:jc w:val="both"/>
        <w:rPr>
          <w:rFonts w:ascii="Arial" w:hAnsi="Arial"/>
          <w:noProof/>
          <w:sz w:val="16"/>
          <w:szCs w:val="16"/>
        </w:rPr>
        <w:sectPr>
          <w:headerReference w:type="even" r:id="rId511"/>
          <w:headerReference w:type="default" r:id="rId512"/>
          <w:footerReference w:type="even" r:id="rId513"/>
          <w:footerReference w:type="default" r:id="rId514"/>
          <w:headerReference w:type="first" r:id="rId515"/>
          <w:footerReference w:type="first" r:id="rId516"/>
          <w:pgSz w:w="12240" w:h="15840"/>
          <w:pgMar w:top="765" w:right="1134" w:bottom="765" w:left="1134" w:header="709" w:footer="709" w:gutter="0"/>
          <w:cols w:space="720"/>
          <w:docGrid w:linePitch="360"/>
        </w:sectPr>
      </w:pPr>
      <w:r>
        <w:rPr>
          <w:noProof/>
        </w:rPr>
        <w:t xml:space="preserve"> </w:t>
      </w:r>
    </w:p>
    <w:p>
      <w:pPr>
        <w:pStyle w:val="Notes"/>
        <w:numPr>
          <w:ilvl w:val="0"/>
          <w:numId w:val="99"/>
        </w:numPr>
        <w:pBdr>
          <w:top w:val="nil"/>
          <w:left w:val="nil"/>
          <w:bottom w:val="nil"/>
          <w:right w:val="nil"/>
          <w:between w:val="nil"/>
          <w:bar w:val="nil"/>
        </w:pBdr>
        <w:spacing w:before="0" w:after="60"/>
        <w:ind w:left="431" w:hanging="431"/>
        <w:rPr>
          <w:noProof/>
          <w:bdr w:val="nil"/>
        </w:rPr>
      </w:pPr>
      <w:r>
        <w:rPr>
          <w:noProof/>
        </w:rPr>
        <w:t>Справедливи стойности на финансовите инструменти</w:t>
      </w:r>
    </w:p>
    <w:p>
      <w:pPr>
        <w:pStyle w:val="Title115"/>
        <w:numPr>
          <w:ilvl w:val="1"/>
          <w:numId w:val="109"/>
        </w:numPr>
        <w:rPr>
          <w:b/>
          <w:noProof/>
          <w:sz w:val="16"/>
          <w:szCs w:val="16"/>
          <w:bdr w:val="nil"/>
        </w:rPr>
      </w:pPr>
      <w:r>
        <w:rPr>
          <w:b/>
          <w:noProof/>
          <w:sz w:val="16"/>
          <w:bdr w:val="nil"/>
        </w:rPr>
        <w:t>Счетоводни класификации и справедливи стойности</w:t>
      </w:r>
    </w:p>
    <w:p>
      <w:pPr>
        <w:pStyle w:val="Notes"/>
        <w:numPr>
          <w:ilvl w:val="0"/>
          <w:numId w:val="0"/>
        </w:numPr>
        <w:pBdr>
          <w:top w:val="nil"/>
          <w:left w:val="nil"/>
          <w:bottom w:val="nil"/>
          <w:right w:val="nil"/>
          <w:between w:val="nil"/>
          <w:bar w:val="nil"/>
        </w:pBdr>
        <w:tabs>
          <w:tab w:val="clear" w:pos="4320"/>
          <w:tab w:val="clear" w:pos="8640"/>
          <w:tab w:val="right" w:pos="-2700"/>
        </w:tabs>
        <w:spacing w:before="60" w:after="60"/>
        <w:rPr>
          <w:b w:val="0"/>
          <w:noProof/>
          <w:sz w:val="16"/>
          <w:szCs w:val="16"/>
          <w:bdr w:val="nil"/>
        </w:rPr>
      </w:pPr>
      <w:r>
        <w:rPr>
          <w:b w:val="0"/>
          <w:noProof/>
          <w:sz w:val="16"/>
          <w:bdr w:val="nil"/>
        </w:rPr>
        <w:t>Следната таблица показва балансовите стойности и справедливите стойности на финансовите активи и пасиви, включително техните нива в йерархията на справедливите стойности. Това не включва информация за справедливата стойност на финансовите активи и пасиви, които не са отчетени по справедлива стойност, ако балансовата стойност е разумно приближение на справедливата стойност.</w:t>
      </w:r>
    </w:p>
    <w:tbl>
      <w:tblPr>
        <w:tblStyle w:val="CDMRange111"/>
        <w:tblW w:w="13740" w:type="dxa"/>
        <w:tblLayout w:type="fixed"/>
        <w:tblLook w:val="0600" w:firstRow="0" w:lastRow="0" w:firstColumn="0" w:lastColumn="0" w:noHBand="1" w:noVBand="1"/>
      </w:tblPr>
      <w:tblGrid>
        <w:gridCol w:w="3660"/>
        <w:gridCol w:w="975"/>
        <w:gridCol w:w="1050"/>
        <w:gridCol w:w="1140"/>
        <w:gridCol w:w="975"/>
        <w:gridCol w:w="1050"/>
        <w:gridCol w:w="1140"/>
        <w:gridCol w:w="150"/>
        <w:gridCol w:w="900"/>
        <w:gridCol w:w="900"/>
        <w:gridCol w:w="900"/>
        <w:gridCol w:w="900"/>
      </w:tblGrid>
      <w:tr>
        <w:trPr>
          <w:trHeight w:val="270"/>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noProof/>
              </w:rPr>
              <w:t xml:space="preserve"> </w:t>
            </w:r>
            <w:r>
              <w:rPr>
                <w:rFonts w:ascii="Arial" w:hAnsi="Arial"/>
                <w:b/>
                <w:noProof/>
                <w:color w:val="000000"/>
                <w:sz w:val="16"/>
              </w:rPr>
              <w:t>Към 31 декември 2018 г.</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center"/>
              <w:rPr>
                <w:rFonts w:ascii="Arial" w:eastAsia="Arial" w:hAnsi="Arial" w:cs="Arial"/>
                <w:b/>
                <w:noProof/>
                <w:color w:val="000000"/>
                <w:sz w:val="16"/>
              </w:rPr>
            </w:pPr>
            <w:r>
              <w:rPr>
                <w:rFonts w:ascii="Arial" w:hAnsi="Arial"/>
                <w:b/>
                <w:noProof/>
                <w:color w:val="000000"/>
                <w:sz w:val="16"/>
              </w:rPr>
              <w:t>Балансова стойност</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center"/>
              <w:rPr>
                <w:rFonts w:ascii="Arial" w:eastAsia="Arial" w:hAnsi="Arial" w:cs="Arial"/>
                <w:b/>
                <w:noProof/>
                <w:color w:val="000000"/>
                <w:sz w:val="16"/>
              </w:rPr>
            </w:pPr>
          </w:p>
        </w:tc>
        <w:tc>
          <w:tcPr>
            <w:tcW w:w="360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center"/>
              <w:rPr>
                <w:rFonts w:ascii="Arial" w:eastAsia="Arial" w:hAnsi="Arial" w:cs="Arial"/>
                <w:b/>
                <w:noProof/>
                <w:color w:val="000000"/>
                <w:sz w:val="16"/>
              </w:rPr>
            </w:pPr>
            <w:r>
              <w:rPr>
                <w:rFonts w:ascii="Arial" w:hAnsi="Arial"/>
                <w:b/>
                <w:noProof/>
                <w:color w:val="000000"/>
                <w:sz w:val="16"/>
              </w:rPr>
              <w:t>Справедлива стойност</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color w:val="000000"/>
                <w:sz w:val="16"/>
              </w:rPr>
              <w:t>хиляди евро</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Държани за търгуване</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Акции и други ценни книжа с променлива доходност</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Пари, заеми и аванси</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Касови финансови активи</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Други финансови пасиви</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Общо</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Ниво 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Ниво 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Ниво 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1"/>
              <w:rPr>
                <w:rFonts w:ascii="Arial" w:eastAsia="Arial" w:hAnsi="Arial" w:cs="Arial"/>
                <w:b/>
                <w:noProof/>
                <w:color w:val="000000"/>
                <w:sz w:val="16"/>
              </w:rPr>
            </w:pPr>
            <w:r>
              <w:rPr>
                <w:rFonts w:ascii="Arial" w:hAnsi="Arial"/>
                <w:b/>
                <w:noProof/>
                <w:color w:val="000000"/>
                <w:sz w:val="16"/>
              </w:rPr>
              <w:t>Финансови активи, задължително оценени по FVTPL</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pPr>
              <w:pStyle w:val="Normal61"/>
              <w:rPr>
                <w:rFonts w:ascii="Arial" w:eastAsia="Arial" w:hAnsi="Arial" w:cs="Arial"/>
                <w:noProof/>
                <w:color w:val="000000"/>
                <w:sz w:val="16"/>
              </w:rPr>
            </w:pPr>
            <w:r>
              <w:rPr>
                <w:rFonts w:ascii="Arial" w:hAnsi="Arial"/>
                <w:noProof/>
                <w:color w:val="000000"/>
                <w:sz w:val="16"/>
              </w:rPr>
              <w:t xml:space="preserve">Дериватни финансови инструменти </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9 873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9 873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9 873</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9 873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color w:val="000000"/>
                <w:sz w:val="16"/>
              </w:rPr>
              <w:t xml:space="preserve">Фонд за рисков капитал </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467 152</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467 152</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467 152</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467 152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color w:val="000000"/>
                <w:sz w:val="16"/>
              </w:rPr>
              <w:t>Преки капиталови инвестиции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100 140</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100 140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16 675</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83 465</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100 140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color w:val="000000"/>
                <w:sz w:val="16"/>
              </w:rPr>
              <w:t>Заеми и аванси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720</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720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720</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9 873</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567 292</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720</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577 885</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16 675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10 593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550 617</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577 885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color w:val="000000"/>
                <w:sz w:val="16"/>
              </w:rPr>
              <w:t>Финансови активи по АС</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color w:val="000000"/>
                <w:sz w:val="16"/>
              </w:rPr>
              <w:t>Пари и парични еквиваленти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573 708</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573 708</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color w:val="000000"/>
                <w:sz w:val="16"/>
              </w:rPr>
              <w:t>Заеми и аванси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1 540 271</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1 540 271</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1 760 576</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1 760 576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color w:val="000000"/>
                <w:sz w:val="16"/>
              </w:rPr>
              <w:t>Вземания от вносителите</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100 000</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100 000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color w:val="000000"/>
                <w:sz w:val="16"/>
              </w:rPr>
              <w:t>Касови финансови активи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335 140</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335 140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191 475</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145 061</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336 536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color w:val="000000"/>
                <w:sz w:val="16"/>
              </w:rPr>
              <w:t>Други активи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171</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171</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2 214 150</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335 140</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2 549 290</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191 475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1 905 637</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2 097 112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color w:val="000000"/>
                <w:sz w:val="16"/>
              </w:rPr>
              <w:t>Общо финансови активи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9 873</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567 292</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2 214 870</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335 140</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3 127 175</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61"/>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6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1"/>
              <w:rPr>
                <w:rFonts w:ascii="Arial" w:eastAsia="Arial" w:hAnsi="Arial" w:cs="Arial"/>
                <w:b/>
                <w:noProof/>
                <w:color w:val="000000"/>
                <w:sz w:val="16"/>
              </w:rPr>
            </w:pPr>
            <w:r>
              <w:rPr>
                <w:rFonts w:ascii="Arial" w:hAnsi="Arial"/>
                <w:b/>
                <w:noProof/>
                <w:color w:val="000000"/>
                <w:sz w:val="16"/>
              </w:rPr>
              <w:t>Финансови пасиви, задължително оценени по FVTPL</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noProof/>
                <w:color w:val="000000"/>
                <w:sz w:val="16"/>
              </w:rPr>
            </w:pPr>
            <w:r>
              <w:rPr>
                <w:rFonts w:ascii="Arial" w:hAnsi="Arial"/>
                <w:noProof/>
                <w:color w:val="000000"/>
                <w:sz w:val="16"/>
              </w:rPr>
              <w:t>Дериватни финансови инструменти</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-8 493</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-8 493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-8 493</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-8 493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-8 493</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-8 493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-8 493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-8 493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color w:val="000000"/>
                <w:sz w:val="16"/>
              </w:rPr>
              <w:t>Финансови пасиви по АС:</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color w:val="000000"/>
                <w:sz w:val="16"/>
              </w:rPr>
              <w:t>Провизии за издадени гаранции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-793</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-793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color w:val="000000"/>
                <w:sz w:val="16"/>
              </w:rPr>
              <w:t>Провизии за кредитни ангажименти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-23 822</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-23 822</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color w:val="000000"/>
                <w:sz w:val="16"/>
              </w:rPr>
              <w:t>Дължими суми на трети страни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-143 813</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-143 813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1"/>
              <w:rPr>
                <w:rFonts w:ascii="Arial" w:eastAsia="Arial" w:hAnsi="Arial" w:cs="Arial"/>
                <w:noProof/>
                <w:color w:val="000000"/>
                <w:sz w:val="16"/>
              </w:rPr>
            </w:pPr>
            <w:r>
              <w:rPr>
                <w:rFonts w:ascii="Arial" w:hAnsi="Arial"/>
                <w:noProof/>
                <w:color w:val="000000"/>
                <w:sz w:val="16"/>
              </w:rPr>
              <w:t>Други пасиви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-2 493</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1"/>
              <w:jc w:val="right"/>
              <w:rPr>
                <w:rFonts w:ascii="Arial" w:eastAsia="Arial" w:hAnsi="Arial" w:cs="Arial"/>
                <w:noProof/>
                <w:color w:val="000000"/>
                <w:sz w:val="16"/>
              </w:rPr>
            </w:pPr>
            <w:r>
              <w:rPr>
                <w:rFonts w:ascii="Arial" w:hAnsi="Arial"/>
                <w:noProof/>
                <w:color w:val="000000"/>
                <w:sz w:val="16"/>
              </w:rPr>
              <w:t>-2 493</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-170 921</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-170 921</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pStyle w:val="Normal61"/>
              <w:rPr>
                <w:rFonts w:ascii="Arial" w:eastAsia="Arial" w:hAnsi="Arial" w:cs="Arial"/>
                <w:b/>
                <w:noProof/>
                <w:color w:val="000000"/>
                <w:sz w:val="16"/>
              </w:rPr>
            </w:pPr>
            <w:r>
              <w:rPr>
                <w:rFonts w:ascii="Arial" w:hAnsi="Arial"/>
                <w:b/>
                <w:noProof/>
                <w:color w:val="000000"/>
                <w:sz w:val="16"/>
              </w:rPr>
              <w:t>Общо финансови пасиви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-8 493</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-170 921</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1"/>
              <w:jc w:val="right"/>
              <w:rPr>
                <w:rFonts w:ascii="Arial" w:eastAsia="Arial" w:hAnsi="Arial" w:cs="Arial"/>
                <w:b/>
                <w:noProof/>
                <w:color w:val="000000"/>
                <w:sz w:val="16"/>
              </w:rPr>
            </w:pPr>
            <w:r>
              <w:rPr>
                <w:rFonts w:ascii="Arial" w:hAnsi="Arial"/>
                <w:b/>
                <w:noProof/>
                <w:color w:val="000000"/>
                <w:sz w:val="16"/>
              </w:rPr>
              <w:t>-179 414</w:t>
            </w:r>
          </w:p>
        </w:tc>
        <w:tc>
          <w:tcPr>
            <w:tcW w:w="150" w:type="dxa"/>
            <w:tcBorders>
              <w:top w:val="nil"/>
              <w:left w:val="nil"/>
              <w:bottom w:val="nil"/>
              <w:right w:val="nil"/>
              <w:tl2br w:val="nil"/>
              <w:tr2bl w:val="nil"/>
            </w:tcBorders>
            <w:shd w:val="clear" w:color="auto" w:fill="auto"/>
            <w:tcMar>
              <w:left w:w="0" w:type="dxa"/>
              <w:right w:w="0" w:type="dxa"/>
            </w:tcMar>
            <w:vAlign w:val="center"/>
          </w:tcPr>
          <w:p>
            <w:pPr>
              <w:pStyle w:val="Normal61"/>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0" w:type="dxa"/>
              <w:right w:w="0" w:type="dxa"/>
            </w:tcMar>
            <w:vAlign w:val="bottom"/>
          </w:tcPr>
          <w:p>
            <w:pPr>
              <w:pStyle w:val="Normal61"/>
              <w:rPr>
                <w:rFonts w:ascii="Arial" w:eastAsia="Arial" w:hAnsi="Arial" w:cs="Arial"/>
                <w:noProof/>
                <w:color w:val="000000"/>
                <w:sz w:val="20"/>
              </w:rPr>
            </w:pP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rPr>
        <w:t>4</w:t>
      </w:r>
      <w:r>
        <w:rPr>
          <w:noProof/>
        </w:rPr>
        <w:tab/>
        <w:t>Справедливи стойности на финансовите инструменти (продължение)</w:t>
      </w:r>
    </w:p>
    <w:p>
      <w:pPr>
        <w:pStyle w:val="Title11"/>
        <w:numPr>
          <w:ilvl w:val="0"/>
          <w:numId w:val="0"/>
        </w:numPr>
        <w:pBdr>
          <w:top w:val="nil"/>
          <w:left w:val="nil"/>
          <w:bottom w:val="nil"/>
          <w:right w:val="nil"/>
          <w:between w:val="nil"/>
          <w:bar w:val="nil"/>
        </w:pBdr>
        <w:ind w:left="431"/>
        <w:rPr>
          <w:noProof/>
          <w:sz w:val="16"/>
          <w:szCs w:val="16"/>
          <w:bdr w:val="nil"/>
        </w:rPr>
      </w:pPr>
    </w:p>
    <w:p>
      <w:pPr>
        <w:pStyle w:val="Title115"/>
        <w:numPr>
          <w:ilvl w:val="1"/>
          <w:numId w:val="110"/>
        </w:numPr>
        <w:rPr>
          <w:b/>
          <w:noProof/>
          <w:sz w:val="16"/>
          <w:szCs w:val="16"/>
          <w:bdr w:val="nil"/>
        </w:rPr>
      </w:pPr>
      <w:r>
        <w:rPr>
          <w:b/>
          <w:noProof/>
          <w:sz w:val="16"/>
          <w:bdr w:val="nil"/>
        </w:rPr>
        <w:t>Счетоводна класификация и справедливи стойности (продължение)</w:t>
      </w:r>
    </w:p>
    <w:p>
      <w:pPr>
        <w:pStyle w:val="Title11"/>
        <w:numPr>
          <w:ilvl w:val="0"/>
          <w:numId w:val="0"/>
        </w:numPr>
        <w:pBdr>
          <w:top w:val="nil"/>
          <w:left w:val="nil"/>
          <w:bottom w:val="nil"/>
          <w:right w:val="nil"/>
          <w:between w:val="nil"/>
          <w:bar w:val="nil"/>
        </w:pBdr>
        <w:ind w:left="431"/>
        <w:rPr>
          <w:noProof/>
          <w:sz w:val="16"/>
          <w:szCs w:val="16"/>
          <w:bdr w:val="nil"/>
        </w:rPr>
      </w:pPr>
      <w:r>
        <w:rPr>
          <w:noProof/>
        </w:rPr>
        <w:t xml:space="preserve"> </w:t>
      </w:r>
    </w:p>
    <w:tbl>
      <w:tblPr>
        <w:tblStyle w:val="CDMRange211"/>
        <w:tblW w:w="13750" w:type="dxa"/>
        <w:tblLayout w:type="fixed"/>
        <w:tblLook w:val="0600" w:firstRow="0" w:lastRow="0" w:firstColumn="0" w:lastColumn="0" w:noHBand="1" w:noVBand="1"/>
      </w:tblPr>
      <w:tblGrid>
        <w:gridCol w:w="3660"/>
        <w:gridCol w:w="975"/>
        <w:gridCol w:w="1050"/>
        <w:gridCol w:w="1140"/>
        <w:gridCol w:w="975"/>
        <w:gridCol w:w="1050"/>
        <w:gridCol w:w="1140"/>
        <w:gridCol w:w="240"/>
        <w:gridCol w:w="969"/>
        <w:gridCol w:w="850"/>
        <w:gridCol w:w="709"/>
        <w:gridCol w:w="992"/>
      </w:tblGrid>
      <w:tr>
        <w:trPr>
          <w:trHeight w:val="270"/>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color w:val="000000"/>
                <w:sz w:val="16"/>
              </w:rPr>
              <w:t>Към 31 декември 2017 г.</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center"/>
              <w:rPr>
                <w:rFonts w:ascii="Arial" w:eastAsia="Arial" w:hAnsi="Arial" w:cs="Arial"/>
                <w:b/>
                <w:noProof/>
                <w:color w:val="000000"/>
                <w:sz w:val="16"/>
              </w:rPr>
            </w:pPr>
            <w:r>
              <w:rPr>
                <w:rFonts w:ascii="Arial" w:hAnsi="Arial"/>
                <w:b/>
                <w:noProof/>
                <w:color w:val="000000"/>
                <w:sz w:val="16"/>
              </w:rPr>
              <w:t>Балансова стойност</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center"/>
              <w:rPr>
                <w:rFonts w:ascii="Arial" w:eastAsia="Arial" w:hAnsi="Arial" w:cs="Arial"/>
                <w:b/>
                <w:noProof/>
                <w:color w:val="000000"/>
                <w:sz w:val="16"/>
              </w:rPr>
            </w:pPr>
          </w:p>
        </w:tc>
        <w:tc>
          <w:tcPr>
            <w:tcW w:w="352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center"/>
              <w:rPr>
                <w:rFonts w:ascii="Arial" w:eastAsia="Arial" w:hAnsi="Arial" w:cs="Arial"/>
                <w:b/>
                <w:noProof/>
                <w:color w:val="000000"/>
                <w:sz w:val="16"/>
              </w:rPr>
            </w:pPr>
            <w:r>
              <w:rPr>
                <w:rFonts w:ascii="Arial" w:hAnsi="Arial"/>
                <w:b/>
                <w:noProof/>
                <w:color w:val="000000"/>
                <w:sz w:val="16"/>
              </w:rPr>
              <w:t>Справедлива стойност</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color w:val="000000"/>
                <w:sz w:val="16"/>
              </w:rPr>
              <w:t>хиляди евро</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Държани за търгуване</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На разположение за продажба</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Пари, заеми и вземания</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Държани до падежа</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Други финансови пасиви</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Общо</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Ниво 1</w:t>
            </w:r>
          </w:p>
        </w:tc>
        <w:tc>
          <w:tcPr>
            <w:tcW w:w="8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Ниво 2</w:t>
            </w:r>
          </w:p>
        </w:tc>
        <w:tc>
          <w:tcPr>
            <w:tcW w:w="70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Ниво 3</w:t>
            </w:r>
          </w:p>
        </w:tc>
        <w:tc>
          <w:tcPr>
            <w:tcW w:w="99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color w:val="000000"/>
                <w:sz w:val="16"/>
              </w:rPr>
              <w:t>хиляди евро</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noProof/>
                <w:color w:val="000000"/>
                <w:sz w:val="16"/>
              </w:rPr>
            </w:pPr>
            <w:r>
              <w:rPr>
                <w:rFonts w:ascii="Arial" w:hAnsi="Arial"/>
                <w:noProof/>
                <w:color w:val="000000"/>
                <w:sz w:val="16"/>
              </w:rPr>
              <w:t xml:space="preserve">Дериватни финансови инструменти </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12 521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12 521</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8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12 521</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992"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12 521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color w:val="000000"/>
                <w:sz w:val="16"/>
              </w:rPr>
              <w:t>Фондове за рисков капитал</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420 104</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420 104</w:t>
            </w:r>
          </w:p>
        </w:tc>
        <w:tc>
          <w:tcPr>
            <w:tcW w:w="240"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8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420 104</w:t>
            </w:r>
          </w:p>
        </w:tc>
        <w:tc>
          <w:tcPr>
            <w:tcW w:w="992"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420 104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color w:val="000000"/>
                <w:sz w:val="16"/>
              </w:rPr>
              <w:t>Преки капиталови инвестиции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77 435</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77 435</w:t>
            </w:r>
          </w:p>
        </w:tc>
        <w:tc>
          <w:tcPr>
            <w:tcW w:w="240"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24 458</w:t>
            </w:r>
          </w:p>
        </w:tc>
        <w:tc>
          <w:tcPr>
            <w:tcW w:w="850"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709"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52 977</w:t>
            </w:r>
          </w:p>
        </w:tc>
        <w:tc>
          <w:tcPr>
            <w:tcW w:w="992" w:type="dxa"/>
            <w:tcBorders>
              <w:top w:val="nil"/>
              <w:left w:val="nil"/>
              <w:bottom w:val="nil"/>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77 435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12 521</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497 539</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510 060</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24 458</w:t>
            </w:r>
          </w:p>
        </w:tc>
        <w:tc>
          <w:tcPr>
            <w:tcW w:w="8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12 521</w:t>
            </w:r>
          </w:p>
        </w:tc>
        <w:tc>
          <w:tcPr>
            <w:tcW w:w="70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473 081</w:t>
            </w:r>
          </w:p>
        </w:tc>
        <w:tc>
          <w:tcPr>
            <w:tcW w:w="99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510 060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color w:val="000000"/>
                <w:sz w:val="16"/>
              </w:rPr>
              <w:t>Финансови активи, не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color w:val="000000"/>
                <w:sz w:val="16"/>
              </w:rPr>
              <w:t>Пари и парични еквиваленти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549 101</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549 101</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nil"/>
              <w:left w:val="nil"/>
              <w:bottom w:val="nil"/>
              <w:right w:val="nil"/>
              <w:tl2br w:val="nil"/>
              <w:tr2bl w:val="nil"/>
            </w:tcBorders>
            <w:shd w:val="clear" w:color="FFFFFF" w:fill="FFFFFF"/>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color w:val="000000"/>
                <w:sz w:val="16"/>
              </w:rPr>
              <w:t>Заеми и вземания</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1 666 725</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1 666 725</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8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992"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color w:val="000000"/>
                <w:sz w:val="16"/>
              </w:rPr>
              <w:t>Вземания от вносителите</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150 000</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150 000</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8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1 852 507</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992"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1 852 507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color w:val="000000"/>
                <w:sz w:val="16"/>
              </w:rPr>
              <w:t>Облигации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144 382</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144 382</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8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709"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992"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color w:val="000000"/>
                <w:sz w:val="16"/>
              </w:rPr>
              <w:t>Други активи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4 385</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4 385</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144 382</w:t>
            </w:r>
          </w:p>
        </w:tc>
        <w:tc>
          <w:tcPr>
            <w:tcW w:w="8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709"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992"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144 382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2 370 211</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144 382</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2 514 593</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144 382</w:t>
            </w:r>
          </w:p>
        </w:tc>
        <w:tc>
          <w:tcPr>
            <w:tcW w:w="8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1 852 507</w:t>
            </w:r>
          </w:p>
        </w:tc>
        <w:tc>
          <w:tcPr>
            <w:tcW w:w="70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99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1 996 889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color w:val="000000"/>
                <w:sz w:val="16"/>
              </w:rPr>
              <w:t>Общо финансови активи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12 521</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497 539</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2 370 211</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144 382</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3 024 653</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8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70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9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62"/>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color w:val="000000"/>
                <w:sz w:val="16"/>
              </w:rPr>
              <w:t>Финансови пасиви,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8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709"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9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noProof/>
                <w:color w:val="000000"/>
                <w:sz w:val="16"/>
              </w:rPr>
            </w:pPr>
            <w:r>
              <w:rPr>
                <w:rFonts w:ascii="Arial" w:hAnsi="Arial"/>
                <w:noProof/>
                <w:color w:val="000000"/>
                <w:sz w:val="16"/>
              </w:rPr>
              <w:t>Дериватни финансови инструменти</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-1 153</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-1 153</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85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-1 153</w:t>
            </w:r>
          </w:p>
        </w:tc>
        <w:tc>
          <w:tcPr>
            <w:tcW w:w="709"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99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-1 153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-1 153</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-1 153</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8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-1 153</w:t>
            </w:r>
          </w:p>
        </w:tc>
        <w:tc>
          <w:tcPr>
            <w:tcW w:w="709"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99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-1 153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color w:val="000000"/>
                <w:sz w:val="16"/>
              </w:rPr>
              <w:t>Финансови пасиви, не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color w:val="000000"/>
                <w:sz w:val="16"/>
              </w:rPr>
              <w:t>Провизии за издадени гаранции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-484</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-484</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color w:val="000000"/>
                <w:sz w:val="16"/>
              </w:rPr>
              <w:t>Дължими суми на трети страни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-157 285</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-157 285</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pStyle w:val="Normal62"/>
              <w:rPr>
                <w:rFonts w:ascii="Arial" w:eastAsia="Arial" w:hAnsi="Arial" w:cs="Arial"/>
                <w:noProof/>
                <w:color w:val="000000"/>
                <w:sz w:val="16"/>
              </w:rPr>
            </w:pPr>
            <w:r>
              <w:rPr>
                <w:rFonts w:ascii="Arial" w:hAnsi="Arial"/>
                <w:noProof/>
                <w:color w:val="000000"/>
                <w:sz w:val="16"/>
              </w:rPr>
              <w:t>Други пасиви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-2 462</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pStyle w:val="Normal62"/>
              <w:jc w:val="right"/>
              <w:rPr>
                <w:rFonts w:ascii="Arial" w:eastAsia="Arial" w:hAnsi="Arial" w:cs="Arial"/>
                <w:noProof/>
                <w:color w:val="000000"/>
                <w:sz w:val="16"/>
              </w:rPr>
            </w:pPr>
            <w:r>
              <w:rPr>
                <w:rFonts w:ascii="Arial" w:hAnsi="Arial"/>
                <w:noProof/>
                <w:color w:val="000000"/>
                <w:sz w:val="16"/>
              </w:rPr>
              <w:t>-2 462</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-160 231</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-160 231</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pStyle w:val="Normal62"/>
              <w:rPr>
                <w:rFonts w:ascii="Arial" w:eastAsia="Arial" w:hAnsi="Arial" w:cs="Arial"/>
                <w:b/>
                <w:noProof/>
                <w:color w:val="000000"/>
                <w:sz w:val="16"/>
              </w:rPr>
            </w:pPr>
            <w:r>
              <w:rPr>
                <w:rFonts w:ascii="Arial" w:hAnsi="Arial"/>
                <w:b/>
                <w:noProof/>
                <w:color w:val="000000"/>
                <w:sz w:val="16"/>
              </w:rPr>
              <w:t>Общо финансови пасиви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-1 153</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-160 231</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pStyle w:val="Normal62"/>
              <w:jc w:val="right"/>
              <w:rPr>
                <w:rFonts w:ascii="Arial" w:eastAsia="Arial" w:hAnsi="Arial" w:cs="Arial"/>
                <w:b/>
                <w:noProof/>
                <w:color w:val="000000"/>
                <w:sz w:val="16"/>
              </w:rPr>
            </w:pPr>
            <w:r>
              <w:rPr>
                <w:rFonts w:ascii="Arial" w:hAnsi="Arial"/>
                <w:b/>
                <w:noProof/>
                <w:color w:val="000000"/>
                <w:sz w:val="16"/>
              </w:rPr>
              <w:t>-161 384</w:t>
            </w:r>
          </w:p>
        </w:tc>
        <w:tc>
          <w:tcPr>
            <w:tcW w:w="240" w:type="dxa"/>
            <w:tcBorders>
              <w:top w:val="nil"/>
              <w:left w:val="nil"/>
              <w:bottom w:val="nil"/>
              <w:right w:val="nil"/>
              <w:tl2br w:val="nil"/>
              <w:tr2bl w:val="nil"/>
            </w:tcBorders>
            <w:shd w:val="clear" w:color="auto" w:fill="auto"/>
            <w:tcMar>
              <w:left w:w="0" w:type="dxa"/>
              <w:right w:w="0" w:type="dxa"/>
            </w:tcMar>
            <w:vAlign w:val="center"/>
          </w:tcPr>
          <w:p>
            <w:pPr>
              <w:pStyle w:val="Normal62"/>
              <w:jc w:val="right"/>
              <w:rPr>
                <w:rFonts w:ascii="Arial" w:eastAsia="Arial" w:hAnsi="Arial" w:cs="Arial"/>
                <w:b/>
                <w:noProof/>
                <w:color w:val="000000"/>
                <w:sz w:val="16"/>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66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114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114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6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850"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709"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pPr>
              <w:pStyle w:val="Normal62"/>
              <w:rPr>
                <w:rFonts w:ascii="Arial" w:eastAsia="Arial" w:hAnsi="Arial" w:cs="Arial"/>
                <w:noProof/>
                <w:color w:val="000000"/>
                <w:sz w:val="20"/>
              </w:rPr>
            </w:pPr>
          </w:p>
        </w:tc>
      </w:tr>
    </w:tbl>
    <w:p>
      <w:pPr>
        <w:rPr>
          <w:noProof/>
        </w:rPr>
        <w:sectPr>
          <w:headerReference w:type="even" r:id="rId517"/>
          <w:headerReference w:type="default" r:id="rId518"/>
          <w:footerReference w:type="even" r:id="rId519"/>
          <w:footerReference w:type="default" r:id="rId520"/>
          <w:headerReference w:type="first" r:id="rId521"/>
          <w:footerReference w:type="first" r:id="rId522"/>
          <w:type w:val="continuous"/>
          <w:pgSz w:w="15840" w:h="12240" w:orient="landscape"/>
          <w:pgMar w:top="765" w:right="1134" w:bottom="765" w:left="1134" w:header="720" w:footer="720" w:gutter="0"/>
          <w:cols w:space="720"/>
          <w:docGrid w:linePitch="360"/>
        </w:sectPr>
      </w:pPr>
    </w:p>
    <w:p>
      <w:pPr>
        <w:pStyle w:val="Title115"/>
        <w:numPr>
          <w:ilvl w:val="1"/>
          <w:numId w:val="110"/>
        </w:numPr>
        <w:rPr>
          <w:b/>
          <w:noProof/>
          <w:sz w:val="16"/>
          <w:szCs w:val="16"/>
        </w:rPr>
      </w:pPr>
      <w:r>
        <w:rPr>
          <w:b/>
          <w:noProof/>
          <w:sz w:val="16"/>
        </w:rPr>
        <w:t>Измерване на справедливите стойности</w:t>
      </w:r>
    </w:p>
    <w:p>
      <w:pPr>
        <w:pStyle w:val="Title115"/>
        <w:numPr>
          <w:ilvl w:val="0"/>
          <w:numId w:val="0"/>
        </w:numPr>
        <w:ind w:left="431"/>
        <w:rPr>
          <w:noProof/>
          <w:sz w:val="16"/>
          <w:szCs w:val="16"/>
        </w:rPr>
      </w:pPr>
    </w:p>
    <w:p>
      <w:pPr>
        <w:pStyle w:val="Title115"/>
        <w:numPr>
          <w:ilvl w:val="2"/>
          <w:numId w:val="111"/>
        </w:numPr>
        <w:tabs>
          <w:tab w:val="right" w:pos="720"/>
        </w:tabs>
        <w:rPr>
          <w:b/>
          <w:noProof/>
          <w:sz w:val="16"/>
          <w:szCs w:val="16"/>
        </w:rPr>
      </w:pPr>
      <w:r>
        <w:rPr>
          <w:b/>
          <w:noProof/>
          <w:sz w:val="16"/>
        </w:rPr>
        <w:t>Методи за остойностяване и значими ненаблюдаеми данни</w:t>
      </w:r>
    </w:p>
    <w:p>
      <w:pPr>
        <w:pStyle w:val="Normal63"/>
        <w:suppressAutoHyphens w:val="0"/>
        <w:spacing w:before="60" w:after="60"/>
        <w:jc w:val="both"/>
        <w:rPr>
          <w:rFonts w:ascii="Arial" w:hAnsi="Arial"/>
          <w:noProof/>
          <w:sz w:val="16"/>
          <w:szCs w:val="16"/>
        </w:rPr>
      </w:pPr>
    </w:p>
    <w:p>
      <w:pPr>
        <w:pStyle w:val="Normal63"/>
        <w:rPr>
          <w:rFonts w:ascii="Arial" w:hAnsi="Arial"/>
          <w:noProof/>
          <w:sz w:val="16"/>
          <w:szCs w:val="16"/>
        </w:rPr>
      </w:pPr>
      <w:r>
        <w:rPr>
          <w:rFonts w:ascii="Arial" w:hAnsi="Arial"/>
          <w:noProof/>
          <w:sz w:val="16"/>
        </w:rPr>
        <w:t>Таблицата по-долу представя информация за методите на остойностяване и значимите ненаблюдаеми данни, използвани при оценяването на финансови инструменти, категоризирани в ниво 2 и ниво 3 от йерархията на справедливите стойности:</w:t>
      </w:r>
    </w:p>
    <w:p>
      <w:pPr>
        <w:pStyle w:val="Normal63"/>
        <w:rPr>
          <w:rFonts w:ascii="Arial" w:hAnsi="Arial"/>
          <w:noProof/>
          <w:sz w:val="16"/>
          <w:szCs w:val="16"/>
        </w:rPr>
      </w:pPr>
    </w:p>
    <w:tbl>
      <w:tblPr>
        <w:tblW w:w="9905" w:type="dxa"/>
        <w:tblInd w:w="-90" w:type="dxa"/>
        <w:tblLook w:val="0000" w:firstRow="0" w:lastRow="0" w:firstColumn="0" w:lastColumn="0" w:noHBand="0" w:noVBand="0"/>
      </w:tblPr>
      <w:tblGrid>
        <w:gridCol w:w="1255"/>
        <w:gridCol w:w="3695"/>
        <w:gridCol w:w="2880"/>
        <w:gridCol w:w="2075"/>
      </w:tblGrid>
      <w:tr>
        <w:trPr>
          <w:trHeight w:val="454"/>
        </w:trPr>
        <w:tc>
          <w:tcPr>
            <w:tcW w:w="1255" w:type="dxa"/>
            <w:tcBorders>
              <w:top w:val="single" w:sz="4" w:space="0" w:color="auto"/>
              <w:left w:val="nil"/>
              <w:bottom w:val="single" w:sz="4" w:space="0" w:color="auto"/>
              <w:right w:val="nil"/>
            </w:tcBorders>
            <w:shd w:val="clear" w:color="auto" w:fill="auto"/>
            <w:noWrap/>
            <w:vAlign w:val="bottom"/>
          </w:tcPr>
          <w:p>
            <w:pPr>
              <w:pStyle w:val="Normal63"/>
              <w:suppressAutoHyphens w:val="0"/>
              <w:rPr>
                <w:rFonts w:ascii="Arial" w:hAnsi="Arial"/>
                <w:b/>
                <w:bCs/>
                <w:noProof/>
                <w:sz w:val="16"/>
                <w:szCs w:val="16"/>
              </w:rPr>
            </w:pPr>
          </w:p>
        </w:tc>
        <w:tc>
          <w:tcPr>
            <w:tcW w:w="3695" w:type="dxa"/>
            <w:tcBorders>
              <w:top w:val="single" w:sz="4" w:space="0" w:color="auto"/>
              <w:left w:val="nil"/>
              <w:bottom w:val="single" w:sz="4" w:space="0" w:color="auto"/>
              <w:right w:val="nil"/>
            </w:tcBorders>
            <w:shd w:val="clear" w:color="auto" w:fill="auto"/>
            <w:noWrap/>
            <w:vAlign w:val="bottom"/>
          </w:tcPr>
          <w:p>
            <w:pPr>
              <w:pStyle w:val="Normal63"/>
              <w:suppressAutoHyphens w:val="0"/>
              <w:rPr>
                <w:rFonts w:ascii="Arial" w:hAnsi="Arial"/>
                <w:b/>
                <w:bCs/>
                <w:noProof/>
                <w:sz w:val="16"/>
                <w:szCs w:val="16"/>
              </w:rPr>
            </w:pPr>
            <w:r>
              <w:rPr>
                <w:rFonts w:ascii="Arial" w:hAnsi="Arial"/>
                <w:b/>
                <w:noProof/>
                <w:sz w:val="16"/>
              </w:rPr>
              <w:t>Метод за остойностяване</w:t>
            </w:r>
          </w:p>
        </w:tc>
        <w:tc>
          <w:tcPr>
            <w:tcW w:w="2880" w:type="dxa"/>
            <w:tcBorders>
              <w:top w:val="single" w:sz="4" w:space="0" w:color="auto"/>
              <w:left w:val="nil"/>
              <w:bottom w:val="single" w:sz="4" w:space="0" w:color="auto"/>
              <w:right w:val="nil"/>
            </w:tcBorders>
            <w:shd w:val="clear" w:color="auto" w:fill="auto"/>
            <w:noWrap/>
            <w:vAlign w:val="bottom"/>
          </w:tcPr>
          <w:p>
            <w:pPr>
              <w:pStyle w:val="Normal63"/>
              <w:suppressAutoHyphens w:val="0"/>
              <w:rPr>
                <w:rFonts w:ascii="Arial" w:hAnsi="Arial"/>
                <w:b/>
                <w:bCs/>
                <w:noProof/>
                <w:sz w:val="16"/>
                <w:szCs w:val="16"/>
              </w:rPr>
            </w:pPr>
            <w:r>
              <w:rPr>
                <w:rFonts w:ascii="Arial" w:hAnsi="Arial"/>
                <w:b/>
                <w:noProof/>
                <w:sz w:val="16"/>
              </w:rPr>
              <w:t>Значими ненаблюдаеми данни</w:t>
            </w:r>
          </w:p>
        </w:tc>
        <w:tc>
          <w:tcPr>
            <w:tcW w:w="2075" w:type="dxa"/>
            <w:tcBorders>
              <w:top w:val="single" w:sz="4" w:space="0" w:color="auto"/>
              <w:left w:val="nil"/>
              <w:bottom w:val="single" w:sz="4" w:space="0" w:color="auto"/>
              <w:right w:val="nil"/>
            </w:tcBorders>
            <w:shd w:val="clear" w:color="auto" w:fill="auto"/>
            <w:noWrap/>
            <w:vAlign w:val="bottom"/>
          </w:tcPr>
          <w:p>
            <w:pPr>
              <w:pStyle w:val="Normal63"/>
              <w:suppressAutoHyphens w:val="0"/>
              <w:rPr>
                <w:rFonts w:ascii="Arial" w:hAnsi="Arial"/>
                <w:b/>
                <w:bCs/>
                <w:noProof/>
                <w:sz w:val="16"/>
                <w:szCs w:val="16"/>
              </w:rPr>
            </w:pPr>
            <w:r>
              <w:rPr>
                <w:rFonts w:ascii="Arial" w:hAnsi="Arial"/>
                <w:b/>
                <w:noProof/>
                <w:sz w:val="16"/>
              </w:rPr>
              <w:t>Връзка между ненаблюдаемите данни и измерването на справедливата стойност</w:t>
            </w:r>
          </w:p>
        </w:tc>
      </w:tr>
      <w:tr>
        <w:trPr>
          <w:trHeight w:val="379"/>
        </w:trPr>
        <w:tc>
          <w:tcPr>
            <w:tcW w:w="4950" w:type="dxa"/>
            <w:gridSpan w:val="2"/>
            <w:tcBorders>
              <w:top w:val="nil"/>
              <w:left w:val="nil"/>
              <w:right w:val="nil"/>
            </w:tcBorders>
            <w:shd w:val="clear" w:color="auto" w:fill="auto"/>
            <w:noWrap/>
          </w:tcPr>
          <w:p>
            <w:pPr>
              <w:pStyle w:val="Normal63"/>
              <w:suppressAutoHyphens w:val="0"/>
              <w:rPr>
                <w:rFonts w:ascii="Arial" w:hAnsi="Arial"/>
                <w:b/>
                <w:bCs/>
                <w:noProof/>
                <w:sz w:val="16"/>
                <w:szCs w:val="16"/>
              </w:rPr>
            </w:pPr>
          </w:p>
          <w:p>
            <w:pPr>
              <w:pStyle w:val="Normal63"/>
              <w:suppressAutoHyphens w:val="0"/>
              <w:rPr>
                <w:rFonts w:ascii="Arial" w:hAnsi="Arial"/>
                <w:noProof/>
                <w:sz w:val="16"/>
                <w:szCs w:val="16"/>
              </w:rPr>
            </w:pPr>
            <w:r>
              <w:rPr>
                <w:rFonts w:ascii="Arial" w:hAnsi="Arial"/>
                <w:b/>
                <w:noProof/>
                <w:sz w:val="16"/>
              </w:rPr>
              <w:t>Финансови инструменти, отчетени по справедлива стойност</w:t>
            </w:r>
          </w:p>
        </w:tc>
        <w:tc>
          <w:tcPr>
            <w:tcW w:w="2880" w:type="dxa"/>
            <w:tcBorders>
              <w:top w:val="nil"/>
              <w:left w:val="nil"/>
              <w:right w:val="nil"/>
            </w:tcBorders>
            <w:shd w:val="clear" w:color="auto" w:fill="auto"/>
            <w:noWrap/>
          </w:tcPr>
          <w:p>
            <w:pPr>
              <w:pStyle w:val="Normal63"/>
              <w:suppressAutoHyphens w:val="0"/>
              <w:rPr>
                <w:rFonts w:ascii="Arial" w:hAnsi="Arial"/>
                <w:noProof/>
                <w:sz w:val="16"/>
                <w:szCs w:val="16"/>
              </w:rPr>
            </w:pPr>
          </w:p>
        </w:tc>
        <w:tc>
          <w:tcPr>
            <w:tcW w:w="2075" w:type="dxa"/>
            <w:tcBorders>
              <w:top w:val="nil"/>
              <w:left w:val="nil"/>
              <w:right w:val="nil"/>
            </w:tcBorders>
            <w:shd w:val="clear" w:color="auto" w:fill="auto"/>
            <w:noWrap/>
          </w:tcPr>
          <w:p>
            <w:pPr>
              <w:pStyle w:val="Normal63"/>
              <w:suppressAutoHyphens w:val="0"/>
              <w:rPr>
                <w:rFonts w:ascii="Arial" w:hAnsi="Arial"/>
                <w:noProof/>
                <w:sz w:val="16"/>
                <w:szCs w:val="16"/>
              </w:rPr>
            </w:pPr>
          </w:p>
        </w:tc>
      </w:tr>
      <w:tr>
        <w:trPr>
          <w:trHeight w:val="131"/>
        </w:trPr>
        <w:tc>
          <w:tcPr>
            <w:tcW w:w="1255" w:type="dxa"/>
            <w:tcBorders>
              <w:top w:val="nil"/>
              <w:left w:val="nil"/>
              <w:right w:val="nil"/>
            </w:tcBorders>
            <w:shd w:val="clear" w:color="auto" w:fill="auto"/>
            <w:noWrap/>
          </w:tcPr>
          <w:p>
            <w:pPr>
              <w:pStyle w:val="Normal63"/>
              <w:suppressAutoHyphens w:val="0"/>
              <w:rPr>
                <w:rFonts w:ascii="Arial" w:hAnsi="Arial"/>
                <w:noProof/>
                <w:sz w:val="16"/>
                <w:szCs w:val="16"/>
              </w:rPr>
            </w:pPr>
          </w:p>
        </w:tc>
        <w:tc>
          <w:tcPr>
            <w:tcW w:w="3695" w:type="dxa"/>
            <w:tcBorders>
              <w:top w:val="nil"/>
              <w:left w:val="nil"/>
              <w:right w:val="nil"/>
            </w:tcBorders>
            <w:shd w:val="clear" w:color="auto" w:fill="auto"/>
            <w:noWrap/>
          </w:tcPr>
          <w:p>
            <w:pPr>
              <w:pStyle w:val="Normal63"/>
              <w:suppressAutoHyphens w:val="0"/>
              <w:jc w:val="both"/>
              <w:rPr>
                <w:rFonts w:ascii="Arial" w:hAnsi="Arial"/>
                <w:noProof/>
                <w:sz w:val="16"/>
                <w:szCs w:val="16"/>
              </w:rPr>
            </w:pPr>
          </w:p>
        </w:tc>
        <w:tc>
          <w:tcPr>
            <w:tcW w:w="2880" w:type="dxa"/>
            <w:tcBorders>
              <w:top w:val="nil"/>
              <w:left w:val="nil"/>
              <w:right w:val="nil"/>
            </w:tcBorders>
            <w:shd w:val="clear" w:color="auto" w:fill="auto"/>
            <w:noWrap/>
          </w:tcPr>
          <w:p>
            <w:pPr>
              <w:pStyle w:val="Normal63"/>
              <w:suppressAutoHyphens w:val="0"/>
              <w:jc w:val="both"/>
              <w:rPr>
                <w:rFonts w:ascii="Arial" w:hAnsi="Arial"/>
                <w:noProof/>
                <w:sz w:val="16"/>
                <w:szCs w:val="16"/>
              </w:rPr>
            </w:pPr>
          </w:p>
        </w:tc>
        <w:tc>
          <w:tcPr>
            <w:tcW w:w="2075" w:type="dxa"/>
            <w:tcBorders>
              <w:top w:val="nil"/>
              <w:left w:val="nil"/>
              <w:right w:val="nil"/>
            </w:tcBorders>
            <w:shd w:val="clear" w:color="auto" w:fill="auto"/>
            <w:noWrap/>
          </w:tcPr>
          <w:p>
            <w:pPr>
              <w:pStyle w:val="Normal63"/>
              <w:suppressAutoHyphens w:val="0"/>
              <w:jc w:val="both"/>
              <w:rPr>
                <w:rFonts w:ascii="Arial" w:hAnsi="Arial"/>
                <w:noProof/>
                <w:sz w:val="16"/>
                <w:szCs w:val="16"/>
              </w:rPr>
            </w:pPr>
          </w:p>
        </w:tc>
      </w:tr>
      <w:tr>
        <w:trPr>
          <w:trHeight w:val="284"/>
        </w:trPr>
        <w:tc>
          <w:tcPr>
            <w:tcW w:w="1255" w:type="dxa"/>
            <w:tcBorders>
              <w:top w:val="nil"/>
              <w:left w:val="nil"/>
              <w:right w:val="nil"/>
            </w:tcBorders>
            <w:shd w:val="clear" w:color="auto" w:fill="auto"/>
            <w:noWrap/>
          </w:tcPr>
          <w:p>
            <w:pPr>
              <w:pStyle w:val="Normal63"/>
              <w:suppressAutoHyphens w:val="0"/>
              <w:rPr>
                <w:rFonts w:ascii="Arial" w:hAnsi="Arial"/>
                <w:noProof/>
                <w:sz w:val="16"/>
                <w:szCs w:val="16"/>
              </w:rPr>
            </w:pPr>
            <w:r>
              <w:rPr>
                <w:rFonts w:ascii="Arial" w:hAnsi="Arial"/>
                <w:noProof/>
                <w:sz w:val="16"/>
              </w:rPr>
              <w:t>Дериватни финансови инструменти</w:t>
            </w:r>
          </w:p>
        </w:tc>
        <w:tc>
          <w:tcPr>
            <w:tcW w:w="3695" w:type="dxa"/>
            <w:tcBorders>
              <w:top w:val="nil"/>
              <w:left w:val="nil"/>
              <w:right w:val="nil"/>
            </w:tcBorders>
            <w:shd w:val="clear" w:color="auto" w:fill="auto"/>
            <w:noWrap/>
          </w:tcPr>
          <w:p>
            <w:pPr>
              <w:pStyle w:val="Normal63"/>
              <w:suppressAutoHyphens w:val="0"/>
              <w:jc w:val="both"/>
              <w:rPr>
                <w:rFonts w:ascii="Arial" w:hAnsi="Arial"/>
                <w:noProof/>
                <w:sz w:val="16"/>
                <w:szCs w:val="16"/>
              </w:rPr>
            </w:pPr>
            <w:r>
              <w:rPr>
                <w:rFonts w:ascii="Arial" w:hAnsi="Arial"/>
                <w:noProof/>
                <w:sz w:val="16"/>
              </w:rPr>
              <w:t>Сконтиран паричен поток: Бъдещите парични потоци се изчисляват въз основа на форуърдни обменни/лихвени проценти (от наблюдаеми форуърдни валутни курсове и криви на доходността в края на отчетния период) и договорни форуърдни/лихвени проценти, сконтирани с процент, който отразява кредитния риск на различните контрагенти.</w:t>
            </w:r>
          </w:p>
        </w:tc>
        <w:tc>
          <w:tcPr>
            <w:tcW w:w="2880" w:type="dxa"/>
            <w:tcBorders>
              <w:top w:val="nil"/>
              <w:left w:val="nil"/>
              <w:right w:val="nil"/>
            </w:tcBorders>
            <w:shd w:val="clear" w:color="auto" w:fill="auto"/>
            <w:noWrap/>
          </w:tcPr>
          <w:p>
            <w:pPr>
              <w:pStyle w:val="Normal63"/>
              <w:suppressAutoHyphens w:val="0"/>
              <w:jc w:val="both"/>
              <w:rPr>
                <w:rFonts w:ascii="Arial" w:hAnsi="Arial"/>
                <w:noProof/>
                <w:sz w:val="16"/>
                <w:szCs w:val="16"/>
              </w:rPr>
            </w:pPr>
            <w:r>
              <w:rPr>
                <w:rFonts w:ascii="Arial" w:hAnsi="Arial"/>
                <w:noProof/>
                <w:sz w:val="16"/>
              </w:rPr>
              <w:t>Не е приложимо.</w:t>
            </w:r>
          </w:p>
        </w:tc>
        <w:tc>
          <w:tcPr>
            <w:tcW w:w="2075" w:type="dxa"/>
            <w:tcBorders>
              <w:top w:val="nil"/>
              <w:left w:val="nil"/>
              <w:right w:val="nil"/>
            </w:tcBorders>
            <w:shd w:val="clear" w:color="auto" w:fill="auto"/>
            <w:noWrap/>
          </w:tcPr>
          <w:p>
            <w:pPr>
              <w:pStyle w:val="Normal63"/>
              <w:suppressAutoHyphens w:val="0"/>
              <w:jc w:val="both"/>
              <w:rPr>
                <w:rFonts w:ascii="Arial" w:hAnsi="Arial"/>
                <w:noProof/>
                <w:sz w:val="16"/>
                <w:szCs w:val="16"/>
              </w:rPr>
            </w:pPr>
            <w:r>
              <w:rPr>
                <w:rFonts w:ascii="Arial" w:hAnsi="Arial"/>
                <w:noProof/>
                <w:sz w:val="16"/>
              </w:rPr>
              <w:t>Не е приложимо.</w:t>
            </w:r>
          </w:p>
        </w:tc>
      </w:tr>
      <w:tr>
        <w:trPr>
          <w:trHeight w:val="180"/>
        </w:trPr>
        <w:tc>
          <w:tcPr>
            <w:tcW w:w="1255" w:type="dxa"/>
            <w:tcBorders>
              <w:left w:val="nil"/>
              <w:right w:val="nil"/>
            </w:tcBorders>
            <w:shd w:val="clear" w:color="auto" w:fill="auto"/>
            <w:noWrap/>
          </w:tcPr>
          <w:p>
            <w:pPr>
              <w:pStyle w:val="Normal63"/>
              <w:suppressAutoHyphens w:val="0"/>
              <w:rPr>
                <w:rFonts w:ascii="Arial" w:hAnsi="Arial"/>
                <w:noProof/>
                <w:sz w:val="16"/>
                <w:szCs w:val="16"/>
              </w:rPr>
            </w:pPr>
          </w:p>
        </w:tc>
        <w:tc>
          <w:tcPr>
            <w:tcW w:w="3695" w:type="dxa"/>
            <w:tcBorders>
              <w:left w:val="nil"/>
              <w:right w:val="nil"/>
            </w:tcBorders>
            <w:shd w:val="clear" w:color="auto" w:fill="auto"/>
            <w:noWrap/>
          </w:tcPr>
          <w:p>
            <w:pPr>
              <w:pStyle w:val="Normal63"/>
              <w:suppressAutoHyphens w:val="0"/>
              <w:jc w:val="both"/>
              <w:rPr>
                <w:rFonts w:ascii="Arial" w:hAnsi="Arial"/>
                <w:noProof/>
                <w:sz w:val="16"/>
                <w:szCs w:val="16"/>
              </w:rPr>
            </w:pPr>
          </w:p>
        </w:tc>
        <w:tc>
          <w:tcPr>
            <w:tcW w:w="2880" w:type="dxa"/>
            <w:tcBorders>
              <w:left w:val="nil"/>
              <w:right w:val="nil"/>
            </w:tcBorders>
            <w:shd w:val="clear" w:color="auto" w:fill="auto"/>
            <w:noWrap/>
          </w:tcPr>
          <w:p>
            <w:pPr>
              <w:pStyle w:val="Normal63"/>
              <w:jc w:val="both"/>
              <w:rPr>
                <w:rFonts w:ascii="Arial" w:hAnsi="Arial"/>
                <w:noProof/>
                <w:sz w:val="16"/>
                <w:szCs w:val="16"/>
              </w:rPr>
            </w:pPr>
          </w:p>
        </w:tc>
        <w:tc>
          <w:tcPr>
            <w:tcW w:w="2075" w:type="dxa"/>
            <w:tcBorders>
              <w:left w:val="nil"/>
              <w:right w:val="nil"/>
            </w:tcBorders>
            <w:shd w:val="clear" w:color="auto" w:fill="auto"/>
            <w:noWrap/>
          </w:tcPr>
          <w:p>
            <w:pPr>
              <w:pStyle w:val="ListParagraph3"/>
              <w:suppressAutoHyphens w:val="0"/>
              <w:ind w:left="360"/>
              <w:jc w:val="both"/>
              <w:rPr>
                <w:rFonts w:ascii="Arial" w:hAnsi="Arial"/>
                <w:noProof/>
                <w:sz w:val="16"/>
                <w:szCs w:val="16"/>
              </w:rPr>
            </w:pPr>
          </w:p>
        </w:tc>
      </w:tr>
      <w:tr>
        <w:trPr>
          <w:trHeight w:val="284"/>
        </w:trPr>
        <w:tc>
          <w:tcPr>
            <w:tcW w:w="1255" w:type="dxa"/>
            <w:tcBorders>
              <w:left w:val="nil"/>
              <w:right w:val="nil"/>
            </w:tcBorders>
            <w:shd w:val="clear" w:color="auto" w:fill="auto"/>
            <w:noWrap/>
          </w:tcPr>
          <w:p>
            <w:pPr>
              <w:pStyle w:val="Normal63"/>
              <w:suppressAutoHyphens w:val="0"/>
              <w:rPr>
                <w:rFonts w:ascii="Arial" w:hAnsi="Arial"/>
                <w:bCs/>
                <w:noProof/>
                <w:sz w:val="16"/>
                <w:szCs w:val="16"/>
              </w:rPr>
            </w:pPr>
            <w:r>
              <w:rPr>
                <w:rFonts w:ascii="Arial" w:hAnsi="Arial"/>
                <w:noProof/>
                <w:sz w:val="16"/>
              </w:rPr>
              <w:t>Фондове за рисков капитал</w:t>
            </w:r>
          </w:p>
        </w:tc>
        <w:tc>
          <w:tcPr>
            <w:tcW w:w="3695" w:type="dxa"/>
            <w:tcBorders>
              <w:left w:val="nil"/>
              <w:right w:val="nil"/>
            </w:tcBorders>
            <w:shd w:val="clear" w:color="auto" w:fill="auto"/>
            <w:noWrap/>
          </w:tcPr>
          <w:p>
            <w:pPr>
              <w:pStyle w:val="Normal63"/>
              <w:suppressAutoHyphens w:val="0"/>
              <w:jc w:val="both"/>
              <w:rPr>
                <w:rFonts w:ascii="Arial" w:hAnsi="Arial"/>
                <w:noProof/>
                <w:sz w:val="16"/>
                <w:szCs w:val="16"/>
              </w:rPr>
            </w:pPr>
            <w:r>
              <w:rPr>
                <w:rFonts w:ascii="Arial" w:hAnsi="Arial"/>
                <w:noProof/>
                <w:sz w:val="16"/>
              </w:rPr>
              <w:t>Метод на коригираните нетни активи: Справедливата стойност се определя, като се приложи или процентното дялово участие на механизма в съответното дружество към нетната стойност на активите, отразена в последния отчет, коригиран спрямо паричните потоци, или, доколкото е възможно, точната стойност на дела към същата дата, посочена от съответния управител на фонда. С цел да се покрие периодът между последната налична нетна стойност на активите (НСА) и отчитането в края на годината, се провежда следваща процедура за преглед и, ако е необходимо, се коригира докладваната НСА.</w:t>
            </w:r>
          </w:p>
        </w:tc>
        <w:tc>
          <w:tcPr>
            <w:tcW w:w="2880" w:type="dxa"/>
            <w:tcBorders>
              <w:left w:val="nil"/>
              <w:right w:val="nil"/>
            </w:tcBorders>
            <w:shd w:val="clear" w:color="auto" w:fill="auto"/>
            <w:noWrap/>
          </w:tcPr>
          <w:p>
            <w:pPr>
              <w:pStyle w:val="Normal63"/>
              <w:jc w:val="both"/>
              <w:rPr>
                <w:rFonts w:ascii="Arial" w:hAnsi="Arial"/>
                <w:noProof/>
                <w:sz w:val="16"/>
                <w:szCs w:val="16"/>
              </w:rPr>
            </w:pPr>
            <w:r>
              <w:rPr>
                <w:rFonts w:ascii="Arial" w:hAnsi="Arial"/>
                <w:noProof/>
                <w:sz w:val="16"/>
              </w:rPr>
              <w:t>Коригиране за изтеклото време между последната отчетна дата на фондовете за рисков капитал (ФРК) и датата на измерване, като се вземат предвид: оперативните разходи и управленските такси, последващите изменения в справедливата стойност на съответните активи на ФРК, допълнителни пасиви, пазарни промени или други промени в икономическите условия.</w:t>
            </w:r>
          </w:p>
          <w:p>
            <w:pPr>
              <w:pStyle w:val="ListParagraph3"/>
              <w:suppressAutoHyphens w:val="0"/>
              <w:ind w:left="360"/>
              <w:jc w:val="both"/>
              <w:rPr>
                <w:rFonts w:ascii="Arial" w:hAnsi="Arial"/>
                <w:noProof/>
                <w:sz w:val="16"/>
                <w:szCs w:val="16"/>
              </w:rPr>
            </w:pPr>
          </w:p>
        </w:tc>
        <w:tc>
          <w:tcPr>
            <w:tcW w:w="2075" w:type="dxa"/>
            <w:tcBorders>
              <w:left w:val="nil"/>
              <w:right w:val="nil"/>
            </w:tcBorders>
            <w:shd w:val="clear" w:color="auto" w:fill="auto"/>
            <w:noWrap/>
          </w:tcPr>
          <w:p>
            <w:pPr>
              <w:pStyle w:val="Normal63"/>
              <w:jc w:val="both"/>
              <w:rPr>
                <w:rFonts w:ascii="Arial" w:hAnsi="Arial"/>
                <w:b/>
                <w:noProof/>
                <w:sz w:val="16"/>
                <w:szCs w:val="16"/>
              </w:rPr>
            </w:pPr>
            <w:r>
              <w:rPr>
                <w:rFonts w:ascii="Arial" w:hAnsi="Arial"/>
                <w:noProof/>
                <w:sz w:val="16"/>
              </w:rPr>
              <w:t>Колкото по-дълъг е периодът между датата на измерване на справедливата стойност и последната отчетна дата на ФРК, толкова по-голяма е корекцията за изтеклото време.</w:t>
            </w:r>
          </w:p>
        </w:tc>
      </w:tr>
      <w:tr>
        <w:trPr>
          <w:trHeight w:val="182"/>
        </w:trPr>
        <w:tc>
          <w:tcPr>
            <w:tcW w:w="1255" w:type="dxa"/>
            <w:tcBorders>
              <w:left w:val="nil"/>
              <w:bottom w:val="nil"/>
              <w:right w:val="nil"/>
            </w:tcBorders>
            <w:shd w:val="clear" w:color="auto" w:fill="auto"/>
            <w:noWrap/>
          </w:tcPr>
          <w:p>
            <w:pPr>
              <w:pStyle w:val="Normal63"/>
              <w:suppressAutoHyphens w:val="0"/>
              <w:rPr>
                <w:rFonts w:ascii="Arial" w:hAnsi="Arial"/>
                <w:noProof/>
                <w:sz w:val="16"/>
                <w:szCs w:val="16"/>
              </w:rPr>
            </w:pPr>
          </w:p>
        </w:tc>
        <w:tc>
          <w:tcPr>
            <w:tcW w:w="3695" w:type="dxa"/>
            <w:tcBorders>
              <w:left w:val="nil"/>
              <w:bottom w:val="nil"/>
              <w:right w:val="nil"/>
            </w:tcBorders>
            <w:shd w:val="clear" w:color="auto" w:fill="auto"/>
            <w:noWrap/>
          </w:tcPr>
          <w:p>
            <w:pPr>
              <w:pStyle w:val="Normal63"/>
              <w:suppressAutoHyphens w:val="0"/>
              <w:rPr>
                <w:rFonts w:ascii="Arial" w:hAnsi="Arial"/>
                <w:bCs/>
                <w:noProof/>
                <w:sz w:val="16"/>
                <w:szCs w:val="16"/>
              </w:rPr>
            </w:pPr>
          </w:p>
        </w:tc>
        <w:tc>
          <w:tcPr>
            <w:tcW w:w="2880" w:type="dxa"/>
            <w:tcBorders>
              <w:left w:val="nil"/>
              <w:bottom w:val="nil"/>
              <w:right w:val="nil"/>
            </w:tcBorders>
            <w:shd w:val="clear" w:color="auto" w:fill="auto"/>
            <w:noWrap/>
          </w:tcPr>
          <w:p>
            <w:pPr>
              <w:pStyle w:val="Normal63"/>
              <w:suppressAutoHyphens w:val="0"/>
              <w:rPr>
                <w:rFonts w:ascii="Arial" w:hAnsi="Arial"/>
                <w:bCs/>
                <w:noProof/>
                <w:sz w:val="16"/>
                <w:szCs w:val="16"/>
              </w:rPr>
            </w:pPr>
          </w:p>
        </w:tc>
        <w:tc>
          <w:tcPr>
            <w:tcW w:w="2075" w:type="dxa"/>
            <w:tcBorders>
              <w:left w:val="nil"/>
              <w:bottom w:val="nil"/>
              <w:right w:val="nil"/>
            </w:tcBorders>
            <w:shd w:val="clear" w:color="auto" w:fill="auto"/>
            <w:noWrap/>
          </w:tcPr>
          <w:p>
            <w:pPr>
              <w:pStyle w:val="Normal63"/>
              <w:suppressAutoHyphens w:val="0"/>
              <w:rPr>
                <w:rFonts w:ascii="Arial" w:hAnsi="Arial"/>
                <w:bCs/>
                <w:noProof/>
                <w:sz w:val="16"/>
                <w:szCs w:val="16"/>
              </w:rPr>
            </w:pPr>
          </w:p>
        </w:tc>
      </w:tr>
      <w:tr>
        <w:trPr>
          <w:trHeight w:val="284"/>
        </w:trPr>
        <w:tc>
          <w:tcPr>
            <w:tcW w:w="1255" w:type="dxa"/>
            <w:tcBorders>
              <w:left w:val="nil"/>
              <w:bottom w:val="nil"/>
              <w:right w:val="nil"/>
            </w:tcBorders>
            <w:shd w:val="clear" w:color="auto" w:fill="auto"/>
            <w:noWrap/>
          </w:tcPr>
          <w:p>
            <w:pPr>
              <w:pStyle w:val="Normal63"/>
              <w:suppressAutoHyphens w:val="0"/>
              <w:rPr>
                <w:rFonts w:ascii="Arial" w:hAnsi="Arial"/>
                <w:bCs/>
                <w:noProof/>
                <w:sz w:val="16"/>
                <w:szCs w:val="16"/>
              </w:rPr>
            </w:pPr>
            <w:r>
              <w:rPr>
                <w:rFonts w:ascii="Arial" w:hAnsi="Arial"/>
                <w:noProof/>
                <w:sz w:val="16"/>
              </w:rPr>
              <w:t>Преки капиталови инвестиции</w:t>
            </w:r>
          </w:p>
        </w:tc>
        <w:tc>
          <w:tcPr>
            <w:tcW w:w="3695" w:type="dxa"/>
            <w:tcBorders>
              <w:left w:val="nil"/>
              <w:bottom w:val="nil"/>
              <w:right w:val="nil"/>
            </w:tcBorders>
            <w:shd w:val="clear" w:color="auto" w:fill="auto"/>
            <w:noWrap/>
          </w:tcPr>
          <w:p>
            <w:pPr>
              <w:pStyle w:val="Normal63"/>
              <w:suppressAutoHyphens w:val="0"/>
              <w:rPr>
                <w:rFonts w:ascii="Arial" w:hAnsi="Arial"/>
                <w:bCs/>
                <w:noProof/>
                <w:sz w:val="16"/>
                <w:szCs w:val="16"/>
              </w:rPr>
            </w:pPr>
            <w:r>
              <w:rPr>
                <w:rFonts w:ascii="Arial" w:hAnsi="Arial"/>
                <w:noProof/>
                <w:sz w:val="16"/>
              </w:rPr>
              <w:t>Коригирани нетни активи.</w:t>
            </w:r>
          </w:p>
        </w:tc>
        <w:tc>
          <w:tcPr>
            <w:tcW w:w="2880" w:type="dxa"/>
            <w:tcBorders>
              <w:left w:val="nil"/>
              <w:bottom w:val="nil"/>
              <w:right w:val="nil"/>
            </w:tcBorders>
            <w:shd w:val="clear" w:color="auto" w:fill="auto"/>
            <w:noWrap/>
          </w:tcPr>
          <w:p>
            <w:pPr>
              <w:pStyle w:val="Normal63"/>
              <w:jc w:val="both"/>
              <w:rPr>
                <w:rFonts w:ascii="Arial" w:hAnsi="Arial"/>
                <w:b/>
                <w:noProof/>
                <w:sz w:val="16"/>
                <w:szCs w:val="16"/>
              </w:rPr>
            </w:pPr>
            <w:r>
              <w:rPr>
                <w:rFonts w:ascii="Arial" w:hAnsi="Arial"/>
                <w:noProof/>
                <w:sz w:val="16"/>
              </w:rPr>
              <w:t>Коригиране за изтеклото време между последната отчетна дата на предприятията, в които се инвестира, и датата на измерване, като се вземат предвид: оперативните разходи, последващите изменения в справедливата стойност на съответните активи на предприятията, в които се инвестира, допълнителни пасиви, пазарни промени или други промени в икономическите условия, увеличение на капитала, продажба/промяна на контрола.</w:t>
            </w:r>
          </w:p>
        </w:tc>
        <w:tc>
          <w:tcPr>
            <w:tcW w:w="2075" w:type="dxa"/>
            <w:tcBorders>
              <w:left w:val="nil"/>
              <w:bottom w:val="nil"/>
              <w:right w:val="nil"/>
            </w:tcBorders>
            <w:shd w:val="clear" w:color="auto" w:fill="auto"/>
            <w:noWrap/>
          </w:tcPr>
          <w:p>
            <w:pPr>
              <w:pStyle w:val="Normal63"/>
              <w:jc w:val="both"/>
              <w:rPr>
                <w:rFonts w:ascii="Arial" w:hAnsi="Arial"/>
                <w:noProof/>
                <w:sz w:val="16"/>
                <w:szCs w:val="16"/>
              </w:rPr>
            </w:pPr>
            <w:r>
              <w:rPr>
                <w:rFonts w:ascii="Arial" w:hAnsi="Arial"/>
                <w:noProof/>
                <w:sz w:val="16"/>
              </w:rPr>
              <w:t>Колкото по-дълъг е периодът между датата на измерване на справедливата стойност и последната отчетна дата на предприятията, в които се инвестира, толкова по-голяма е корекцията за изтеклото време.</w:t>
            </w:r>
          </w:p>
        </w:tc>
      </w:tr>
      <w:tr>
        <w:trPr>
          <w:trHeight w:val="139"/>
        </w:trPr>
        <w:tc>
          <w:tcPr>
            <w:tcW w:w="1255" w:type="dxa"/>
            <w:tcBorders>
              <w:left w:val="nil"/>
              <w:bottom w:val="nil"/>
              <w:right w:val="nil"/>
            </w:tcBorders>
            <w:shd w:val="clear" w:color="auto" w:fill="auto"/>
            <w:noWrap/>
          </w:tcPr>
          <w:p>
            <w:pPr>
              <w:pStyle w:val="Normal63"/>
              <w:suppressAutoHyphens w:val="0"/>
              <w:rPr>
                <w:rFonts w:ascii="Arial" w:hAnsi="Arial"/>
                <w:noProof/>
                <w:sz w:val="16"/>
                <w:szCs w:val="16"/>
              </w:rPr>
            </w:pPr>
          </w:p>
        </w:tc>
        <w:tc>
          <w:tcPr>
            <w:tcW w:w="3695" w:type="dxa"/>
            <w:tcBorders>
              <w:left w:val="nil"/>
              <w:bottom w:val="nil"/>
              <w:right w:val="nil"/>
            </w:tcBorders>
            <w:shd w:val="clear" w:color="auto" w:fill="auto"/>
            <w:noWrap/>
          </w:tcPr>
          <w:p>
            <w:pPr>
              <w:pStyle w:val="Normal63"/>
              <w:suppressAutoHyphens w:val="0"/>
              <w:rPr>
                <w:rFonts w:ascii="Arial" w:hAnsi="Arial"/>
                <w:bCs/>
                <w:noProof/>
                <w:sz w:val="16"/>
                <w:szCs w:val="16"/>
              </w:rPr>
            </w:pPr>
          </w:p>
        </w:tc>
        <w:tc>
          <w:tcPr>
            <w:tcW w:w="2880" w:type="dxa"/>
            <w:tcBorders>
              <w:left w:val="nil"/>
              <w:bottom w:val="nil"/>
              <w:right w:val="nil"/>
            </w:tcBorders>
            <w:shd w:val="clear" w:color="auto" w:fill="auto"/>
            <w:noWrap/>
          </w:tcPr>
          <w:p>
            <w:pPr>
              <w:pStyle w:val="Normal63"/>
              <w:jc w:val="both"/>
              <w:rPr>
                <w:rFonts w:ascii="Arial" w:hAnsi="Arial"/>
                <w:noProof/>
                <w:sz w:val="16"/>
                <w:szCs w:val="16"/>
              </w:rPr>
            </w:pPr>
          </w:p>
        </w:tc>
        <w:tc>
          <w:tcPr>
            <w:tcW w:w="2075" w:type="dxa"/>
            <w:tcBorders>
              <w:left w:val="nil"/>
              <w:bottom w:val="nil"/>
              <w:right w:val="nil"/>
            </w:tcBorders>
            <w:shd w:val="clear" w:color="auto" w:fill="auto"/>
            <w:noWrap/>
          </w:tcPr>
          <w:p>
            <w:pPr>
              <w:pStyle w:val="Normal63"/>
              <w:suppressAutoHyphens w:val="0"/>
              <w:rPr>
                <w:rFonts w:ascii="Arial" w:hAnsi="Arial"/>
                <w:noProof/>
                <w:sz w:val="16"/>
                <w:szCs w:val="16"/>
              </w:rPr>
            </w:pPr>
          </w:p>
        </w:tc>
      </w:tr>
      <w:tr>
        <w:trPr>
          <w:trHeight w:val="284"/>
        </w:trPr>
        <w:tc>
          <w:tcPr>
            <w:tcW w:w="1255" w:type="dxa"/>
            <w:tcBorders>
              <w:left w:val="nil"/>
              <w:bottom w:val="nil"/>
              <w:right w:val="nil"/>
            </w:tcBorders>
            <w:shd w:val="clear" w:color="auto" w:fill="auto"/>
            <w:noWrap/>
          </w:tcPr>
          <w:p>
            <w:pPr>
              <w:pStyle w:val="Normal63"/>
              <w:suppressAutoHyphens w:val="0"/>
              <w:rPr>
                <w:rFonts w:ascii="Arial" w:hAnsi="Arial"/>
                <w:noProof/>
                <w:sz w:val="16"/>
                <w:szCs w:val="16"/>
              </w:rPr>
            </w:pPr>
          </w:p>
        </w:tc>
        <w:tc>
          <w:tcPr>
            <w:tcW w:w="3695" w:type="dxa"/>
            <w:tcBorders>
              <w:left w:val="nil"/>
              <w:bottom w:val="nil"/>
              <w:right w:val="nil"/>
            </w:tcBorders>
            <w:shd w:val="clear" w:color="auto" w:fill="auto"/>
            <w:noWrap/>
          </w:tcPr>
          <w:p>
            <w:pPr>
              <w:pStyle w:val="Normal63"/>
              <w:suppressAutoHyphens w:val="0"/>
              <w:rPr>
                <w:rFonts w:ascii="Arial" w:hAnsi="Arial"/>
                <w:bCs/>
                <w:noProof/>
                <w:sz w:val="16"/>
                <w:szCs w:val="16"/>
              </w:rPr>
            </w:pPr>
          </w:p>
        </w:tc>
        <w:tc>
          <w:tcPr>
            <w:tcW w:w="2880" w:type="dxa"/>
            <w:tcBorders>
              <w:left w:val="nil"/>
              <w:bottom w:val="nil"/>
              <w:right w:val="nil"/>
            </w:tcBorders>
            <w:shd w:val="clear" w:color="auto" w:fill="auto"/>
            <w:noWrap/>
          </w:tcPr>
          <w:p>
            <w:pPr>
              <w:pStyle w:val="Normal63"/>
              <w:jc w:val="both"/>
              <w:rPr>
                <w:rFonts w:ascii="Arial" w:hAnsi="Arial"/>
                <w:noProof/>
                <w:sz w:val="16"/>
                <w:szCs w:val="16"/>
              </w:rPr>
            </w:pPr>
            <w:r>
              <w:rPr>
                <w:rFonts w:ascii="Arial" w:hAnsi="Arial"/>
                <w:noProof/>
                <w:sz w:val="16"/>
              </w:rPr>
              <w:t>Отстъпка от 5 до 30 % за липса на пазарна реализируемост (ликвидност), определена чрез позоваване на цените на предишни сделки за подобни ценни книжа в държавата/региона.</w:t>
            </w:r>
          </w:p>
        </w:tc>
        <w:tc>
          <w:tcPr>
            <w:tcW w:w="2075" w:type="dxa"/>
            <w:tcBorders>
              <w:left w:val="nil"/>
              <w:bottom w:val="nil"/>
              <w:right w:val="nil"/>
            </w:tcBorders>
            <w:shd w:val="clear" w:color="auto" w:fill="auto"/>
            <w:noWrap/>
          </w:tcPr>
          <w:p>
            <w:pPr>
              <w:pStyle w:val="Normal63"/>
              <w:jc w:val="both"/>
              <w:rPr>
                <w:rFonts w:ascii="Arial" w:hAnsi="Arial"/>
                <w:b/>
                <w:noProof/>
                <w:sz w:val="16"/>
                <w:szCs w:val="16"/>
              </w:rPr>
            </w:pPr>
            <w:r>
              <w:rPr>
                <w:rFonts w:ascii="Arial" w:hAnsi="Arial"/>
                <w:noProof/>
                <w:sz w:val="16"/>
              </w:rPr>
              <w:t>Колкото по-голяма е отстъпката за пазарна реализируемост, толкова по-ниска е справедливата стойност.</w:t>
            </w:r>
          </w:p>
        </w:tc>
      </w:tr>
      <w:tr>
        <w:trPr>
          <w:trHeight w:val="169"/>
        </w:trPr>
        <w:tc>
          <w:tcPr>
            <w:tcW w:w="1255" w:type="dxa"/>
            <w:tcBorders>
              <w:top w:val="nil"/>
              <w:left w:val="nil"/>
              <w:bottom w:val="single" w:sz="4" w:space="0" w:color="auto"/>
              <w:right w:val="nil"/>
            </w:tcBorders>
            <w:shd w:val="clear" w:color="auto" w:fill="auto"/>
            <w:noWrap/>
          </w:tcPr>
          <w:p>
            <w:pPr>
              <w:pStyle w:val="Normal63"/>
              <w:suppressAutoHyphens w:val="0"/>
              <w:rPr>
                <w:rFonts w:ascii="Arial" w:hAnsi="Arial"/>
                <w:b/>
                <w:noProof/>
                <w:sz w:val="16"/>
                <w:szCs w:val="16"/>
              </w:rPr>
            </w:pPr>
          </w:p>
        </w:tc>
        <w:tc>
          <w:tcPr>
            <w:tcW w:w="3695" w:type="dxa"/>
            <w:tcBorders>
              <w:top w:val="nil"/>
              <w:left w:val="nil"/>
              <w:bottom w:val="single" w:sz="4" w:space="0" w:color="auto"/>
              <w:right w:val="nil"/>
            </w:tcBorders>
            <w:shd w:val="clear" w:color="auto" w:fill="auto"/>
            <w:noWrap/>
          </w:tcPr>
          <w:p>
            <w:pPr>
              <w:pStyle w:val="Normal63"/>
              <w:suppressAutoHyphens w:val="0"/>
              <w:rPr>
                <w:rFonts w:ascii="Arial" w:hAnsi="Arial"/>
                <w:noProof/>
                <w:sz w:val="16"/>
                <w:szCs w:val="16"/>
              </w:rPr>
            </w:pPr>
          </w:p>
        </w:tc>
        <w:tc>
          <w:tcPr>
            <w:tcW w:w="2880" w:type="dxa"/>
            <w:tcBorders>
              <w:top w:val="nil"/>
              <w:left w:val="nil"/>
              <w:bottom w:val="single" w:sz="4" w:space="0" w:color="auto"/>
              <w:right w:val="nil"/>
            </w:tcBorders>
            <w:shd w:val="clear" w:color="auto" w:fill="auto"/>
            <w:noWrap/>
          </w:tcPr>
          <w:p>
            <w:pPr>
              <w:pStyle w:val="Normal63"/>
              <w:suppressAutoHyphens w:val="0"/>
              <w:rPr>
                <w:rFonts w:ascii="Arial" w:hAnsi="Arial"/>
                <w:noProof/>
                <w:sz w:val="16"/>
                <w:szCs w:val="16"/>
              </w:rPr>
            </w:pPr>
          </w:p>
        </w:tc>
        <w:tc>
          <w:tcPr>
            <w:tcW w:w="2075" w:type="dxa"/>
            <w:tcBorders>
              <w:top w:val="nil"/>
              <w:left w:val="nil"/>
              <w:bottom w:val="single" w:sz="4" w:space="0" w:color="auto"/>
              <w:right w:val="nil"/>
            </w:tcBorders>
            <w:shd w:val="clear" w:color="auto" w:fill="auto"/>
            <w:noWrap/>
          </w:tcPr>
          <w:p>
            <w:pPr>
              <w:pStyle w:val="Normal63"/>
              <w:suppressAutoHyphens w:val="0"/>
              <w:rPr>
                <w:rFonts w:ascii="Arial" w:hAnsi="Arial"/>
                <w:noProof/>
                <w:sz w:val="16"/>
                <w:szCs w:val="16"/>
              </w:rPr>
            </w:pPr>
          </w:p>
        </w:tc>
      </w:tr>
      <w:tr>
        <w:trPr>
          <w:trHeight w:val="284"/>
        </w:trPr>
        <w:tc>
          <w:tcPr>
            <w:tcW w:w="4950" w:type="dxa"/>
            <w:gridSpan w:val="2"/>
            <w:tcBorders>
              <w:top w:val="single" w:sz="4" w:space="0" w:color="auto"/>
              <w:left w:val="nil"/>
              <w:bottom w:val="nil"/>
              <w:right w:val="nil"/>
            </w:tcBorders>
            <w:shd w:val="clear" w:color="auto" w:fill="auto"/>
            <w:noWrap/>
          </w:tcPr>
          <w:p>
            <w:pPr>
              <w:pStyle w:val="Normal63"/>
              <w:suppressAutoHyphens w:val="0"/>
              <w:rPr>
                <w:rFonts w:ascii="Arial" w:hAnsi="Arial"/>
                <w:b/>
                <w:bCs/>
                <w:noProof/>
                <w:sz w:val="16"/>
                <w:szCs w:val="16"/>
              </w:rPr>
            </w:pPr>
          </w:p>
          <w:p>
            <w:pPr>
              <w:pStyle w:val="Normal63"/>
              <w:suppressAutoHyphens w:val="0"/>
              <w:rPr>
                <w:rFonts w:ascii="Arial" w:hAnsi="Arial"/>
                <w:noProof/>
                <w:sz w:val="16"/>
                <w:szCs w:val="16"/>
              </w:rPr>
            </w:pPr>
            <w:r>
              <w:rPr>
                <w:rFonts w:ascii="Arial" w:hAnsi="Arial"/>
                <w:b/>
                <w:noProof/>
                <w:sz w:val="16"/>
              </w:rPr>
              <w:t>Финансови инструменти, не отчетени по справедлива стойност</w:t>
            </w:r>
          </w:p>
        </w:tc>
        <w:tc>
          <w:tcPr>
            <w:tcW w:w="2880" w:type="dxa"/>
            <w:tcBorders>
              <w:top w:val="single" w:sz="4" w:space="0" w:color="auto"/>
              <w:left w:val="nil"/>
              <w:bottom w:val="nil"/>
              <w:right w:val="nil"/>
            </w:tcBorders>
            <w:shd w:val="clear" w:color="auto" w:fill="auto"/>
            <w:noWrap/>
          </w:tcPr>
          <w:p>
            <w:pPr>
              <w:pStyle w:val="Normal63"/>
              <w:suppressAutoHyphens w:val="0"/>
              <w:rPr>
                <w:rFonts w:ascii="Arial" w:hAnsi="Arial"/>
                <w:noProof/>
                <w:sz w:val="16"/>
                <w:szCs w:val="16"/>
              </w:rPr>
            </w:pPr>
          </w:p>
        </w:tc>
        <w:tc>
          <w:tcPr>
            <w:tcW w:w="2075" w:type="dxa"/>
            <w:tcBorders>
              <w:top w:val="single" w:sz="4" w:space="0" w:color="auto"/>
              <w:left w:val="nil"/>
              <w:bottom w:val="nil"/>
              <w:right w:val="nil"/>
            </w:tcBorders>
            <w:shd w:val="clear" w:color="auto" w:fill="auto"/>
            <w:noWrap/>
          </w:tcPr>
          <w:p>
            <w:pPr>
              <w:pStyle w:val="Normal63"/>
              <w:suppressAutoHyphens w:val="0"/>
              <w:rPr>
                <w:rFonts w:ascii="Arial" w:hAnsi="Arial"/>
                <w:noProof/>
                <w:sz w:val="16"/>
                <w:szCs w:val="16"/>
              </w:rPr>
            </w:pPr>
          </w:p>
        </w:tc>
      </w:tr>
      <w:tr>
        <w:trPr>
          <w:trHeight w:val="163"/>
        </w:trPr>
        <w:tc>
          <w:tcPr>
            <w:tcW w:w="1255" w:type="dxa"/>
            <w:tcBorders>
              <w:top w:val="nil"/>
              <w:left w:val="nil"/>
              <w:bottom w:val="nil"/>
              <w:right w:val="nil"/>
            </w:tcBorders>
            <w:shd w:val="clear" w:color="auto" w:fill="auto"/>
            <w:noWrap/>
          </w:tcPr>
          <w:p>
            <w:pPr>
              <w:pStyle w:val="Normal63"/>
              <w:suppressAutoHyphens w:val="0"/>
              <w:rPr>
                <w:rFonts w:ascii="Arial" w:hAnsi="Arial"/>
                <w:noProof/>
                <w:sz w:val="16"/>
                <w:szCs w:val="16"/>
              </w:rPr>
            </w:pPr>
          </w:p>
        </w:tc>
        <w:tc>
          <w:tcPr>
            <w:tcW w:w="3695" w:type="dxa"/>
            <w:tcBorders>
              <w:top w:val="nil"/>
              <w:left w:val="nil"/>
              <w:bottom w:val="nil"/>
              <w:right w:val="nil"/>
            </w:tcBorders>
            <w:shd w:val="clear" w:color="auto" w:fill="auto"/>
            <w:noWrap/>
          </w:tcPr>
          <w:p>
            <w:pPr>
              <w:pStyle w:val="Normal63"/>
              <w:suppressAutoHyphens w:val="0"/>
              <w:jc w:val="both"/>
              <w:rPr>
                <w:rFonts w:ascii="Arial" w:hAnsi="Arial"/>
                <w:noProof/>
                <w:sz w:val="16"/>
                <w:szCs w:val="16"/>
              </w:rPr>
            </w:pPr>
          </w:p>
        </w:tc>
        <w:tc>
          <w:tcPr>
            <w:tcW w:w="2880" w:type="dxa"/>
            <w:tcBorders>
              <w:top w:val="nil"/>
              <w:left w:val="nil"/>
              <w:bottom w:val="nil"/>
              <w:right w:val="nil"/>
            </w:tcBorders>
            <w:shd w:val="clear" w:color="auto" w:fill="auto"/>
            <w:noWrap/>
          </w:tcPr>
          <w:p>
            <w:pPr>
              <w:pStyle w:val="Normal63"/>
              <w:suppressAutoHyphens w:val="0"/>
              <w:rPr>
                <w:rFonts w:ascii="Arial" w:hAnsi="Arial"/>
                <w:noProof/>
                <w:sz w:val="16"/>
                <w:szCs w:val="16"/>
              </w:rPr>
            </w:pPr>
          </w:p>
        </w:tc>
        <w:tc>
          <w:tcPr>
            <w:tcW w:w="2075" w:type="dxa"/>
            <w:tcBorders>
              <w:top w:val="nil"/>
              <w:left w:val="nil"/>
              <w:bottom w:val="nil"/>
              <w:right w:val="nil"/>
            </w:tcBorders>
            <w:shd w:val="clear" w:color="auto" w:fill="auto"/>
            <w:noWrap/>
          </w:tcPr>
          <w:p>
            <w:pPr>
              <w:pStyle w:val="Normal63"/>
              <w:suppressAutoHyphens w:val="0"/>
              <w:rPr>
                <w:rFonts w:ascii="Arial" w:hAnsi="Arial"/>
                <w:noProof/>
                <w:sz w:val="16"/>
                <w:szCs w:val="16"/>
              </w:rPr>
            </w:pPr>
          </w:p>
        </w:tc>
      </w:tr>
      <w:tr>
        <w:trPr>
          <w:trHeight w:val="284"/>
        </w:trPr>
        <w:tc>
          <w:tcPr>
            <w:tcW w:w="1255" w:type="dxa"/>
            <w:tcBorders>
              <w:top w:val="nil"/>
              <w:left w:val="nil"/>
              <w:bottom w:val="nil"/>
              <w:right w:val="nil"/>
            </w:tcBorders>
            <w:shd w:val="clear" w:color="auto" w:fill="auto"/>
            <w:noWrap/>
          </w:tcPr>
          <w:p>
            <w:pPr>
              <w:pStyle w:val="Normal63"/>
              <w:suppressAutoHyphens w:val="0"/>
              <w:rPr>
                <w:rFonts w:ascii="Arial" w:hAnsi="Arial"/>
                <w:noProof/>
                <w:sz w:val="16"/>
                <w:szCs w:val="16"/>
              </w:rPr>
            </w:pPr>
            <w:r>
              <w:rPr>
                <w:rFonts w:ascii="Arial" w:hAnsi="Arial"/>
                <w:noProof/>
                <w:sz w:val="16"/>
              </w:rPr>
              <w:t>Заеми и аванси</w:t>
            </w:r>
          </w:p>
        </w:tc>
        <w:tc>
          <w:tcPr>
            <w:tcW w:w="3695" w:type="dxa"/>
            <w:tcBorders>
              <w:top w:val="nil"/>
              <w:left w:val="nil"/>
              <w:bottom w:val="nil"/>
              <w:right w:val="nil"/>
            </w:tcBorders>
            <w:shd w:val="clear" w:color="auto" w:fill="auto"/>
            <w:noWrap/>
          </w:tcPr>
          <w:p>
            <w:pPr>
              <w:pStyle w:val="Normal63"/>
              <w:suppressAutoHyphens w:val="0"/>
              <w:jc w:val="both"/>
              <w:rPr>
                <w:rFonts w:ascii="Arial" w:hAnsi="Arial"/>
                <w:bCs/>
                <w:noProof/>
                <w:sz w:val="16"/>
                <w:szCs w:val="16"/>
              </w:rPr>
            </w:pPr>
            <w:r>
              <w:rPr>
                <w:rFonts w:ascii="Arial" w:hAnsi="Arial"/>
                <w:noProof/>
                <w:sz w:val="16"/>
              </w:rPr>
              <w:t>Сконтирани парични потоци: Моделът за остойностяване използва договорните парични потоци, които са обусловени от липсата на неизпълнение от страна на длъжника и не отчитат стойността на гаранциите или сценариите за предсрочно плащане. За да се изчисли нетната настояща стойност (ННС) на заемите, моделът взема сконтирането на договорните парични потоци на всеки заем с помощта на коригирана пазарна дисконтова крива. ННС на отделните заеми след това се коригира, за да се вземе под внимание съответната очаквана загуба. След това резултатите се сумират, за да се получи справедливата стойност на заемите и авансите.</w:t>
            </w:r>
          </w:p>
        </w:tc>
        <w:tc>
          <w:tcPr>
            <w:tcW w:w="2880" w:type="dxa"/>
            <w:tcBorders>
              <w:top w:val="nil"/>
              <w:left w:val="nil"/>
              <w:bottom w:val="nil"/>
              <w:right w:val="nil"/>
            </w:tcBorders>
            <w:shd w:val="clear" w:color="auto" w:fill="auto"/>
            <w:noWrap/>
          </w:tcPr>
          <w:p>
            <w:pPr>
              <w:pStyle w:val="Normal63"/>
              <w:suppressAutoHyphens w:val="0"/>
              <w:rPr>
                <w:rFonts w:ascii="Arial" w:hAnsi="Arial"/>
                <w:noProof/>
                <w:sz w:val="16"/>
                <w:szCs w:val="16"/>
              </w:rPr>
            </w:pPr>
            <w:r>
              <w:rPr>
                <w:rFonts w:ascii="Arial" w:hAnsi="Arial"/>
                <w:noProof/>
                <w:sz w:val="16"/>
              </w:rPr>
              <w:t>Не е приложимо.</w:t>
            </w:r>
          </w:p>
        </w:tc>
        <w:tc>
          <w:tcPr>
            <w:tcW w:w="2075" w:type="dxa"/>
            <w:tcBorders>
              <w:top w:val="nil"/>
              <w:left w:val="nil"/>
              <w:bottom w:val="nil"/>
              <w:right w:val="nil"/>
            </w:tcBorders>
            <w:shd w:val="clear" w:color="auto" w:fill="auto"/>
            <w:noWrap/>
          </w:tcPr>
          <w:p>
            <w:pPr>
              <w:pStyle w:val="Normal63"/>
              <w:suppressAutoHyphens w:val="0"/>
              <w:rPr>
                <w:rFonts w:ascii="Arial" w:hAnsi="Arial"/>
                <w:noProof/>
                <w:sz w:val="16"/>
                <w:szCs w:val="16"/>
              </w:rPr>
            </w:pPr>
            <w:r>
              <w:rPr>
                <w:rFonts w:ascii="Arial" w:hAnsi="Arial"/>
                <w:noProof/>
                <w:sz w:val="16"/>
              </w:rPr>
              <w:t>Не е приложимо.</w:t>
            </w:r>
          </w:p>
        </w:tc>
      </w:tr>
      <w:tr>
        <w:trPr>
          <w:trHeight w:val="205"/>
        </w:trPr>
        <w:tc>
          <w:tcPr>
            <w:tcW w:w="1255" w:type="dxa"/>
            <w:tcBorders>
              <w:top w:val="nil"/>
              <w:left w:val="nil"/>
              <w:bottom w:val="nil"/>
              <w:right w:val="nil"/>
            </w:tcBorders>
            <w:shd w:val="clear" w:color="auto" w:fill="auto"/>
            <w:noWrap/>
          </w:tcPr>
          <w:p>
            <w:pPr>
              <w:pStyle w:val="Normal63"/>
              <w:suppressAutoHyphens w:val="0"/>
              <w:rPr>
                <w:rFonts w:ascii="Arial" w:hAnsi="Arial"/>
                <w:noProof/>
                <w:sz w:val="16"/>
                <w:szCs w:val="16"/>
              </w:rPr>
            </w:pPr>
          </w:p>
        </w:tc>
        <w:tc>
          <w:tcPr>
            <w:tcW w:w="3695" w:type="dxa"/>
            <w:tcBorders>
              <w:top w:val="nil"/>
              <w:left w:val="nil"/>
              <w:bottom w:val="nil"/>
              <w:right w:val="nil"/>
            </w:tcBorders>
            <w:shd w:val="clear" w:color="auto" w:fill="auto"/>
            <w:noWrap/>
          </w:tcPr>
          <w:p>
            <w:pPr>
              <w:pStyle w:val="Normal63"/>
              <w:suppressAutoHyphens w:val="0"/>
              <w:rPr>
                <w:rFonts w:ascii="Arial" w:hAnsi="Arial"/>
                <w:noProof/>
                <w:sz w:val="16"/>
                <w:szCs w:val="16"/>
              </w:rPr>
            </w:pPr>
          </w:p>
        </w:tc>
        <w:tc>
          <w:tcPr>
            <w:tcW w:w="2880" w:type="dxa"/>
            <w:tcBorders>
              <w:top w:val="nil"/>
              <w:left w:val="nil"/>
              <w:bottom w:val="nil"/>
              <w:right w:val="nil"/>
            </w:tcBorders>
            <w:shd w:val="clear" w:color="auto" w:fill="auto"/>
            <w:noWrap/>
          </w:tcPr>
          <w:p>
            <w:pPr>
              <w:pStyle w:val="Normal63"/>
              <w:suppressAutoHyphens w:val="0"/>
              <w:rPr>
                <w:rFonts w:ascii="Arial" w:hAnsi="Arial"/>
                <w:noProof/>
                <w:sz w:val="16"/>
                <w:szCs w:val="16"/>
              </w:rPr>
            </w:pPr>
          </w:p>
        </w:tc>
        <w:tc>
          <w:tcPr>
            <w:tcW w:w="2075" w:type="dxa"/>
            <w:tcBorders>
              <w:top w:val="nil"/>
              <w:left w:val="nil"/>
              <w:bottom w:val="nil"/>
              <w:right w:val="nil"/>
            </w:tcBorders>
            <w:shd w:val="clear" w:color="auto" w:fill="auto"/>
            <w:noWrap/>
          </w:tcPr>
          <w:p>
            <w:pPr>
              <w:pStyle w:val="Normal63"/>
              <w:suppressAutoHyphens w:val="0"/>
              <w:rPr>
                <w:rFonts w:ascii="Arial" w:hAnsi="Arial"/>
                <w:noProof/>
                <w:sz w:val="16"/>
                <w:szCs w:val="16"/>
              </w:rPr>
            </w:pPr>
          </w:p>
        </w:tc>
      </w:tr>
      <w:tr>
        <w:trPr>
          <w:trHeight w:val="284"/>
        </w:trPr>
        <w:tc>
          <w:tcPr>
            <w:tcW w:w="1255" w:type="dxa"/>
            <w:tcBorders>
              <w:top w:val="nil"/>
              <w:left w:val="nil"/>
              <w:bottom w:val="nil"/>
              <w:right w:val="nil"/>
            </w:tcBorders>
            <w:shd w:val="clear" w:color="auto" w:fill="auto"/>
            <w:noWrap/>
          </w:tcPr>
          <w:p>
            <w:pPr>
              <w:pStyle w:val="Normal550"/>
              <w:suppressAutoHyphens w:val="0"/>
              <w:rPr>
                <w:rFonts w:ascii="Arial" w:hAnsi="Arial"/>
                <w:noProof/>
                <w:sz w:val="16"/>
                <w:szCs w:val="16"/>
              </w:rPr>
            </w:pPr>
            <w:r>
              <w:rPr>
                <w:rFonts w:ascii="Arial" w:hAnsi="Arial"/>
                <w:noProof/>
                <w:sz w:val="16"/>
              </w:rPr>
              <w:t>Касови финансови активи</w:t>
            </w:r>
          </w:p>
          <w:p>
            <w:pPr>
              <w:pStyle w:val="Normal63"/>
              <w:suppressAutoHyphens w:val="0"/>
              <w:rPr>
                <w:rFonts w:ascii="Arial" w:hAnsi="Arial"/>
                <w:noProof/>
                <w:sz w:val="16"/>
                <w:szCs w:val="16"/>
              </w:rPr>
            </w:pPr>
          </w:p>
        </w:tc>
        <w:tc>
          <w:tcPr>
            <w:tcW w:w="3695" w:type="dxa"/>
            <w:tcBorders>
              <w:top w:val="nil"/>
              <w:left w:val="nil"/>
              <w:bottom w:val="nil"/>
              <w:right w:val="nil"/>
            </w:tcBorders>
            <w:shd w:val="clear" w:color="auto" w:fill="auto"/>
            <w:noWrap/>
          </w:tcPr>
          <w:p>
            <w:pPr>
              <w:pStyle w:val="Normal63"/>
              <w:suppressAutoHyphens w:val="0"/>
              <w:rPr>
                <w:rFonts w:ascii="Arial" w:hAnsi="Arial"/>
                <w:noProof/>
                <w:sz w:val="16"/>
                <w:szCs w:val="16"/>
              </w:rPr>
            </w:pPr>
            <w:r>
              <w:rPr>
                <w:rFonts w:ascii="Arial" w:hAnsi="Arial"/>
                <w:noProof/>
                <w:sz w:val="16"/>
              </w:rPr>
              <w:t>Сконтирани парични потоци.</w:t>
            </w:r>
          </w:p>
        </w:tc>
        <w:tc>
          <w:tcPr>
            <w:tcW w:w="2880" w:type="dxa"/>
            <w:tcBorders>
              <w:top w:val="nil"/>
              <w:left w:val="nil"/>
              <w:bottom w:val="nil"/>
              <w:right w:val="nil"/>
            </w:tcBorders>
            <w:shd w:val="clear" w:color="auto" w:fill="auto"/>
            <w:noWrap/>
          </w:tcPr>
          <w:p>
            <w:pPr>
              <w:pStyle w:val="Normal63"/>
              <w:suppressAutoHyphens w:val="0"/>
              <w:rPr>
                <w:rFonts w:ascii="Arial" w:hAnsi="Arial"/>
                <w:noProof/>
                <w:sz w:val="16"/>
                <w:szCs w:val="16"/>
              </w:rPr>
            </w:pPr>
            <w:r>
              <w:rPr>
                <w:rFonts w:ascii="Arial" w:hAnsi="Arial"/>
                <w:noProof/>
                <w:sz w:val="16"/>
              </w:rPr>
              <w:t>Не е приложимо.</w:t>
            </w:r>
          </w:p>
        </w:tc>
        <w:tc>
          <w:tcPr>
            <w:tcW w:w="2075" w:type="dxa"/>
            <w:tcBorders>
              <w:top w:val="nil"/>
              <w:left w:val="nil"/>
              <w:bottom w:val="nil"/>
              <w:right w:val="nil"/>
            </w:tcBorders>
            <w:shd w:val="clear" w:color="auto" w:fill="auto"/>
            <w:noWrap/>
          </w:tcPr>
          <w:p>
            <w:pPr>
              <w:pStyle w:val="Normal63"/>
              <w:suppressAutoHyphens w:val="0"/>
              <w:rPr>
                <w:rFonts w:ascii="Arial" w:hAnsi="Arial"/>
                <w:noProof/>
                <w:sz w:val="16"/>
                <w:szCs w:val="16"/>
              </w:rPr>
            </w:pPr>
            <w:r>
              <w:rPr>
                <w:rFonts w:ascii="Arial" w:hAnsi="Arial"/>
                <w:noProof/>
                <w:sz w:val="16"/>
              </w:rPr>
              <w:t>Не е приложимо.</w:t>
            </w:r>
          </w:p>
        </w:tc>
      </w:tr>
    </w:tbl>
    <w:p>
      <w:pPr>
        <w:pStyle w:val="Normal63"/>
        <w:suppressAutoHyphens w:val="0"/>
        <w:rPr>
          <w:rFonts w:ascii="Arial" w:hAnsi="Arial"/>
          <w:iCs/>
          <w:noProof/>
          <w:sz w:val="16"/>
          <w:szCs w:val="16"/>
        </w:rPr>
      </w:pPr>
    </w:p>
    <w:p>
      <w:pPr>
        <w:pStyle w:val="Normal63"/>
        <w:jc w:val="both"/>
        <w:rPr>
          <w:rFonts w:ascii="Arial" w:hAnsi="Arial"/>
          <w:iCs/>
          <w:noProof/>
          <w:sz w:val="16"/>
          <w:szCs w:val="16"/>
        </w:rPr>
      </w:pPr>
    </w:p>
    <w:p>
      <w:pPr>
        <w:pStyle w:val="Normal63"/>
        <w:jc w:val="both"/>
        <w:rPr>
          <w:rFonts w:ascii="Arial" w:hAnsi="Arial"/>
          <w:iCs/>
          <w:noProof/>
          <w:sz w:val="16"/>
          <w:szCs w:val="16"/>
        </w:rPr>
      </w:pPr>
      <w:r>
        <w:rPr>
          <w:rFonts w:ascii="Arial" w:hAnsi="Arial"/>
          <w:noProof/>
          <w:sz w:val="16"/>
        </w:rPr>
        <w:t>С прилагането на МСФО 13 корекциите на оценката са включени в справедливата стойност на дериватите към 31 декември 2018 г. и 2017 г., а именно:</w:t>
      </w:r>
    </w:p>
    <w:p>
      <w:pPr>
        <w:pStyle w:val="Normal63"/>
        <w:jc w:val="both"/>
        <w:rPr>
          <w:rFonts w:ascii="Arial" w:hAnsi="Arial"/>
          <w:iCs/>
          <w:noProof/>
          <w:sz w:val="16"/>
          <w:szCs w:val="16"/>
        </w:rPr>
      </w:pPr>
    </w:p>
    <w:p>
      <w:pPr>
        <w:pStyle w:val="ListParagraph3"/>
        <w:numPr>
          <w:ilvl w:val="0"/>
          <w:numId w:val="106"/>
        </w:numPr>
        <w:jc w:val="both"/>
        <w:rPr>
          <w:rFonts w:ascii="Arial" w:hAnsi="Arial"/>
          <w:iCs/>
          <w:noProof/>
          <w:sz w:val="16"/>
          <w:szCs w:val="16"/>
        </w:rPr>
      </w:pPr>
      <w:r>
        <w:rPr>
          <w:rFonts w:ascii="Arial" w:hAnsi="Arial"/>
          <w:noProof/>
          <w:sz w:val="16"/>
        </w:rPr>
        <w:t xml:space="preserve">Корекции на кредитната оценка, отразяващи кредитния риск от контрагента по сделките с деривати, в размер на -37,4 хиляди евро към 31 декември 2018 г. и -38 хиляди евро към 31 декември 2017 г. </w:t>
      </w:r>
    </w:p>
    <w:p>
      <w:pPr>
        <w:pStyle w:val="ListParagraph3"/>
        <w:numPr>
          <w:ilvl w:val="0"/>
          <w:numId w:val="106"/>
        </w:numPr>
        <w:jc w:val="both"/>
        <w:rPr>
          <w:rFonts w:ascii="Arial" w:hAnsi="Arial"/>
          <w:iCs/>
          <w:noProof/>
          <w:sz w:val="16"/>
          <w:szCs w:val="16"/>
        </w:rPr>
      </w:pPr>
      <w:r>
        <w:rPr>
          <w:rFonts w:ascii="Arial" w:hAnsi="Arial"/>
          <w:noProof/>
          <w:sz w:val="16"/>
        </w:rPr>
        <w:t xml:space="preserve">Корекции на дебитната оценка, отразяващи собствения кредитен риск по сделките с деривати, в размер на +15,1 хиляди евро към </w:t>
      </w:r>
      <w:r>
        <w:rPr>
          <w:rFonts w:ascii="Arial" w:hAnsi="Arial"/>
          <w:iCs/>
          <w:noProof/>
          <w:sz w:val="16"/>
          <w:szCs w:val="16"/>
        </w:rPr>
        <w:br/>
      </w:r>
      <w:r>
        <w:rPr>
          <w:rFonts w:ascii="Arial" w:hAnsi="Arial"/>
          <w:noProof/>
          <w:sz w:val="16"/>
        </w:rPr>
        <w:t xml:space="preserve">31 декември 2018 г. и +29,5 хиляди евро към 31 декември 2017 г. </w:t>
      </w:r>
    </w:p>
    <w:p>
      <w:pPr>
        <w:pStyle w:val="ListParagraph3"/>
        <w:jc w:val="both"/>
        <w:rPr>
          <w:rFonts w:ascii="Arial" w:hAnsi="Arial"/>
          <w:iCs/>
          <w:noProof/>
          <w:sz w:val="16"/>
          <w:szCs w:val="16"/>
        </w:rPr>
      </w:pPr>
    </w:p>
    <w:p>
      <w:pPr>
        <w:pStyle w:val="Title115"/>
        <w:numPr>
          <w:ilvl w:val="2"/>
          <w:numId w:val="111"/>
        </w:numPr>
        <w:tabs>
          <w:tab w:val="right" w:pos="720"/>
        </w:tabs>
        <w:rPr>
          <w:b/>
          <w:noProof/>
          <w:sz w:val="16"/>
          <w:szCs w:val="16"/>
        </w:rPr>
      </w:pPr>
      <w:r>
        <w:rPr>
          <w:b/>
          <w:noProof/>
          <w:sz w:val="16"/>
        </w:rPr>
        <w:t>Трансфери между ниво 1 и 2</w:t>
      </w:r>
    </w:p>
    <w:p>
      <w:pPr>
        <w:pStyle w:val="Normal64"/>
        <w:jc w:val="both"/>
        <w:rPr>
          <w:rFonts w:ascii="Arial" w:hAnsi="Arial"/>
          <w:iCs/>
          <w:noProof/>
          <w:sz w:val="16"/>
          <w:szCs w:val="16"/>
        </w:rPr>
      </w:pPr>
    </w:p>
    <w:p>
      <w:pPr>
        <w:pStyle w:val="Normal64"/>
        <w:spacing w:after="120"/>
        <w:jc w:val="both"/>
        <w:rPr>
          <w:rFonts w:ascii="Arial" w:hAnsi="Arial"/>
          <w:iCs/>
          <w:noProof/>
          <w:sz w:val="16"/>
          <w:szCs w:val="16"/>
        </w:rPr>
      </w:pPr>
      <w:r>
        <w:rPr>
          <w:rFonts w:ascii="Arial" w:hAnsi="Arial"/>
          <w:noProof/>
          <w:sz w:val="16"/>
        </w:rPr>
        <w:t>Политиката на механизма е да признае прехвърляне между нива от датата на събитието или изменението на обстоятелствата, породили прехвърлянето.</w:t>
      </w:r>
    </w:p>
    <w:p>
      <w:pPr>
        <w:pStyle w:val="Normal64"/>
        <w:spacing w:before="60" w:after="60"/>
        <w:rPr>
          <w:rFonts w:ascii="Arial" w:hAnsi="Arial"/>
          <w:noProof/>
          <w:sz w:val="16"/>
          <w:szCs w:val="16"/>
        </w:rPr>
      </w:pPr>
      <w:r>
        <w:rPr>
          <w:rFonts w:ascii="Arial" w:hAnsi="Arial"/>
          <w:noProof/>
          <w:sz w:val="16"/>
        </w:rPr>
        <w:t>През 2018 г. и 2017 г. механизмът не е извършвал трансфери от ниво 1 към ниво 2 или от ниво 2 към ниво 1 от йерархията на справедливите стойности.</w:t>
      </w:r>
    </w:p>
    <w:p>
      <w:pPr>
        <w:pStyle w:val="Normal64"/>
        <w:spacing w:before="60" w:after="60"/>
        <w:rPr>
          <w:rFonts w:ascii="Arial" w:hAnsi="Arial"/>
          <w:noProof/>
          <w:sz w:val="16"/>
          <w:szCs w:val="16"/>
        </w:rPr>
      </w:pPr>
    </w:p>
    <w:p>
      <w:pPr>
        <w:pStyle w:val="Title115"/>
        <w:numPr>
          <w:ilvl w:val="2"/>
          <w:numId w:val="111"/>
        </w:numPr>
        <w:tabs>
          <w:tab w:val="right" w:pos="720"/>
        </w:tabs>
        <w:rPr>
          <w:b/>
          <w:noProof/>
          <w:sz w:val="16"/>
          <w:szCs w:val="16"/>
        </w:rPr>
      </w:pPr>
      <w:r>
        <w:rPr>
          <w:b/>
          <w:noProof/>
          <w:sz w:val="16"/>
        </w:rPr>
        <w:t>Ниво 3 справедливи стойности</w:t>
      </w:r>
    </w:p>
    <w:p>
      <w:pPr>
        <w:pStyle w:val="Normal64"/>
        <w:rPr>
          <w:rFonts w:ascii="Arial" w:hAnsi="Arial"/>
          <w:b/>
          <w:bCs/>
          <w:noProof/>
          <w:sz w:val="16"/>
          <w:szCs w:val="16"/>
        </w:rPr>
      </w:pPr>
    </w:p>
    <w:p>
      <w:pPr>
        <w:pStyle w:val="Normal64"/>
        <w:rPr>
          <w:rFonts w:ascii="Arial" w:hAnsi="Arial"/>
          <w:b/>
          <w:bCs/>
          <w:noProof/>
          <w:sz w:val="16"/>
          <w:szCs w:val="16"/>
        </w:rPr>
      </w:pPr>
      <w:r>
        <w:rPr>
          <w:rFonts w:ascii="Arial" w:hAnsi="Arial"/>
          <w:b/>
          <w:noProof/>
          <w:sz w:val="16"/>
        </w:rPr>
        <w:t>Равнение на справедливите стойности на ниво 3</w:t>
      </w:r>
    </w:p>
    <w:p>
      <w:pPr>
        <w:pStyle w:val="Normal64"/>
        <w:spacing w:before="60" w:after="120"/>
        <w:rPr>
          <w:rFonts w:ascii="Arial" w:hAnsi="Arial"/>
          <w:noProof/>
          <w:sz w:val="16"/>
          <w:szCs w:val="16"/>
        </w:rPr>
      </w:pPr>
      <w:r>
        <w:rPr>
          <w:rFonts w:ascii="Arial" w:hAnsi="Arial"/>
          <w:noProof/>
          <w:sz w:val="16"/>
        </w:rPr>
        <w:t>Следните таблици представят промените в инструментите от ниво 3 за годината, приключила на 31 декември 2018 г. и 31 декември 2017 г.:</w:t>
      </w:r>
    </w:p>
    <w:tbl>
      <w:tblPr>
        <w:tblStyle w:val="CDMRange112"/>
        <w:tblW w:w="9975" w:type="dxa"/>
        <w:tblLayout w:type="fixed"/>
        <w:tblLook w:val="0600" w:firstRow="0" w:lastRow="0" w:firstColumn="0" w:lastColumn="0" w:noHBand="1" w:noVBand="1"/>
      </w:tblPr>
      <w:tblGrid>
        <w:gridCol w:w="8475"/>
        <w:gridCol w:w="1500"/>
      </w:tblGrid>
      <w:tr>
        <w:trPr>
          <w:trHeight w:val="67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color w:val="000000"/>
                <w:sz w:val="16"/>
              </w:rPr>
              <w:t>Акции и други ценни книжа с променлива доходност</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color w:val="000000"/>
                <w:sz w:val="16"/>
              </w:rPr>
              <w:t>Салдо към 1 януари 2018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color w:val="000000"/>
                <w:sz w:val="16"/>
              </w:rPr>
              <w:t>473 081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color w:val="000000"/>
                <w:sz w:val="16"/>
              </w:rPr>
              <w:t>Печалби или загуби, включени в печалбата или загубата:</w:t>
            </w: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color w:val="000000"/>
                <w:sz w:val="16"/>
              </w:rPr>
              <w:t>- нетни реализирани печалби от акции и други ценни книжа с променлива доходност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color w:val="000000"/>
                <w:sz w:val="16"/>
              </w:rPr>
              <w:t>-10 622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color w:val="000000"/>
                <w:sz w:val="16"/>
              </w:rPr>
              <w:t xml:space="preserve">- нетна промяна в справедливата стойност на акции и други ценни книжа с променлива доходност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color w:val="000000"/>
                <w:sz w:val="16"/>
              </w:rPr>
              <w:t>-13 411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color w:val="000000"/>
                <w:sz w:val="16"/>
              </w:rPr>
              <w:t>Общо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color w:val="000000"/>
                <w:sz w:val="16"/>
              </w:rPr>
              <w:t>-24 033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color w:val="000000"/>
                <w:sz w:val="16"/>
              </w:rPr>
              <w:t>Извършени плащания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color w:val="000000"/>
                <w:sz w:val="16"/>
              </w:rPr>
              <w:t>95 434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color w:val="000000"/>
                <w:sz w:val="16"/>
              </w:rPr>
              <w:t>Възстановявания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color w:val="000000"/>
                <w:sz w:val="16"/>
              </w:rPr>
              <w:t>-11 165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color w:val="000000"/>
                <w:sz w:val="16"/>
              </w:rPr>
              <w:t>Отписани задължения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color w:val="000000"/>
                <w:sz w:val="16"/>
              </w:rPr>
              <w:t>17 300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65"/>
              <w:rPr>
                <w:rFonts w:ascii="Arial" w:eastAsia="Arial" w:hAnsi="Arial" w:cs="Arial"/>
                <w:b/>
                <w:noProof/>
                <w:color w:val="000000"/>
                <w:sz w:val="16"/>
              </w:rPr>
            </w:pPr>
            <w:r>
              <w:rPr>
                <w:rFonts w:ascii="Arial" w:hAnsi="Arial"/>
                <w:b/>
                <w:noProof/>
                <w:color w:val="000000"/>
                <w:sz w:val="16"/>
              </w:rPr>
              <w:t>Салдо към 31 декември 2018 г.</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color w:val="000000"/>
                <w:sz w:val="16"/>
              </w:rPr>
              <w:t>550 617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8475" w:type="dxa"/>
            <w:tcBorders>
              <w:top w:val="nil"/>
              <w:left w:val="nil"/>
              <w:bottom w:val="nil"/>
              <w:right w:val="nil"/>
              <w:tl2br w:val="nil"/>
              <w:tr2bl w:val="nil"/>
            </w:tcBorders>
            <w:shd w:val="clear" w:color="auto" w:fill="auto"/>
            <w:noWrap/>
            <w:tcMar>
              <w:left w:w="0" w:type="dxa"/>
              <w:right w:w="0" w:type="dxa"/>
            </w:tcMar>
            <w:vAlign w:val="bottom"/>
          </w:tcPr>
          <w:p>
            <w:pPr>
              <w:pStyle w:val="Normal6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6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color w:val="000000"/>
                <w:sz w:val="16"/>
              </w:rPr>
              <w:t>Финансови активи на разположение за продажба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color w:val="000000"/>
                <w:sz w:val="16"/>
              </w:rPr>
              <w:t>Салдо към 1 януари 2017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color w:val="000000"/>
                <w:sz w:val="16"/>
              </w:rPr>
              <w:t>494 004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color w:val="000000"/>
                <w:sz w:val="16"/>
              </w:rPr>
              <w:t>Печалби или загуби, включени в печалбата или загубата:</w:t>
            </w: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color w:val="000000"/>
                <w:sz w:val="16"/>
              </w:rPr>
              <w:t>- нетни реализирани печалби от финансови активи на разположение за продажба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color w:val="000000"/>
                <w:sz w:val="16"/>
              </w:rPr>
              <w:t>2 711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color w:val="000000"/>
                <w:sz w:val="16"/>
              </w:rPr>
              <w:t xml:space="preserve">- обезценка на финансови активи на разположение за продажба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color w:val="000000"/>
                <w:sz w:val="16"/>
              </w:rPr>
              <w:t>-22 024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color w:val="000000"/>
                <w:sz w:val="16"/>
              </w:rPr>
              <w:t>Общо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color w:val="000000"/>
                <w:sz w:val="16"/>
              </w:rPr>
              <w:t>-19 313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color w:val="000000"/>
                <w:sz w:val="16"/>
              </w:rPr>
              <w:t>Печалби или загуби, включени в другия всеобхватен доход:</w:t>
            </w: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6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color w:val="000000"/>
                <w:sz w:val="16"/>
              </w:rPr>
              <w:t>- нетна промяна в справедливата стойност на финансови активи на разположение за продажба</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color w:val="000000"/>
                <w:sz w:val="16"/>
              </w:rPr>
              <w:t>-17 592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rPr>
                <w:rFonts w:ascii="Arial" w:eastAsia="Arial" w:hAnsi="Arial" w:cs="Arial"/>
                <w:b/>
                <w:noProof/>
                <w:color w:val="000000"/>
                <w:sz w:val="16"/>
              </w:rPr>
            </w:pPr>
            <w:r>
              <w:rPr>
                <w:rFonts w:ascii="Arial" w:hAnsi="Arial"/>
                <w:b/>
                <w:noProof/>
                <w:color w:val="000000"/>
                <w:sz w:val="16"/>
              </w:rPr>
              <w:t>Общо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color w:val="000000"/>
                <w:sz w:val="16"/>
              </w:rPr>
              <w:t>-17 592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color w:val="000000"/>
                <w:sz w:val="16"/>
              </w:rPr>
              <w:t>Извършени плащания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color w:val="000000"/>
                <w:sz w:val="16"/>
              </w:rPr>
              <w:t>62 660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color w:val="000000"/>
                <w:sz w:val="16"/>
              </w:rPr>
              <w:t>Възстановявания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color w:val="000000"/>
                <w:sz w:val="16"/>
              </w:rPr>
              <w:t>-44 568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65"/>
              <w:rPr>
                <w:rFonts w:ascii="Arial" w:eastAsia="Arial" w:hAnsi="Arial" w:cs="Arial"/>
                <w:noProof/>
                <w:color w:val="000000"/>
                <w:sz w:val="16"/>
              </w:rPr>
            </w:pPr>
            <w:r>
              <w:rPr>
                <w:rFonts w:ascii="Arial" w:hAnsi="Arial"/>
                <w:noProof/>
                <w:color w:val="000000"/>
                <w:sz w:val="16"/>
              </w:rPr>
              <w:t>Отписани задължения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5"/>
              <w:jc w:val="right"/>
              <w:rPr>
                <w:rFonts w:ascii="Arial" w:eastAsia="Arial" w:hAnsi="Arial" w:cs="Arial"/>
                <w:noProof/>
                <w:color w:val="000000"/>
                <w:sz w:val="16"/>
              </w:rPr>
            </w:pPr>
            <w:r>
              <w:rPr>
                <w:rFonts w:ascii="Arial" w:hAnsi="Arial"/>
                <w:noProof/>
                <w:color w:val="000000"/>
                <w:sz w:val="16"/>
              </w:rPr>
              <w:t>-2 110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65"/>
              <w:rPr>
                <w:rFonts w:ascii="Arial" w:eastAsia="Arial" w:hAnsi="Arial" w:cs="Arial"/>
                <w:b/>
                <w:noProof/>
                <w:color w:val="000000"/>
                <w:sz w:val="16"/>
              </w:rPr>
            </w:pPr>
            <w:r>
              <w:rPr>
                <w:rFonts w:ascii="Arial" w:hAnsi="Arial"/>
                <w:b/>
                <w:noProof/>
                <w:color w:val="000000"/>
                <w:sz w:val="16"/>
              </w:rPr>
              <w:t>Салдо към 31 декември 2017 г.</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65"/>
              <w:jc w:val="right"/>
              <w:rPr>
                <w:rFonts w:ascii="Arial" w:eastAsia="Arial" w:hAnsi="Arial" w:cs="Arial"/>
                <w:b/>
                <w:noProof/>
                <w:color w:val="000000"/>
                <w:sz w:val="16"/>
              </w:rPr>
            </w:pPr>
            <w:r>
              <w:rPr>
                <w:rFonts w:ascii="Arial" w:hAnsi="Arial"/>
                <w:b/>
                <w:noProof/>
                <w:color w:val="000000"/>
                <w:sz w:val="16"/>
              </w:rPr>
              <w:t>473 081</w:t>
            </w:r>
          </w:p>
        </w:tc>
      </w:tr>
    </w:tbl>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През 2018 г. и 2017 г. механизмът не е извършвал трансфери от или към ниво 3 от йерархията на справедливите стойности.</w:t>
      </w:r>
    </w:p>
    <w:p>
      <w:pPr>
        <w:pStyle w:val="Notes"/>
        <w:numPr>
          <w:ilvl w:val="0"/>
          <w:numId w:val="0"/>
        </w:numPr>
        <w:pBdr>
          <w:top w:val="nil"/>
          <w:left w:val="nil"/>
          <w:bottom w:val="nil"/>
          <w:right w:val="nil"/>
          <w:between w:val="nil"/>
          <w:bar w:val="nil"/>
        </w:pBdr>
        <w:ind w:left="432" w:hanging="432"/>
        <w:rPr>
          <w:noProof/>
          <w:bdr w:val="nil"/>
        </w:rPr>
      </w:pPr>
    </w:p>
    <w:p>
      <w:pPr>
        <w:rPr>
          <w:rFonts w:ascii="Arial" w:hAnsi="Arial"/>
          <w:b/>
          <w:noProof/>
          <w:sz w:val="20"/>
          <w:bdr w:val="nil"/>
        </w:rPr>
      </w:pPr>
      <w:r>
        <w:rPr>
          <w:noProof/>
        </w:rPr>
        <w:br w:type="page"/>
      </w:r>
    </w:p>
    <w:p>
      <w:pPr>
        <w:pStyle w:val="Notes"/>
        <w:numPr>
          <w:ilvl w:val="0"/>
          <w:numId w:val="0"/>
        </w:numPr>
        <w:pBdr>
          <w:top w:val="nil"/>
          <w:left w:val="nil"/>
          <w:bottom w:val="nil"/>
          <w:right w:val="nil"/>
          <w:between w:val="nil"/>
          <w:bar w:val="nil"/>
        </w:pBdr>
        <w:ind w:left="432" w:hanging="432"/>
        <w:rPr>
          <w:noProof/>
          <w:bdr w:val="nil"/>
        </w:rPr>
      </w:pPr>
      <w:r>
        <w:rPr>
          <w:noProof/>
        </w:rPr>
        <w:t>5</w:t>
      </w:r>
      <w:r>
        <w:rPr>
          <w:noProof/>
        </w:rPr>
        <w:tab/>
        <w:t>Пари и парични еквиваленти</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Парите и паричните еквиваленти се състоят от:</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3"/>
        <w:tblW w:w="9975" w:type="dxa"/>
        <w:tblLayout w:type="fixed"/>
        <w:tblLook w:val="0600" w:firstRow="0" w:lastRow="0" w:firstColumn="0" w:lastColumn="0" w:noHBand="1" w:noVBand="1"/>
      </w:tblPr>
      <w:tblGrid>
        <w:gridCol w:w="6975"/>
        <w:gridCol w:w="1500"/>
        <w:gridCol w:w="1500"/>
      </w:tblGrid>
      <w:tr>
        <w:trPr>
          <w:trHeight w:val="270"/>
        </w:trPr>
        <w:tc>
          <w:tcPr>
            <w:tcW w:w="69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67"/>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7"/>
              <w:jc w:val="right"/>
              <w:rPr>
                <w:rFonts w:ascii="Arial" w:eastAsia="Arial" w:hAnsi="Arial" w:cs="Arial"/>
                <w:b/>
                <w:noProof/>
                <w:color w:val="000000"/>
                <w:sz w:val="16"/>
              </w:rPr>
            </w:pPr>
            <w:r>
              <w:rPr>
                <w:rFonts w:ascii="Arial" w:hAnsi="Arial"/>
                <w:b/>
                <w:noProof/>
                <w:color w:val="000000"/>
                <w:sz w:val="16"/>
              </w:rPr>
              <w:t>31.12.2018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7"/>
              <w:jc w:val="right"/>
              <w:rPr>
                <w:rFonts w:ascii="Arial" w:eastAsia="Arial" w:hAnsi="Arial" w:cs="Arial"/>
                <w:b/>
                <w:noProof/>
                <w:color w:val="000000"/>
                <w:sz w:val="16"/>
              </w:rPr>
            </w:pPr>
            <w:r>
              <w:rPr>
                <w:rFonts w:ascii="Arial" w:hAnsi="Arial"/>
                <w:b/>
                <w:noProof/>
                <w:color w:val="000000"/>
                <w:sz w:val="16"/>
              </w:rPr>
              <w:t>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7"/>
              <w:rPr>
                <w:rFonts w:ascii="Arial" w:eastAsia="Arial" w:hAnsi="Arial" w:cs="Arial"/>
                <w:noProof/>
                <w:color w:val="000000"/>
                <w:sz w:val="16"/>
              </w:rPr>
            </w:pPr>
            <w:r>
              <w:rPr>
                <w:rFonts w:ascii="Arial" w:hAnsi="Arial"/>
                <w:noProof/>
                <w:color w:val="000000"/>
                <w:sz w:val="16"/>
              </w:rPr>
              <w:t>Касова наличност</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color w:val="000000"/>
                <w:sz w:val="16"/>
              </w:rPr>
              <w:t>51 936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color w:val="000000"/>
                <w:sz w:val="16"/>
              </w:rPr>
              <w:t>166 445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67"/>
              <w:rPr>
                <w:rFonts w:ascii="Arial" w:eastAsia="Arial" w:hAnsi="Arial" w:cs="Arial"/>
                <w:noProof/>
                <w:color w:val="000000"/>
                <w:sz w:val="16"/>
              </w:rPr>
            </w:pPr>
            <w:r>
              <w:rPr>
                <w:rFonts w:ascii="Arial" w:hAnsi="Arial"/>
                <w:noProof/>
                <w:color w:val="000000"/>
                <w:sz w:val="16"/>
              </w:rPr>
              <w:t>Срочни депозити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color w:val="000000"/>
                <w:sz w:val="16"/>
              </w:rPr>
              <w:t>521 882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color w:val="000000"/>
                <w:sz w:val="16"/>
              </w:rPr>
              <w:t>367 653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67"/>
              <w:rPr>
                <w:rFonts w:ascii="Arial" w:eastAsia="Arial" w:hAnsi="Arial" w:cs="Arial"/>
                <w:noProof/>
                <w:color w:val="000000"/>
                <w:sz w:val="16"/>
              </w:rPr>
            </w:pPr>
            <w:r>
              <w:rPr>
                <w:rFonts w:ascii="Arial" w:hAnsi="Arial"/>
                <w:noProof/>
                <w:color w:val="000000"/>
                <w:sz w:val="16"/>
              </w:rPr>
              <w:t>Търговски ценни книжа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color w:val="000000"/>
                <w:sz w:val="16"/>
              </w:rPr>
              <w:t>15 003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67"/>
              <w:rPr>
                <w:rFonts w:ascii="Arial" w:eastAsia="Arial" w:hAnsi="Arial" w:cs="Arial"/>
                <w:b/>
                <w:noProof/>
                <w:color w:val="000000"/>
                <w:sz w:val="16"/>
              </w:rPr>
            </w:pPr>
            <w:r>
              <w:rPr>
                <w:rFonts w:ascii="Arial" w:hAnsi="Arial"/>
                <w:b/>
                <w:noProof/>
                <w:color w:val="000000"/>
                <w:sz w:val="16"/>
              </w:rPr>
              <w:t>Пари и парични еквиваленти в отчета за финансовото състояние</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67"/>
              <w:jc w:val="right"/>
              <w:rPr>
                <w:rFonts w:ascii="Arial" w:eastAsia="Arial" w:hAnsi="Arial" w:cs="Arial"/>
                <w:b/>
                <w:noProof/>
                <w:color w:val="000000"/>
                <w:sz w:val="16"/>
              </w:rPr>
            </w:pPr>
            <w:r>
              <w:rPr>
                <w:rFonts w:ascii="Arial" w:hAnsi="Arial"/>
                <w:b/>
                <w:noProof/>
                <w:color w:val="000000"/>
                <w:sz w:val="16"/>
              </w:rPr>
              <w:t>573 818</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67"/>
              <w:jc w:val="right"/>
              <w:rPr>
                <w:rFonts w:ascii="Arial" w:eastAsia="Arial" w:hAnsi="Arial" w:cs="Arial"/>
                <w:b/>
                <w:noProof/>
                <w:color w:val="000000"/>
                <w:sz w:val="16"/>
              </w:rPr>
            </w:pPr>
            <w:r>
              <w:rPr>
                <w:rFonts w:ascii="Arial" w:hAnsi="Arial"/>
                <w:b/>
                <w:noProof/>
                <w:color w:val="000000"/>
                <w:sz w:val="16"/>
              </w:rPr>
              <w:t>549 101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67"/>
              <w:rPr>
                <w:rFonts w:ascii="Arial" w:eastAsia="Arial" w:hAnsi="Arial" w:cs="Arial"/>
                <w:noProof/>
                <w:color w:val="000000"/>
                <w:sz w:val="16"/>
              </w:rPr>
            </w:pPr>
            <w:r>
              <w:rPr>
                <w:rFonts w:ascii="Arial" w:hAnsi="Arial"/>
                <w:noProof/>
                <w:color w:val="000000"/>
                <w:sz w:val="16"/>
              </w:rPr>
              <w:t xml:space="preserve">Начислена лихва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color w:val="000000"/>
                <w:sz w:val="16"/>
              </w:rPr>
              <w:t>-110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7"/>
              <w:jc w:val="right"/>
              <w:rPr>
                <w:rFonts w:ascii="Arial" w:eastAsia="Arial" w:hAnsi="Arial" w:cs="Arial"/>
                <w:noProof/>
                <w:color w:val="000000"/>
                <w:sz w:val="16"/>
              </w:rPr>
            </w:pPr>
            <w:r>
              <w:rPr>
                <w:rFonts w:ascii="Arial" w:hAnsi="Arial"/>
                <w:noProof/>
                <w:color w:val="000000"/>
                <w:sz w:val="16"/>
              </w:rPr>
              <w:t>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67"/>
              <w:rPr>
                <w:rFonts w:ascii="Arial" w:eastAsia="Arial" w:hAnsi="Arial" w:cs="Arial"/>
                <w:b/>
                <w:noProof/>
                <w:color w:val="000000"/>
                <w:sz w:val="16"/>
              </w:rPr>
            </w:pPr>
            <w:r>
              <w:rPr>
                <w:rFonts w:ascii="Arial" w:hAnsi="Arial"/>
                <w:b/>
                <w:noProof/>
                <w:color w:val="000000"/>
                <w:sz w:val="16"/>
              </w:rPr>
              <w:t>Пари и парични еквиваленти в отчета за паричните потоци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7"/>
              <w:jc w:val="right"/>
              <w:rPr>
                <w:rFonts w:ascii="Arial" w:eastAsia="Arial" w:hAnsi="Arial" w:cs="Arial"/>
                <w:b/>
                <w:noProof/>
                <w:color w:val="000000"/>
                <w:sz w:val="16"/>
              </w:rPr>
            </w:pPr>
            <w:r>
              <w:rPr>
                <w:rFonts w:ascii="Arial" w:hAnsi="Arial"/>
                <w:b/>
                <w:noProof/>
                <w:color w:val="000000"/>
                <w:sz w:val="16"/>
              </w:rPr>
              <w:t>573 708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7"/>
              <w:jc w:val="right"/>
              <w:rPr>
                <w:rFonts w:ascii="Arial" w:eastAsia="Arial" w:hAnsi="Arial" w:cs="Arial"/>
                <w:b/>
                <w:noProof/>
                <w:color w:val="000000"/>
                <w:sz w:val="16"/>
              </w:rPr>
            </w:pPr>
            <w:r>
              <w:rPr>
                <w:rFonts w:ascii="Arial" w:hAnsi="Arial"/>
                <w:b/>
                <w:noProof/>
                <w:color w:val="000000"/>
                <w:sz w:val="16"/>
              </w:rPr>
              <w:t>549 169</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rPr>
        <w:t>6</w:t>
      </w:r>
      <w:r>
        <w:rPr>
          <w:noProof/>
        </w:rPr>
        <w:tab/>
        <w:t xml:space="preserve">Дериватни финансови инструменти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дериватните финансови инструменти, класифицирани като държани за търгуване, са както следва:</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3"/>
        <w:tblW w:w="9975" w:type="dxa"/>
        <w:tblLayout w:type="fixed"/>
        <w:tblLook w:val="0600" w:firstRow="0" w:lastRow="0" w:firstColumn="0" w:lastColumn="0" w:noHBand="1" w:noVBand="1"/>
      </w:tblPr>
      <w:tblGrid>
        <w:gridCol w:w="5475"/>
        <w:gridCol w:w="1500"/>
        <w:gridCol w:w="1500"/>
        <w:gridCol w:w="1500"/>
      </w:tblGrid>
      <w:tr>
        <w:trPr>
          <w:trHeight w:val="270"/>
        </w:trPr>
        <w:tc>
          <w:tcPr>
            <w:tcW w:w="5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b/>
                <w:noProof/>
                <w:color w:val="000000"/>
                <w:sz w:val="16"/>
              </w:rPr>
            </w:pPr>
            <w:r>
              <w:rPr>
                <w:rFonts w:ascii="Arial" w:hAnsi="Arial"/>
                <w:b/>
                <w:noProof/>
                <w:color w:val="000000"/>
                <w:sz w:val="16"/>
              </w:rPr>
              <w:t>Към 31 декември 2018 г.</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center"/>
              <w:rPr>
                <w:rFonts w:ascii="Arial" w:eastAsia="Arial" w:hAnsi="Arial" w:cs="Arial"/>
                <w:b/>
                <w:noProof/>
                <w:color w:val="000000"/>
                <w:sz w:val="16"/>
              </w:rPr>
            </w:pPr>
            <w:r>
              <w:rPr>
                <w:rFonts w:ascii="Arial" w:hAnsi="Arial"/>
                <w:b/>
                <w:noProof/>
                <w:color w:val="000000"/>
                <w:sz w:val="16"/>
              </w:rPr>
              <w:t>Справедлива стойност</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8"/>
              <w:jc w:val="center"/>
              <w:rPr>
                <w:rFonts w:ascii="Arial" w:eastAsia="Arial" w:hAnsi="Arial" w:cs="Arial"/>
                <w:b/>
                <w:noProof/>
                <w:color w:val="000000"/>
                <w:sz w:val="16"/>
              </w:rPr>
            </w:pPr>
            <w:r>
              <w:rPr>
                <w:rFonts w:ascii="Arial" w:hAnsi="Arial"/>
                <w:b/>
                <w:noProof/>
                <w:color w:val="000000"/>
                <w:sz w:val="16"/>
              </w:rPr>
              <w:t>Условна стойност</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pStyle w:val="Normal68"/>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color w:val="000000"/>
                <w:sz w:val="16"/>
              </w:rPr>
              <w:t>Активи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color w:val="000000"/>
                <w:sz w:val="16"/>
              </w:rPr>
              <w:t>Пасиви</w:t>
            </w: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8"/>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hAnsi="Arial"/>
                <w:noProof/>
                <w:color w:val="000000"/>
                <w:sz w:val="16"/>
              </w:rPr>
              <w:t>Кръстосани валутно-лихвени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340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-665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5 245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hAnsi="Arial"/>
                <w:noProof/>
                <w:color w:val="000000"/>
                <w:sz w:val="16"/>
              </w:rPr>
              <w:t>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654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28 470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hAnsi="Arial"/>
                <w:noProof/>
                <w:color w:val="000000"/>
                <w:sz w:val="16"/>
              </w:rPr>
              <w:t>Валутни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8 879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-7 828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1 460 608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pPr>
              <w:pStyle w:val="Normal68"/>
              <w:rPr>
                <w:rFonts w:ascii="Arial" w:eastAsia="Arial" w:hAnsi="Arial" w:cs="Arial"/>
                <w:b/>
                <w:noProof/>
                <w:color w:val="000000"/>
                <w:sz w:val="16"/>
              </w:rPr>
            </w:pPr>
            <w:r>
              <w:rPr>
                <w:rFonts w:ascii="Arial" w:hAnsi="Arial"/>
                <w:b/>
                <w:noProof/>
                <w:color w:val="000000"/>
                <w:sz w:val="16"/>
              </w:rPr>
              <w:t>Общо дериватни финансови инструменти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color w:val="000000"/>
                <w:sz w:val="16"/>
              </w:rPr>
              <w:t>9 873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color w:val="000000"/>
                <w:sz w:val="16"/>
              </w:rPr>
              <w:t>-8 493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color w:val="000000"/>
                <w:sz w:val="16"/>
              </w:rPr>
              <w:t>1 494 323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4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68"/>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68"/>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68"/>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center"/>
          </w:tcPr>
          <w:p>
            <w:pPr>
              <w:pStyle w:val="Normal68"/>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b/>
                <w:noProof/>
                <w:color w:val="000000"/>
                <w:sz w:val="16"/>
              </w:rPr>
            </w:pPr>
            <w:r>
              <w:rPr>
                <w:rFonts w:ascii="Arial" w:hAnsi="Arial"/>
                <w:b/>
                <w:noProof/>
                <w:color w:val="000000"/>
                <w:sz w:val="16"/>
              </w:rPr>
              <w:t>Към 31 декември 2017 г.</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center"/>
              <w:rPr>
                <w:rFonts w:ascii="Arial" w:eastAsia="Arial" w:hAnsi="Arial" w:cs="Arial"/>
                <w:b/>
                <w:noProof/>
                <w:color w:val="000000"/>
                <w:sz w:val="16"/>
              </w:rPr>
            </w:pPr>
            <w:r>
              <w:rPr>
                <w:rFonts w:ascii="Arial" w:hAnsi="Arial"/>
                <w:b/>
                <w:noProof/>
                <w:color w:val="000000"/>
                <w:sz w:val="16"/>
              </w:rPr>
              <w:t>Справедлива стойност</w:t>
            </w:r>
          </w:p>
        </w:tc>
        <w:tc>
          <w:tcPr>
            <w:tcW w:w="3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68"/>
              <w:jc w:val="center"/>
              <w:rPr>
                <w:rFonts w:ascii="Arial" w:eastAsia="Arial" w:hAnsi="Arial" w:cs="Arial"/>
                <w:b/>
                <w:noProof/>
                <w:color w:val="000000"/>
                <w:sz w:val="16"/>
              </w:rPr>
            </w:pPr>
            <w:r>
              <w:rPr>
                <w:rFonts w:ascii="Arial" w:hAnsi="Arial"/>
                <w:b/>
                <w:noProof/>
                <w:color w:val="000000"/>
                <w:sz w:val="16"/>
              </w:rPr>
              <w:t>Условна стойност</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pStyle w:val="Normal68"/>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color w:val="000000"/>
                <w:sz w:val="16"/>
              </w:rPr>
              <w:t>Активи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color w:val="000000"/>
                <w:sz w:val="16"/>
              </w:rPr>
              <w:t>Пасиви</w:t>
            </w:r>
          </w:p>
        </w:tc>
        <w:tc>
          <w:tcPr>
            <w:tcW w:w="36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68"/>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hAnsi="Arial"/>
                <w:noProof/>
                <w:color w:val="000000"/>
                <w:sz w:val="16"/>
              </w:rPr>
              <w:t>Кръстосани валутно-лихвени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149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-1 105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8 098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hAnsi="Arial"/>
                <w:noProof/>
                <w:color w:val="000000"/>
                <w:sz w:val="16"/>
              </w:rPr>
              <w:t>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393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31 711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68"/>
              <w:rPr>
                <w:rFonts w:ascii="Arial" w:eastAsia="Arial" w:hAnsi="Arial" w:cs="Arial"/>
                <w:noProof/>
                <w:color w:val="000000"/>
                <w:sz w:val="16"/>
              </w:rPr>
            </w:pPr>
            <w:r>
              <w:rPr>
                <w:rFonts w:ascii="Arial" w:hAnsi="Arial"/>
                <w:noProof/>
                <w:color w:val="000000"/>
                <w:sz w:val="16"/>
              </w:rPr>
              <w:t>Валутни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11 979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68"/>
              <w:jc w:val="right"/>
              <w:rPr>
                <w:rFonts w:ascii="Arial" w:eastAsia="Arial" w:hAnsi="Arial" w:cs="Arial"/>
                <w:noProof/>
                <w:color w:val="000000"/>
                <w:sz w:val="16"/>
              </w:rPr>
            </w:pPr>
            <w:r>
              <w:rPr>
                <w:rFonts w:ascii="Arial" w:hAnsi="Arial"/>
                <w:noProof/>
                <w:color w:val="000000"/>
                <w:sz w:val="16"/>
              </w:rPr>
              <w:t>1 500 000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pPr>
              <w:pStyle w:val="Normal68"/>
              <w:rPr>
                <w:rFonts w:ascii="Arial" w:eastAsia="Arial" w:hAnsi="Arial" w:cs="Arial"/>
                <w:b/>
                <w:noProof/>
                <w:color w:val="000000"/>
                <w:sz w:val="16"/>
              </w:rPr>
            </w:pPr>
            <w:r>
              <w:rPr>
                <w:rFonts w:ascii="Arial" w:hAnsi="Arial"/>
                <w:b/>
                <w:noProof/>
                <w:color w:val="000000"/>
                <w:sz w:val="16"/>
              </w:rPr>
              <w:t>Общо дериватни финансови инструменти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color w:val="000000"/>
                <w:sz w:val="16"/>
              </w:rPr>
              <w:t>12 521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color w:val="000000"/>
                <w:sz w:val="16"/>
              </w:rPr>
              <w:t>-1 153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68"/>
              <w:jc w:val="right"/>
              <w:rPr>
                <w:rFonts w:ascii="Arial" w:eastAsia="Arial" w:hAnsi="Arial" w:cs="Arial"/>
                <w:b/>
                <w:noProof/>
                <w:color w:val="000000"/>
                <w:sz w:val="16"/>
              </w:rPr>
            </w:pPr>
            <w:r>
              <w:rPr>
                <w:rFonts w:ascii="Arial" w:hAnsi="Arial"/>
                <w:b/>
                <w:noProof/>
                <w:color w:val="000000"/>
                <w:sz w:val="16"/>
              </w:rPr>
              <w:t>1 539 809</w:t>
            </w:r>
          </w:p>
        </w:tc>
      </w:tr>
    </w:tbl>
    <w:p>
      <w:pPr>
        <w:pStyle w:val="Notes26"/>
        <w:pageBreakBefore/>
        <w:numPr>
          <w:ilvl w:val="0"/>
          <w:numId w:val="0"/>
        </w:numPr>
        <w:ind w:left="432" w:hanging="432"/>
        <w:rPr>
          <w:noProof/>
        </w:rPr>
      </w:pPr>
      <w:r>
        <w:rPr>
          <w:noProof/>
        </w:rPr>
        <w:t>7</w:t>
      </w:r>
      <w:r>
        <w:rPr>
          <w:noProof/>
        </w:rPr>
        <w:tab/>
        <w:t>Заеми и аванси</w:t>
      </w:r>
    </w:p>
    <w:p>
      <w:pPr>
        <w:pStyle w:val="ListParagraph4"/>
        <w:numPr>
          <w:ilvl w:val="0"/>
          <w:numId w:val="107"/>
        </w:numPr>
        <w:suppressAutoHyphens w:val="0"/>
        <w:spacing w:before="60" w:after="60"/>
        <w:ind w:left="360"/>
        <w:jc w:val="both"/>
        <w:rPr>
          <w:rFonts w:ascii="Arial" w:hAnsi="Arial"/>
          <w:noProof/>
          <w:sz w:val="16"/>
          <w:szCs w:val="16"/>
          <w:bdr w:val="none" w:sz="0" w:space="0" w:color="auto" w:frame="1"/>
        </w:rPr>
      </w:pPr>
      <w:r>
        <w:rPr>
          <w:rFonts w:ascii="Arial" w:hAnsi="Arial"/>
          <w:b/>
          <w:noProof/>
          <w:sz w:val="20"/>
          <w:bdr w:val="none" w:sz="0" w:space="0" w:color="auto" w:frame="1"/>
        </w:rPr>
        <w:t>Заеми и аванси</w:t>
      </w:r>
    </w:p>
    <w:p>
      <w:pPr>
        <w:pStyle w:val="Normal69"/>
        <w:suppressAutoHyphens w:val="0"/>
        <w:spacing w:before="60" w:after="60"/>
        <w:jc w:val="both"/>
        <w:rPr>
          <w:rFonts w:ascii="Arial" w:hAnsi="Arial"/>
          <w:noProof/>
          <w:sz w:val="16"/>
          <w:szCs w:val="16"/>
        </w:rPr>
      </w:pPr>
      <w:r>
        <w:rPr>
          <w:rFonts w:ascii="Arial" w:hAnsi="Arial"/>
          <w:noProof/>
          <w:sz w:val="16"/>
          <w:bdr w:val="none" w:sz="0" w:space="0" w:color="auto" w:frame="1"/>
        </w:rPr>
        <w:t>Следната таблица показва равнение от началното до крайното салдо на заемите и авансите по новия модел на обезценка на ОКЗ съгласно МСФО 9. Сравнителните стойности на обезценката за 2017 г. представляват корективна сметка за кредитни загуби и отразяват измерването съгласно МСС 39.</w:t>
      </w:r>
    </w:p>
    <w:tbl>
      <w:tblPr>
        <w:tblStyle w:val="CDMRange114"/>
        <w:tblW w:w="9985" w:type="dxa"/>
        <w:tblLayout w:type="fixed"/>
        <w:tblLook w:val="0600" w:firstRow="0" w:lastRow="0" w:firstColumn="0" w:lastColumn="0" w:noHBand="1" w:noVBand="1"/>
      </w:tblPr>
      <w:tblGrid>
        <w:gridCol w:w="4820"/>
        <w:gridCol w:w="1191"/>
        <w:gridCol w:w="1077"/>
        <w:gridCol w:w="1132"/>
        <w:gridCol w:w="766"/>
        <w:gridCol w:w="989"/>
        <w:gridCol w:w="10"/>
      </w:tblGrid>
      <w:tr>
        <w:trPr>
          <w:trHeight w:val="465"/>
        </w:trPr>
        <w:tc>
          <w:tcPr>
            <w:tcW w:w="482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00"/>
              <w:rPr>
                <w:rFonts w:ascii="Arial" w:eastAsia="Arial" w:hAnsi="Arial" w:cs="Arial"/>
                <w:b/>
                <w:noProof/>
                <w:color w:val="000000"/>
                <w:sz w:val="16"/>
              </w:rPr>
            </w:pPr>
            <w:r>
              <w:rPr>
                <w:rFonts w:ascii="Arial" w:hAnsi="Arial"/>
                <w:b/>
                <w:noProof/>
                <w:color w:val="000000"/>
                <w:sz w:val="16"/>
              </w:rPr>
              <w:t>В хиляди евро</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Общи заеми(*)</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Привилегировани заеми</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Подчинени заеми</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POCI</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color w:val="000000"/>
                <w:sz w:val="16"/>
              </w:rPr>
              <w:t>Номинална стойност на заемите по АС към 1 януари 2018 г.</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1 003 294</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687 499</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62 546</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1 753 339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Извършени плащания</w:t>
            </w:r>
          </w:p>
        </w:tc>
        <w:tc>
          <w:tcPr>
            <w:tcW w:w="1191"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203 352</w:t>
            </w:r>
          </w:p>
        </w:tc>
        <w:tc>
          <w:tcPr>
            <w:tcW w:w="1077"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52 274</w:t>
            </w:r>
          </w:p>
        </w:tc>
        <w:tc>
          <w:tcPr>
            <w:tcW w:w="1132"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766"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3 588</w:t>
            </w:r>
          </w:p>
        </w:tc>
        <w:tc>
          <w:tcPr>
            <w:tcW w:w="999"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259 214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Отписани задължения</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Възстановявания</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-192 355</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-157 952</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-4 548</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-354 855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Капитализирана лихва</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Разлики във валутните курсове</w:t>
            </w:r>
          </w:p>
        </w:tc>
        <w:tc>
          <w:tcPr>
            <w:tcW w:w="1191"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37 026</w:t>
            </w:r>
          </w:p>
        </w:tc>
        <w:tc>
          <w:tcPr>
            <w:tcW w:w="1077"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11 503</w:t>
            </w:r>
          </w:p>
        </w:tc>
        <w:tc>
          <w:tcPr>
            <w:tcW w:w="113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2 719</w:t>
            </w:r>
          </w:p>
        </w:tc>
        <w:tc>
          <w:tcPr>
            <w:tcW w:w="766"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51 248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color w:val="000000"/>
                <w:sz w:val="16"/>
              </w:rPr>
              <w:t>Номинална стойност на заемите по АС към 31 декември 2018 г.</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1 051 317</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593 324</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60 717</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3 588</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1 708 946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91"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077"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32"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766"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999" w:type="dxa"/>
            <w:gridSpan w:val="2"/>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color w:val="000000"/>
                <w:sz w:val="16"/>
              </w:rPr>
              <w:t>Обезценка — коректив за загуби към 1 януари 2018 г.</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-35 082</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-57 911</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-62 546</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-155 539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 xml:space="preserve">Нетни промени в 12-месечните ОКЗ </w:t>
            </w:r>
          </w:p>
        </w:tc>
        <w:tc>
          <w:tcPr>
            <w:tcW w:w="1191"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-1 853</w:t>
            </w:r>
          </w:p>
        </w:tc>
        <w:tc>
          <w:tcPr>
            <w:tcW w:w="1077"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288</w:t>
            </w:r>
          </w:p>
        </w:tc>
        <w:tc>
          <w:tcPr>
            <w:tcW w:w="1132"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766"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-1 565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Нетни промени в ОКЗ през целия жизнен цикъл без кредитна обезценка</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4 696</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870</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-2 146</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3 420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ОКЗ през целия жизнен цикъл с кредитна обезценка</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-71 204</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-1 794</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-72 998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 xml:space="preserve">Корекция на ОКЗ през целия жизнен цикъл с кредитна обезценка </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2 214</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8 480</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37 678</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48 372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Отписани задължения</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Разлики във валутните курсове</w:t>
            </w:r>
          </w:p>
        </w:tc>
        <w:tc>
          <w:tcPr>
            <w:tcW w:w="1191"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-2 639</w:t>
            </w:r>
          </w:p>
        </w:tc>
        <w:tc>
          <w:tcPr>
            <w:tcW w:w="1077"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-1 336</w:t>
            </w:r>
          </w:p>
        </w:tc>
        <w:tc>
          <w:tcPr>
            <w:tcW w:w="113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-2 346</w:t>
            </w:r>
          </w:p>
        </w:tc>
        <w:tc>
          <w:tcPr>
            <w:tcW w:w="766"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-6 321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color w:val="000000"/>
                <w:sz w:val="16"/>
              </w:rPr>
              <w:t>Обезценка — коректив за загуби към 31 декември 2018 г.</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-103 868</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-49 609</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-29 360</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-1 794</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-184 631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rPr>
                <w:rFonts w:ascii="Arial" w:eastAsia="Arial" w:hAnsi="Arial" w:cs="Arial"/>
                <w:b/>
                <w:noProof/>
                <w:color w:val="000000"/>
                <w:sz w:val="16"/>
              </w:rPr>
            </w:pPr>
          </w:p>
        </w:tc>
        <w:tc>
          <w:tcPr>
            <w:tcW w:w="1191"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077"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13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766"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999" w:type="dxa"/>
            <w:gridSpan w:val="2"/>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nil"/>
              <w:right w:val="nil"/>
              <w:tl2br w:val="nil"/>
              <w:tr2bl w:val="nil"/>
            </w:tcBorders>
            <w:shd w:val="clear" w:color="FFFFFF" w:fill="C0C0C0"/>
            <w:tcMar>
              <w:left w:w="40" w:type="dxa"/>
              <w:right w:w="40" w:type="dxa"/>
            </w:tcMar>
            <w:vAlign w:val="center"/>
          </w:tcPr>
          <w:p>
            <w:pPr>
              <w:pStyle w:val="Normal700"/>
              <w:rPr>
                <w:rFonts w:ascii="Arial" w:eastAsia="Arial" w:hAnsi="Arial" w:cs="Arial"/>
                <w:b/>
                <w:noProof/>
                <w:color w:val="000000"/>
                <w:sz w:val="16"/>
              </w:rPr>
            </w:pPr>
            <w:r>
              <w:rPr>
                <w:rFonts w:ascii="Arial" w:hAnsi="Arial"/>
                <w:b/>
                <w:noProof/>
                <w:color w:val="000000"/>
                <w:sz w:val="16"/>
              </w:rPr>
              <w:t>Заеми и аванси по АС към 31 декември 2018 г.</w:t>
            </w:r>
          </w:p>
        </w:tc>
        <w:tc>
          <w:tcPr>
            <w:tcW w:w="1191"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947 449</w:t>
            </w:r>
          </w:p>
        </w:tc>
        <w:tc>
          <w:tcPr>
            <w:tcW w:w="1077"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543 715</w:t>
            </w:r>
          </w:p>
        </w:tc>
        <w:tc>
          <w:tcPr>
            <w:tcW w:w="1132"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31 357</w:t>
            </w:r>
          </w:p>
        </w:tc>
        <w:tc>
          <w:tcPr>
            <w:tcW w:w="766"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1 794</w:t>
            </w:r>
          </w:p>
        </w:tc>
        <w:tc>
          <w:tcPr>
            <w:tcW w:w="99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1 524 315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91"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077"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32"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766"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c>
          <w:tcPr>
            <w:tcW w:w="999" w:type="dxa"/>
            <w:gridSpan w:val="2"/>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700"/>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color w:val="000000"/>
                <w:sz w:val="16"/>
              </w:rPr>
              <w:t>Номинална стойност на заемите по FVTEPL към 1 януари 2018 г.</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1 800</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Извършени плащания</w:t>
            </w:r>
          </w:p>
        </w:tc>
        <w:tc>
          <w:tcPr>
            <w:tcW w:w="1191"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077"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132"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766"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Възстановявания</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Отписани задължения</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 xml:space="preserve">Разлики във валутните курсове </w:t>
            </w:r>
          </w:p>
        </w:tc>
        <w:tc>
          <w:tcPr>
            <w:tcW w:w="1191"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077"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13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766"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color w:val="000000"/>
                <w:sz w:val="16"/>
              </w:rPr>
              <w:t>Номинална стойност на заемите по FVTEPL към 31 декември 2018 г.</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1 800</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rPr>
                <w:rFonts w:ascii="Arial" w:eastAsia="Arial" w:hAnsi="Arial" w:cs="Arial"/>
                <w:b/>
                <w:noProof/>
                <w:color w:val="000000"/>
                <w:sz w:val="16"/>
              </w:rPr>
            </w:pPr>
          </w:p>
        </w:tc>
        <w:tc>
          <w:tcPr>
            <w:tcW w:w="1191"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077"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132"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766"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999" w:type="dxa"/>
            <w:gridSpan w:val="2"/>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color w:val="000000"/>
                <w:sz w:val="16"/>
              </w:rPr>
              <w:t>Корекция на справедливата стойност към 1 януари 2018 г.</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-378</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-378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Нетна промяна на справедливата стойност</w:t>
            </w:r>
          </w:p>
        </w:tc>
        <w:tc>
          <w:tcPr>
            <w:tcW w:w="1191"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-702</w:t>
            </w:r>
          </w:p>
        </w:tc>
        <w:tc>
          <w:tcPr>
            <w:tcW w:w="1077"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132"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766"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Разлики във валутните курсове</w:t>
            </w:r>
          </w:p>
        </w:tc>
        <w:tc>
          <w:tcPr>
            <w:tcW w:w="1191"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077"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1132"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766"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rPr>
                <w:rFonts w:ascii="Arial" w:eastAsia="Arial" w:hAnsi="Arial" w:cs="Arial"/>
                <w:b/>
                <w:noProof/>
                <w:color w:val="000000"/>
                <w:sz w:val="16"/>
              </w:rPr>
            </w:pPr>
            <w:r>
              <w:rPr>
                <w:rFonts w:ascii="Arial" w:hAnsi="Arial"/>
                <w:b/>
                <w:noProof/>
                <w:color w:val="000000"/>
                <w:sz w:val="16"/>
              </w:rPr>
              <w:t>Корекция на справедливата стойност към 31 декември 2018 г.</w:t>
            </w:r>
          </w:p>
        </w:tc>
        <w:tc>
          <w:tcPr>
            <w:tcW w:w="1191"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-1 080</w:t>
            </w:r>
          </w:p>
        </w:tc>
        <w:tc>
          <w:tcPr>
            <w:tcW w:w="1077"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1132"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766"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999"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rPr>
                <w:rFonts w:ascii="Arial" w:eastAsia="Arial" w:hAnsi="Arial" w:cs="Arial"/>
                <w:b/>
                <w:noProof/>
                <w:color w:val="000000"/>
                <w:sz w:val="16"/>
              </w:rPr>
            </w:pPr>
          </w:p>
        </w:tc>
        <w:tc>
          <w:tcPr>
            <w:tcW w:w="1191"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077"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1132"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766"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c>
          <w:tcPr>
            <w:tcW w:w="999" w:type="dxa"/>
            <w:gridSpan w:val="2"/>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nil"/>
              <w:right w:val="nil"/>
              <w:tl2br w:val="nil"/>
              <w:tr2bl w:val="nil"/>
            </w:tcBorders>
            <w:shd w:val="clear" w:color="FFFFFF" w:fill="C0C0C0"/>
            <w:tcMar>
              <w:left w:w="40" w:type="dxa"/>
              <w:right w:w="40" w:type="dxa"/>
            </w:tcMar>
            <w:vAlign w:val="center"/>
          </w:tcPr>
          <w:p>
            <w:pPr>
              <w:pStyle w:val="Normal700"/>
              <w:rPr>
                <w:rFonts w:ascii="Arial" w:eastAsia="Arial" w:hAnsi="Arial" w:cs="Arial"/>
                <w:b/>
                <w:noProof/>
                <w:color w:val="000000"/>
                <w:sz w:val="16"/>
              </w:rPr>
            </w:pPr>
            <w:r>
              <w:rPr>
                <w:rFonts w:ascii="Arial" w:hAnsi="Arial"/>
                <w:b/>
                <w:noProof/>
                <w:color w:val="000000"/>
                <w:sz w:val="16"/>
              </w:rPr>
              <w:t>Заеми и аванси по FVTPL към 31 декември 2018 г.</w:t>
            </w:r>
          </w:p>
        </w:tc>
        <w:tc>
          <w:tcPr>
            <w:tcW w:w="1191"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720</w:t>
            </w:r>
          </w:p>
        </w:tc>
        <w:tc>
          <w:tcPr>
            <w:tcW w:w="1077"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1132"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766"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w:t>
            </w:r>
          </w:p>
        </w:tc>
        <w:tc>
          <w:tcPr>
            <w:tcW w:w="99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0" w:type="dxa"/>
              <w:right w:w="0" w:type="dxa"/>
            </w:tcMar>
            <w:vAlign w:val="center"/>
          </w:tcPr>
          <w:p>
            <w:pPr>
              <w:pStyle w:val="Normal700"/>
              <w:rPr>
                <w:rFonts w:ascii="Arial" w:eastAsia="Arial" w:hAnsi="Arial" w:cs="Arial"/>
                <w:b/>
                <w:noProof/>
                <w:color w:val="000000"/>
                <w:sz w:val="16"/>
              </w:rPr>
            </w:pP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Амортизирана стойност</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-3 550</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-3 109</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11</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-6 648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820" w:type="dxa"/>
            <w:tcBorders>
              <w:top w:val="nil"/>
              <w:left w:val="nil"/>
              <w:bottom w:val="nil"/>
              <w:right w:val="nil"/>
              <w:tl2br w:val="nil"/>
              <w:tr2bl w:val="nil"/>
            </w:tcBorders>
            <w:shd w:val="clear" w:color="auto" w:fill="auto"/>
            <w:tcMar>
              <w:left w:w="40" w:type="dxa"/>
              <w:right w:w="40" w:type="dxa"/>
            </w:tcMar>
            <w:vAlign w:val="center"/>
          </w:tcPr>
          <w:p>
            <w:pPr>
              <w:pStyle w:val="Normal700"/>
              <w:rPr>
                <w:rFonts w:ascii="Arial" w:eastAsia="Arial" w:hAnsi="Arial" w:cs="Arial"/>
                <w:noProof/>
                <w:color w:val="000000"/>
                <w:sz w:val="16"/>
              </w:rPr>
            </w:pPr>
            <w:r>
              <w:rPr>
                <w:rFonts w:ascii="Arial" w:hAnsi="Arial"/>
                <w:noProof/>
                <w:color w:val="000000"/>
                <w:sz w:val="16"/>
              </w:rPr>
              <w:t>Лихва</w:t>
            </w:r>
          </w:p>
        </w:tc>
        <w:tc>
          <w:tcPr>
            <w:tcW w:w="1191"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12 330</w:t>
            </w:r>
          </w:p>
        </w:tc>
        <w:tc>
          <w:tcPr>
            <w:tcW w:w="1077"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9 243</w:t>
            </w:r>
          </w:p>
        </w:tc>
        <w:tc>
          <w:tcPr>
            <w:tcW w:w="1132"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1 031</w:t>
            </w:r>
          </w:p>
        </w:tc>
        <w:tc>
          <w:tcPr>
            <w:tcW w:w="766" w:type="dxa"/>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w:t>
            </w:r>
          </w:p>
        </w:tc>
        <w:tc>
          <w:tcPr>
            <w:tcW w:w="999" w:type="dxa"/>
            <w:gridSpan w:val="2"/>
            <w:tcBorders>
              <w:top w:val="nil"/>
              <w:left w:val="nil"/>
              <w:bottom w:val="nil"/>
              <w:right w:val="nil"/>
              <w:tl2br w:val="nil"/>
              <w:tr2bl w:val="nil"/>
            </w:tcBorders>
            <w:shd w:val="clear" w:color="auto" w:fill="auto"/>
            <w:tcMar>
              <w:left w:w="40" w:type="dxa"/>
              <w:right w:w="40" w:type="dxa"/>
            </w:tcMar>
            <w:vAlign w:val="center"/>
          </w:tcPr>
          <w:p>
            <w:pPr>
              <w:pStyle w:val="Normal700"/>
              <w:jc w:val="right"/>
              <w:rPr>
                <w:rFonts w:ascii="Arial" w:eastAsia="Arial" w:hAnsi="Arial" w:cs="Arial"/>
                <w:noProof/>
                <w:color w:val="000000"/>
                <w:sz w:val="16"/>
              </w:rPr>
            </w:pPr>
            <w:r>
              <w:rPr>
                <w:rFonts w:ascii="Arial" w:hAnsi="Arial"/>
                <w:noProof/>
                <w:color w:val="000000"/>
                <w:sz w:val="16"/>
              </w:rPr>
              <w:t>22 604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4820" w:type="dxa"/>
            <w:tcBorders>
              <w:top w:val="nil"/>
              <w:left w:val="nil"/>
              <w:bottom w:val="nil"/>
              <w:right w:val="nil"/>
              <w:tl2br w:val="nil"/>
              <w:tr2bl w:val="nil"/>
            </w:tcBorders>
            <w:shd w:val="clear" w:color="FFFFFF" w:fill="C0C0C0"/>
            <w:tcMar>
              <w:left w:w="40" w:type="dxa"/>
              <w:right w:w="40" w:type="dxa"/>
            </w:tcMar>
            <w:vAlign w:val="center"/>
          </w:tcPr>
          <w:p>
            <w:pPr>
              <w:pStyle w:val="Normal700"/>
              <w:rPr>
                <w:rFonts w:ascii="Arial" w:eastAsia="Arial" w:hAnsi="Arial" w:cs="Arial"/>
                <w:b/>
                <w:noProof/>
                <w:color w:val="000000"/>
                <w:sz w:val="16"/>
              </w:rPr>
            </w:pPr>
            <w:r>
              <w:rPr>
                <w:rFonts w:ascii="Arial" w:hAnsi="Arial"/>
                <w:b/>
                <w:noProof/>
                <w:color w:val="000000"/>
                <w:sz w:val="16"/>
              </w:rPr>
              <w:t>Заеми и аванси към 31 декември 2018 г.</w:t>
            </w:r>
          </w:p>
        </w:tc>
        <w:tc>
          <w:tcPr>
            <w:tcW w:w="1191"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956 949</w:t>
            </w:r>
          </w:p>
        </w:tc>
        <w:tc>
          <w:tcPr>
            <w:tcW w:w="1077"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549 849</w:t>
            </w:r>
          </w:p>
        </w:tc>
        <w:tc>
          <w:tcPr>
            <w:tcW w:w="1132"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32 399</w:t>
            </w:r>
          </w:p>
        </w:tc>
        <w:tc>
          <w:tcPr>
            <w:tcW w:w="766" w:type="dxa"/>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1 794</w:t>
            </w:r>
          </w:p>
        </w:tc>
        <w:tc>
          <w:tcPr>
            <w:tcW w:w="99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700"/>
              <w:jc w:val="right"/>
              <w:rPr>
                <w:rFonts w:ascii="Arial" w:eastAsia="Arial" w:hAnsi="Arial" w:cs="Arial"/>
                <w:b/>
                <w:noProof/>
                <w:color w:val="000000"/>
                <w:sz w:val="16"/>
              </w:rPr>
            </w:pPr>
            <w:r>
              <w:rPr>
                <w:rFonts w:ascii="Arial" w:hAnsi="Arial"/>
                <w:b/>
                <w:noProof/>
                <w:color w:val="000000"/>
                <w:sz w:val="16"/>
              </w:rPr>
              <w:t>1 540 991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120"/>
        </w:trPr>
        <w:tc>
          <w:tcPr>
            <w:tcW w:w="4820"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91"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1077"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1132"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766"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c>
          <w:tcPr>
            <w:tcW w:w="989" w:type="dxa"/>
            <w:tcBorders>
              <w:top w:val="nil"/>
              <w:left w:val="nil"/>
              <w:bottom w:val="nil"/>
              <w:right w:val="nil"/>
              <w:tl2br w:val="nil"/>
              <w:tr2bl w:val="nil"/>
            </w:tcBorders>
            <w:shd w:val="clear" w:color="auto" w:fill="auto"/>
            <w:tcMar>
              <w:left w:w="0" w:type="dxa"/>
              <w:right w:w="0" w:type="dxa"/>
            </w:tcMar>
            <w:vAlign w:val="center"/>
          </w:tcPr>
          <w:p>
            <w:pPr>
              <w:pStyle w:val="Normal700"/>
              <w:rPr>
                <w:noProof/>
                <w:color w:val="000000"/>
                <w:sz w:val="20"/>
              </w:rPr>
            </w:pP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rPr>
      </w:pPr>
    </w:p>
    <w:p>
      <w:pPr>
        <w:pStyle w:val="Notes"/>
        <w:pageBreakBefore/>
        <w:numPr>
          <w:ilvl w:val="0"/>
          <w:numId w:val="0"/>
        </w:numPr>
        <w:pBdr>
          <w:top w:val="nil"/>
          <w:left w:val="nil"/>
          <w:bottom w:val="nil"/>
          <w:right w:val="nil"/>
          <w:between w:val="nil"/>
          <w:bar w:val="nil"/>
        </w:pBdr>
        <w:ind w:left="432" w:hanging="432"/>
        <w:rPr>
          <w:rFonts w:eastAsia="Calibri"/>
          <w:noProof/>
          <w:sz w:val="22"/>
          <w:bdr w:val="nil"/>
        </w:rPr>
      </w:pPr>
      <w:r>
        <w:rPr>
          <w:noProof/>
          <w:sz w:val="22"/>
          <w:bdr w:val="nil"/>
        </w:rPr>
        <w:t>7</w:t>
      </w:r>
      <w:r>
        <w:rPr>
          <w:noProof/>
        </w:rPr>
        <w:tab/>
      </w:r>
      <w:r>
        <w:rPr>
          <w:noProof/>
          <w:sz w:val="22"/>
          <w:bdr w:val="nil"/>
        </w:rPr>
        <w:t>Заеми и аванси (продължение)</w:t>
      </w:r>
    </w:p>
    <w:p>
      <w:pPr>
        <w:pBdr>
          <w:top w:val="nil"/>
          <w:left w:val="nil"/>
          <w:bottom w:val="nil"/>
          <w:right w:val="nil"/>
          <w:between w:val="nil"/>
          <w:bar w:val="nil"/>
        </w:pBdr>
        <w:rPr>
          <w:rFonts w:ascii="Calibri" w:eastAsia="Calibri" w:hAnsi="Calibri" w:cs="Arial"/>
          <w:noProof/>
          <w:sz w:val="22"/>
          <w:szCs w:val="22"/>
          <w:bdr w:val="nil"/>
        </w:rPr>
      </w:pPr>
      <w:r>
        <w:rPr>
          <w:rFonts w:ascii="Arial" w:hAnsi="Arial"/>
          <w:b/>
          <w:noProof/>
          <w:sz w:val="20"/>
          <w:bdr w:val="nil"/>
        </w:rPr>
        <w:t>7.1 Заеми и аванси (продължение)</w:t>
      </w:r>
    </w:p>
    <w:p>
      <w:pPr>
        <w:pBdr>
          <w:top w:val="nil"/>
          <w:left w:val="nil"/>
          <w:bottom w:val="nil"/>
          <w:right w:val="nil"/>
          <w:between w:val="nil"/>
          <w:bar w:val="nil"/>
        </w:pBdr>
        <w:spacing w:after="200" w:line="276" w:lineRule="auto"/>
        <w:rPr>
          <w:rFonts w:ascii="Calibri" w:eastAsia="Calibri" w:hAnsi="Calibri" w:cs="Arial"/>
          <w:noProof/>
          <w:sz w:val="22"/>
          <w:szCs w:val="22"/>
          <w:bdr w:val="nil"/>
        </w:rPr>
      </w:pPr>
      <w:r>
        <w:rPr>
          <w:noProof/>
        </w:rPr>
        <w:t xml:space="preserve"> </w:t>
      </w:r>
    </w:p>
    <w:tbl>
      <w:tblPr>
        <w:tblStyle w:val="CDMRange214"/>
        <w:tblW w:w="9975" w:type="dxa"/>
        <w:tblLayout w:type="fixed"/>
        <w:tblLook w:val="0600" w:firstRow="0" w:lastRow="0" w:firstColumn="0" w:lastColumn="0" w:noHBand="1" w:noVBand="1"/>
      </w:tblPr>
      <w:tblGrid>
        <w:gridCol w:w="3975"/>
        <w:gridCol w:w="1500"/>
        <w:gridCol w:w="1500"/>
        <w:gridCol w:w="1500"/>
        <w:gridCol w:w="1500"/>
      </w:tblGrid>
      <w:tr>
        <w:trPr>
          <w:trHeight w:val="46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Общи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Привилегировани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Подчинени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hAnsi="Arial"/>
                <w:b/>
                <w:noProof/>
                <w:color w:val="000000"/>
                <w:sz w:val="16"/>
              </w:rPr>
              <w:t>Номинал към 1 януари 2017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994 527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764 339</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71 563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1 830 429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color w:val="000000"/>
                <w:sz w:val="16"/>
              </w:rPr>
              <w:t>Извършени плащания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305 059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63 603</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368 662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color w:val="000000"/>
                <w:sz w:val="16"/>
              </w:rPr>
              <w:t>Отписани задължения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-3 257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-6 138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-9 395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color w:val="000000"/>
                <w:sz w:val="16"/>
              </w:rPr>
              <w:t>Възстановявания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-162 361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-91 125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-253 486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color w:val="000000"/>
                <w:sz w:val="16"/>
              </w:rPr>
              <w:t>Разлики във валутните курсове</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-128 874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-43 180</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-9 017</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-181 071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hAnsi="Arial"/>
                <w:b/>
                <w:noProof/>
                <w:color w:val="000000"/>
                <w:sz w:val="16"/>
              </w:rPr>
              <w:t>Номинал към 31 декември 2017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1 005 094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687 499</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62 546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1 755 139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1"/>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hAnsi="Arial"/>
                <w:b/>
                <w:noProof/>
                <w:color w:val="000000"/>
                <w:sz w:val="16"/>
              </w:rPr>
              <w:t>Обезценка към 1 януари 2017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-18 185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-28 294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-71 161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-117 640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color w:val="000000"/>
                <w:sz w:val="16"/>
              </w:rPr>
              <w:t>Обезценка, записана в отчета за печалбата или загубата и другия всеобхватен доход</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-5 105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-11 572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-16 677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color w:val="000000"/>
                <w:sz w:val="16"/>
              </w:rPr>
              <w:t>Отписани задължения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3 257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6 138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9 395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color w:val="000000"/>
                <w:sz w:val="16"/>
              </w:rPr>
              <w:t>Корекция на обезценка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2 204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3 752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5 956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color w:val="000000"/>
                <w:sz w:val="16"/>
              </w:rPr>
              <w:t>Разлики във валутните курсове</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914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3 234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8 615</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12 763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rPr>
                <w:rFonts w:ascii="Arial" w:eastAsia="Arial" w:hAnsi="Arial" w:cs="Arial"/>
                <w:b/>
                <w:noProof/>
                <w:color w:val="000000"/>
                <w:sz w:val="16"/>
              </w:rPr>
            </w:pPr>
            <w:r>
              <w:rPr>
                <w:rFonts w:ascii="Arial" w:hAnsi="Arial"/>
                <w:b/>
                <w:noProof/>
                <w:color w:val="000000"/>
                <w:sz w:val="16"/>
              </w:rPr>
              <w:t>Обезценка към 31 декември 2017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-16 915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-26 742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-62 546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-106 203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color w:val="000000"/>
                <w:sz w:val="16"/>
              </w:rPr>
              <w:t>Амортизирана стойност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-3 802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-3 408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-7 210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color w:val="000000"/>
                <w:sz w:val="16"/>
              </w:rPr>
              <w:t>Лихва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15 122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9 877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1"/>
              <w:jc w:val="right"/>
              <w:rPr>
                <w:rFonts w:ascii="Arial" w:eastAsia="Arial" w:hAnsi="Arial" w:cs="Arial"/>
                <w:noProof/>
                <w:color w:val="000000"/>
                <w:sz w:val="16"/>
              </w:rPr>
            </w:pPr>
            <w:r>
              <w:rPr>
                <w:rFonts w:ascii="Arial" w:hAnsi="Arial"/>
                <w:noProof/>
                <w:color w:val="000000"/>
                <w:sz w:val="16"/>
              </w:rPr>
              <w:t>24 999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71"/>
              <w:rPr>
                <w:rFonts w:ascii="Arial" w:eastAsia="Arial" w:hAnsi="Arial" w:cs="Arial"/>
                <w:b/>
                <w:noProof/>
                <w:color w:val="000000"/>
                <w:sz w:val="16"/>
              </w:rPr>
            </w:pPr>
            <w:r>
              <w:rPr>
                <w:rFonts w:ascii="Arial" w:hAnsi="Arial"/>
                <w:b/>
                <w:noProof/>
                <w:color w:val="000000"/>
                <w:sz w:val="16"/>
              </w:rPr>
              <w:t>Заеми и вземания към 31 декември 2017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999 499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667 226</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1"/>
              <w:jc w:val="right"/>
              <w:rPr>
                <w:rFonts w:ascii="Arial" w:eastAsia="Arial" w:hAnsi="Arial" w:cs="Arial"/>
                <w:b/>
                <w:noProof/>
                <w:color w:val="000000"/>
                <w:sz w:val="16"/>
              </w:rPr>
            </w:pPr>
            <w:r>
              <w:rPr>
                <w:rFonts w:ascii="Arial" w:hAnsi="Arial"/>
                <w:b/>
                <w:noProof/>
                <w:color w:val="000000"/>
                <w:sz w:val="16"/>
              </w:rPr>
              <w:t>1 666 725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3975"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71"/>
              <w:rPr>
                <w:rFonts w:ascii="Arial" w:eastAsia="Arial" w:hAnsi="Arial" w:cs="Arial"/>
                <w:noProof/>
                <w:color w:val="000000"/>
                <w:sz w:val="16"/>
              </w:rPr>
            </w:pPr>
            <w:r>
              <w:rPr>
                <w:rFonts w:ascii="Arial" w:hAnsi="Arial"/>
                <w:noProof/>
                <w:color w:val="000000"/>
                <w:sz w:val="16"/>
              </w:rPr>
              <w:t>(*) включително споразумения за представителство</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1"/>
              <w:rPr>
                <w:noProof/>
                <w:color w:val="000000"/>
                <w:sz w:val="20"/>
              </w:rPr>
            </w:pP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rPr>
      </w:pPr>
    </w:p>
    <w:p>
      <w:pPr>
        <w:pBdr>
          <w:top w:val="nil"/>
          <w:left w:val="nil"/>
          <w:bottom w:val="nil"/>
          <w:right w:val="nil"/>
          <w:between w:val="nil"/>
          <w:bar w:val="nil"/>
        </w:pBdr>
        <w:rPr>
          <w:rFonts w:ascii="Calibri" w:eastAsia="Calibri" w:hAnsi="Calibri" w:cs="Arial"/>
          <w:noProof/>
          <w:sz w:val="22"/>
          <w:szCs w:val="22"/>
          <w:bdr w:val="nil"/>
        </w:rPr>
      </w:pPr>
      <w:r>
        <w:rPr>
          <w:rFonts w:ascii="Arial" w:hAnsi="Arial"/>
          <w:b/>
          <w:noProof/>
          <w:sz w:val="20"/>
          <w:bdr w:val="nil"/>
        </w:rPr>
        <w:t>7.2 Обезценка на заеми и аванси — корективи за загуби</w:t>
      </w:r>
    </w:p>
    <w:p>
      <w:pPr>
        <w:pStyle w:val="Normal72"/>
        <w:rPr>
          <w:noProof/>
        </w:rPr>
      </w:pPr>
    </w:p>
    <w:tbl>
      <w:tblPr>
        <w:tblStyle w:val="CDMRange115"/>
        <w:tblW w:w="9975" w:type="dxa"/>
        <w:tblLayout w:type="fixed"/>
        <w:tblLook w:val="0600" w:firstRow="0" w:lastRow="0" w:firstColumn="0" w:lastColumn="0" w:noHBand="1" w:noVBand="1"/>
      </w:tblPr>
      <w:tblGrid>
        <w:gridCol w:w="3825"/>
        <w:gridCol w:w="1350"/>
        <w:gridCol w:w="1350"/>
        <w:gridCol w:w="1350"/>
        <w:gridCol w:w="1050"/>
        <w:gridCol w:w="1050"/>
      </w:tblGrid>
      <w:tr>
        <w:trPr>
          <w:trHeight w:hRule="exact" w:val="315"/>
        </w:trPr>
        <w:tc>
          <w:tcPr>
            <w:tcW w:w="3825"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6150" w:type="dxa"/>
            <w:gridSpan w:val="5"/>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center"/>
              <w:rPr>
                <w:rFonts w:ascii="Arial" w:eastAsia="Arial" w:hAnsi="Arial" w:cs="Arial"/>
                <w:b/>
                <w:noProof/>
                <w:color w:val="000000"/>
                <w:sz w:val="16"/>
              </w:rPr>
            </w:pPr>
            <w:r>
              <w:rPr>
                <w:rFonts w:ascii="Arial" w:hAnsi="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3825" w:type="dxa"/>
            <w:tcBorders>
              <w:top w:val="nil"/>
              <w:left w:val="nil"/>
              <w:bottom w:val="single" w:sz="8" w:space="0" w:color="000000"/>
              <w:right w:val="nil"/>
              <w:tl2br w:val="nil"/>
              <w:tr2bl w:val="nil"/>
            </w:tcBorders>
            <w:shd w:val="clear" w:color="auto" w:fill="auto"/>
            <w:tcMar>
              <w:left w:w="40" w:type="dxa"/>
              <w:right w:w="40" w:type="dxa"/>
            </w:tcMar>
            <w:vAlign w:val="bottom"/>
          </w:tcPr>
          <w:p>
            <w:pPr>
              <w:pStyle w:val="Normal72"/>
              <w:rPr>
                <w:rFonts w:ascii="Arial" w:eastAsia="Arial" w:hAnsi="Arial" w:cs="Arial"/>
                <w:b/>
                <w:noProof/>
                <w:color w:val="000000"/>
                <w:sz w:val="16"/>
              </w:rPr>
            </w:pPr>
            <w:r>
              <w:rPr>
                <w:rFonts w:ascii="Arial" w:hAnsi="Arial"/>
                <w:b/>
                <w:noProof/>
                <w:color w:val="000000"/>
                <w:sz w:val="16"/>
              </w:rPr>
              <w:t>В хиляди евро</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color w:val="000000"/>
                <w:sz w:val="16"/>
              </w:rPr>
              <w:t>12-месечни ОКЗ</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color w:val="000000"/>
                <w:sz w:val="16"/>
              </w:rPr>
              <w:t>ОКЗ през целия жизнен цикъл без кредитна обезценка</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color w:val="000000"/>
                <w:sz w:val="16"/>
              </w:rPr>
              <w:t>ОКЗ през целия жизнен цикъл с кредитна обезценка</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color w:val="000000"/>
                <w:sz w:val="16"/>
              </w:rPr>
              <w:t>POCI</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color w:val="000000"/>
                <w:sz w:val="16"/>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382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2"/>
              <w:rPr>
                <w:rFonts w:ascii="Arial" w:eastAsia="Arial" w:hAnsi="Arial" w:cs="Arial"/>
                <w:b/>
                <w:noProof/>
                <w:color w:val="000000"/>
                <w:sz w:val="16"/>
              </w:rPr>
            </w:pPr>
            <w:r>
              <w:rPr>
                <w:rFonts w:ascii="Arial" w:hAnsi="Arial"/>
                <w:b/>
                <w:noProof/>
                <w:color w:val="000000"/>
                <w:sz w:val="16"/>
              </w:rPr>
              <w:t>Заеми и аванси по АС</w:t>
            </w:r>
          </w:p>
        </w:tc>
        <w:tc>
          <w:tcPr>
            <w:tcW w:w="13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13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13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bottom"/>
          </w:tcPr>
          <w:p>
            <w:pPr>
              <w:pStyle w:val="Normal72"/>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hAnsi="Arial"/>
                <w:noProof/>
                <w:color w:val="000000"/>
                <w:sz w:val="16"/>
              </w:rPr>
              <w:t>Салдо към 1 януари 2018 г.</w:t>
            </w:r>
          </w:p>
        </w:tc>
        <w:tc>
          <w:tcPr>
            <w:tcW w:w="13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19 738</w:t>
            </w:r>
          </w:p>
        </w:tc>
        <w:tc>
          <w:tcPr>
            <w:tcW w:w="13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29 975</w:t>
            </w:r>
          </w:p>
        </w:tc>
        <w:tc>
          <w:tcPr>
            <w:tcW w:w="13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105 826</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155 539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hAnsi="Arial"/>
                <w:noProof/>
                <w:color w:val="000000"/>
                <w:sz w:val="16"/>
              </w:rPr>
              <w:t>Трансфер към 12-месечни ОКЗ</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2 285</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2 285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nil"/>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hAnsi="Arial"/>
                <w:noProof/>
                <w:color w:val="000000"/>
                <w:sz w:val="16"/>
              </w:rPr>
              <w:t>Трансфер към ОКЗ през целия жизнен цикъл без кредитна обезценка</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-2 633</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-2 633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nil"/>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hAnsi="Arial"/>
                <w:noProof/>
                <w:color w:val="000000"/>
                <w:sz w:val="16"/>
              </w:rPr>
              <w:t>Трансфер към ОКЗ през целия жизнен цикъл с кредитна обезценка</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27 646</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1 794</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29 440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nil"/>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hAnsi="Arial"/>
                <w:noProof/>
                <w:color w:val="000000"/>
                <w:sz w:val="16"/>
              </w:rPr>
              <w:t>Финансови активи, които са отписани</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825" w:type="dxa"/>
            <w:tcBorders>
              <w:top w:val="nil"/>
              <w:left w:val="nil"/>
              <w:bottom w:val="nil"/>
              <w:right w:val="nil"/>
              <w:tl2br w:val="nil"/>
              <w:tr2bl w:val="nil"/>
            </w:tcBorders>
            <w:shd w:val="clear" w:color="auto" w:fill="auto"/>
            <w:noWrap/>
            <w:tcMar>
              <w:left w:w="40" w:type="dxa"/>
              <w:right w:w="40" w:type="dxa"/>
            </w:tcMar>
            <w:vAlign w:val="bottom"/>
          </w:tcPr>
          <w:p>
            <w:pPr>
              <w:pStyle w:val="Normal72"/>
              <w:rPr>
                <w:rFonts w:ascii="Arial" w:eastAsia="Arial" w:hAnsi="Arial" w:cs="Arial"/>
                <w:noProof/>
                <w:color w:val="000000"/>
                <w:sz w:val="16"/>
              </w:rPr>
            </w:pPr>
            <w:r>
              <w:rPr>
                <w:rFonts w:ascii="Arial" w:hAnsi="Arial"/>
                <w:noProof/>
                <w:color w:val="000000"/>
                <w:sz w:val="16"/>
              </w:rPr>
              <w:t>Отписвания</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pPr>
              <w:pStyle w:val="Normal72"/>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3825" w:type="dxa"/>
            <w:tcBorders>
              <w:top w:val="nil"/>
              <w:left w:val="nil"/>
              <w:bottom w:val="nil"/>
              <w:right w:val="nil"/>
              <w:tl2br w:val="nil"/>
              <w:tr2bl w:val="nil"/>
            </w:tcBorders>
            <w:shd w:val="clear" w:color="FFFFFF" w:fill="BFBFBF"/>
            <w:noWrap/>
            <w:tcMar>
              <w:left w:w="40" w:type="dxa"/>
              <w:right w:w="40" w:type="dxa"/>
            </w:tcMar>
            <w:vAlign w:val="center"/>
          </w:tcPr>
          <w:p>
            <w:pPr>
              <w:pStyle w:val="Normal72"/>
              <w:rPr>
                <w:rFonts w:ascii="Arial" w:eastAsia="Arial" w:hAnsi="Arial" w:cs="Arial"/>
                <w:b/>
                <w:noProof/>
                <w:color w:val="000000"/>
                <w:sz w:val="16"/>
              </w:rPr>
            </w:pPr>
            <w:r>
              <w:rPr>
                <w:rFonts w:ascii="Arial" w:hAnsi="Arial"/>
                <w:b/>
                <w:noProof/>
                <w:color w:val="000000"/>
                <w:sz w:val="16"/>
              </w:rPr>
              <w:t>Салдо към 31 декември 2018 г.</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color w:val="000000"/>
                <w:sz w:val="16"/>
              </w:rPr>
              <w:t>22 023</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color w:val="000000"/>
                <w:sz w:val="16"/>
              </w:rPr>
              <w:t>27 342</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color w:val="000000"/>
                <w:sz w:val="16"/>
              </w:rPr>
              <w:t>133 472</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color w:val="000000"/>
                <w:sz w:val="16"/>
              </w:rPr>
              <w:t>1 794</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72"/>
              <w:jc w:val="right"/>
              <w:rPr>
                <w:rFonts w:ascii="Arial" w:eastAsia="Arial" w:hAnsi="Arial" w:cs="Arial"/>
                <w:b/>
                <w:noProof/>
                <w:color w:val="000000"/>
                <w:sz w:val="16"/>
              </w:rPr>
            </w:pPr>
            <w:r>
              <w:rPr>
                <w:rFonts w:ascii="Arial" w:hAnsi="Arial"/>
                <w:b/>
                <w:noProof/>
                <w:color w:val="000000"/>
                <w:sz w:val="16"/>
              </w:rPr>
              <w:t>184 631</w:t>
            </w: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rPr>
        <w:t>8</w:t>
      </w:r>
      <w:r>
        <w:rPr>
          <w:noProof/>
        </w:rPr>
        <w:tab/>
        <w:t>Акции и други ценни книжа с променлива доходност</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Следната таблица показва равнение от началното до крайното салдо на капиталовите инвестиции по новата политика на измерване съгласно МСФО 9. Сравнителните стойности за 2017 г. представляват измерване съгласно МСС 39, когато капиталовите инструменти са класифицирани в портфейл на разположение за продажба: </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5"/>
        <w:tblW w:w="9690" w:type="dxa"/>
        <w:tblLayout w:type="fixed"/>
        <w:tblLook w:val="0600" w:firstRow="0" w:lastRow="0" w:firstColumn="0" w:lastColumn="0" w:noHBand="1" w:noVBand="1"/>
      </w:tblPr>
      <w:tblGrid>
        <w:gridCol w:w="5925"/>
        <w:gridCol w:w="1425"/>
        <w:gridCol w:w="1260"/>
        <w:gridCol w:w="1080"/>
      </w:tblGrid>
      <w:tr>
        <w:trPr>
          <w:trHeight w:val="465"/>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В хиляди евро</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Фондове за рисков капитал</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Преки капиталови инвестиции</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Стойност към 1 януари 2018 г.</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356 086</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70 310</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426 396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Извършени плащания</w:t>
            </w:r>
          </w:p>
        </w:tc>
        <w:tc>
          <w:tcPr>
            <w:tcW w:w="14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73 250</w:t>
            </w:r>
          </w:p>
        </w:tc>
        <w:tc>
          <w:tcPr>
            <w:tcW w:w="12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22 184</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95 434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Възстановени суми/продажби</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-21 681</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-635</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-22 316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Разлики във валутните курсове при възстановените суми /продажбите</w:t>
            </w:r>
          </w:p>
        </w:tc>
        <w:tc>
          <w:tcPr>
            <w:tcW w:w="14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13 938</w:t>
            </w:r>
          </w:p>
        </w:tc>
        <w:tc>
          <w:tcPr>
            <w:tcW w:w="126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1 355</w:t>
            </w:r>
          </w:p>
        </w:tc>
        <w:tc>
          <w:tcPr>
            <w:tcW w:w="10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15 293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Стойност към 31 декември 2018 г.</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421 593</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93 214</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514 807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26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08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Нереализирани печалби и загуби към 1 януари 2018 г.</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64 018</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7 125</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71 143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Нетна промяна в нереализираните печалби и загуби</w:t>
            </w:r>
          </w:p>
        </w:tc>
        <w:tc>
          <w:tcPr>
            <w:tcW w:w="14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-20 493</w:t>
            </w:r>
          </w:p>
        </w:tc>
        <w:tc>
          <w:tcPr>
            <w:tcW w:w="12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-172</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-20 665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Разлики в обменните курсове на нереализираните печалби и загуби</w:t>
            </w:r>
          </w:p>
        </w:tc>
        <w:tc>
          <w:tcPr>
            <w:tcW w:w="14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2 034</w:t>
            </w:r>
          </w:p>
        </w:tc>
        <w:tc>
          <w:tcPr>
            <w:tcW w:w="126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-27</w:t>
            </w:r>
          </w:p>
        </w:tc>
        <w:tc>
          <w:tcPr>
            <w:tcW w:w="10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2 007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Нереализирани печалби и загуби към 31 декември 2018 г.</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45 559</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6 926</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10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52 485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26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08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FFFFFF" w:fill="C0C0C0"/>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Акции и други ценни книжа с променлива доходност към 31 декември 2018 г.</w:t>
            </w:r>
          </w:p>
        </w:tc>
        <w:tc>
          <w:tcPr>
            <w:tcW w:w="1425"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467 152</w:t>
            </w:r>
          </w:p>
        </w:tc>
        <w:tc>
          <w:tcPr>
            <w:tcW w:w="126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100 140</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567 292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92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42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26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08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592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3"/>
              <w:rPr>
                <w:rFonts w:ascii="Arial" w:eastAsia="Arial" w:hAnsi="Arial" w:cs="Arial"/>
                <w:b/>
                <w:noProof/>
                <w:color w:val="000000"/>
                <w:sz w:val="16"/>
              </w:rPr>
            </w:pPr>
            <w:r>
              <w:rPr>
                <w:rFonts w:ascii="Arial" w:hAnsi="Arial"/>
                <w:b/>
                <w:noProof/>
                <w:color w:val="000000"/>
                <w:sz w:val="16"/>
              </w:rPr>
              <w:t>В хиляди евро</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Фондове за рисков капитал</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Преки капиталови инвестиции</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Стойност към 1 януари 2017 г.</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331 253</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72 636</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403 889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Извършени плащания</w:t>
            </w:r>
          </w:p>
        </w:tc>
        <w:tc>
          <w:tcPr>
            <w:tcW w:w="14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62 660</w:t>
            </w:r>
          </w:p>
        </w:tc>
        <w:tc>
          <w:tcPr>
            <w:tcW w:w="12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62 660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Възстановени суми/продажби</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-38 990</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-708</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-39 698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Отписани задължения</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-437</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-1 673</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-2 110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Разлики във валутните курсове при възстановените суми /продажбите</w:t>
            </w:r>
          </w:p>
        </w:tc>
        <w:tc>
          <w:tcPr>
            <w:tcW w:w="14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1 600</w:t>
            </w:r>
          </w:p>
        </w:tc>
        <w:tc>
          <w:tcPr>
            <w:tcW w:w="126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55</w:t>
            </w:r>
          </w:p>
        </w:tc>
        <w:tc>
          <w:tcPr>
            <w:tcW w:w="10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1 655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Стойност към 31 декември 2017 г.</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356 086</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70 310</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426 396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26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08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Нереализирани печалби и загуби към 1 януари 2017 г.</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129 427</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13 457</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142 884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Нетна промяна в нереализираните печалби и загуби</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-20 930</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-1 008</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-21 938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Нереализирани печалби и загуби към 31 декември 2017 г.</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108 497</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12 449</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120 946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26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08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Обезценка към 1 януари 2017 г.</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-22 892</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-6 997</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-29 889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59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Обезценка, записана в отчета за печалбата или загубата и другия всеобхватен доход през годината</w:t>
            </w:r>
          </w:p>
        </w:tc>
        <w:tc>
          <w:tcPr>
            <w:tcW w:w="142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-22 024</w:t>
            </w:r>
          </w:p>
        </w:tc>
        <w:tc>
          <w:tcPr>
            <w:tcW w:w="126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w:t>
            </w:r>
          </w:p>
        </w:tc>
        <w:tc>
          <w:tcPr>
            <w:tcW w:w="108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-22 024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Отписани задължения</w:t>
            </w:r>
          </w:p>
        </w:tc>
        <w:tc>
          <w:tcPr>
            <w:tcW w:w="142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437</w:t>
            </w:r>
          </w:p>
        </w:tc>
        <w:tc>
          <w:tcPr>
            <w:tcW w:w="126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1 673</w:t>
            </w:r>
          </w:p>
        </w:tc>
        <w:tc>
          <w:tcPr>
            <w:tcW w:w="108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2 110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9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Обезценка към 31 декември 2017 г.</w:t>
            </w:r>
          </w:p>
        </w:tc>
        <w:tc>
          <w:tcPr>
            <w:tcW w:w="14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-44 479</w:t>
            </w:r>
          </w:p>
        </w:tc>
        <w:tc>
          <w:tcPr>
            <w:tcW w:w="126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-5 324</w:t>
            </w:r>
          </w:p>
        </w:tc>
        <w:tc>
          <w:tcPr>
            <w:tcW w:w="10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-49 803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b/>
                <w:noProof/>
                <w:color w:val="000000"/>
                <w:sz w:val="16"/>
              </w:rPr>
            </w:pPr>
          </w:p>
        </w:tc>
        <w:tc>
          <w:tcPr>
            <w:tcW w:w="1425"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26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c>
          <w:tcPr>
            <w:tcW w:w="1080" w:type="dxa"/>
            <w:tcBorders>
              <w:top w:val="single" w:sz="8"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925" w:type="dxa"/>
            <w:tcBorders>
              <w:top w:val="nil"/>
              <w:left w:val="nil"/>
              <w:bottom w:val="nil"/>
              <w:right w:val="nil"/>
              <w:tl2br w:val="nil"/>
              <w:tr2bl w:val="nil"/>
            </w:tcBorders>
            <w:shd w:val="clear" w:color="FFFFFF" w:fill="C0C0C0"/>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Финансови активи на разположение за продажба към 31 декември 2017 г.</w:t>
            </w:r>
          </w:p>
        </w:tc>
        <w:tc>
          <w:tcPr>
            <w:tcW w:w="1425"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420 104</w:t>
            </w:r>
          </w:p>
        </w:tc>
        <w:tc>
          <w:tcPr>
            <w:tcW w:w="126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77 435</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497 539</w:t>
            </w:r>
          </w:p>
        </w:tc>
      </w:tr>
    </w:tbl>
    <w:p>
      <w:pPr>
        <w:pStyle w:val="Title1"/>
        <w:pageBreakBefore/>
        <w:numPr>
          <w:ilvl w:val="0"/>
          <w:numId w:val="0"/>
        </w:numPr>
        <w:pBdr>
          <w:top w:val="nil"/>
          <w:left w:val="nil"/>
          <w:bottom w:val="nil"/>
          <w:right w:val="nil"/>
          <w:between w:val="nil"/>
          <w:bar w:val="nil"/>
        </w:pBdr>
        <w:ind w:left="432" w:hanging="432"/>
        <w:rPr>
          <w:noProof/>
          <w:bdr w:val="nil"/>
        </w:rPr>
      </w:pPr>
      <w:r>
        <w:rPr>
          <w:noProof/>
        </w:rPr>
        <w:t>9</w:t>
      </w:r>
      <w:r>
        <w:rPr>
          <w:noProof/>
        </w:rPr>
        <w:tab/>
        <w:t>Вземания от вносителите (хиляди евро)</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Вземанията в размер на 100 000 EUR от вносителите се състоят изцяло от поискани, но неизплатени вноски на държавите членки.</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p>
      <w:pPr>
        <w:pStyle w:val="Notes"/>
        <w:numPr>
          <w:ilvl w:val="0"/>
          <w:numId w:val="0"/>
        </w:numPr>
        <w:pBdr>
          <w:top w:val="nil"/>
          <w:left w:val="nil"/>
          <w:bottom w:val="nil"/>
          <w:right w:val="nil"/>
          <w:between w:val="nil"/>
          <w:bar w:val="nil"/>
        </w:pBdr>
        <w:ind w:left="432" w:hanging="432"/>
        <w:rPr>
          <w:noProof/>
          <w:bdr w:val="nil"/>
        </w:rPr>
      </w:pPr>
      <w:r>
        <w:rPr>
          <w:noProof/>
        </w:rPr>
        <w:t>10</w:t>
      </w:r>
      <w:r>
        <w:rPr>
          <w:noProof/>
        </w:rPr>
        <w:tab/>
        <w:t>Касови финансови активи</w:t>
      </w:r>
    </w:p>
    <w:p>
      <w:pPr>
        <w:pBdr>
          <w:top w:val="nil"/>
          <w:left w:val="nil"/>
          <w:bottom w:val="nil"/>
          <w:right w:val="nil"/>
          <w:between w:val="nil"/>
          <w:bar w:val="nil"/>
        </w:pBdr>
        <w:spacing w:before="60" w:after="60"/>
        <w:jc w:val="both"/>
        <w:rPr>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Касовият портфейл се състои от облигации, търгувани на фондовата борса, които имат остатъчен падеж, по-кратък от три месеца, към отчетната дата. Следната таблица показва движението по касовия портфейл: </w:t>
      </w:r>
    </w:p>
    <w:p>
      <w:pPr>
        <w:pBdr>
          <w:top w:val="nil"/>
          <w:left w:val="nil"/>
          <w:bottom w:val="nil"/>
          <w:right w:val="nil"/>
          <w:between w:val="nil"/>
          <w:bar w:val="nil"/>
        </w:pBdr>
        <w:spacing w:before="60" w:after="60"/>
        <w:jc w:val="both"/>
        <w:rPr>
          <w:noProof/>
        </w:rPr>
      </w:pPr>
    </w:p>
    <w:tbl>
      <w:tblPr>
        <w:tblStyle w:val="CDMRange116"/>
        <w:tblW w:w="9975" w:type="dxa"/>
        <w:tblLayout w:type="fixed"/>
        <w:tblLook w:val="0600" w:firstRow="0" w:lastRow="0" w:firstColumn="0" w:lastColumn="0" w:noHBand="1" w:noVBand="1"/>
      </w:tblPr>
      <w:tblGrid>
        <w:gridCol w:w="8475"/>
        <w:gridCol w:w="1500"/>
      </w:tblGrid>
      <w:tr>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Салдо към 1 януари 2018 г.</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144 382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color w:val="000000"/>
                <w:sz w:val="16"/>
              </w:rPr>
              <w:t>Придобивания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2 219 062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color w:val="000000"/>
                <w:sz w:val="16"/>
              </w:rPr>
              <w:t>Падежи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-2 026 659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color w:val="000000"/>
                <w:sz w:val="16"/>
              </w:rPr>
              <w:t>Промяна в амортизацията на ажио/дизажио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149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color w:val="000000"/>
                <w:sz w:val="16"/>
              </w:rPr>
              <w:t xml:space="preserve">Промяна в начислената лихва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-1 794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Салдо към 31 декември 2018 г.</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335 140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4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847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74"/>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Салдо към 1 януари 2017 г.</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169 398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color w:val="000000"/>
                <w:sz w:val="16"/>
              </w:rPr>
              <w:t>Придобивания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1 084 149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color w:val="000000"/>
                <w:sz w:val="16"/>
              </w:rPr>
              <w:t xml:space="preserve">Падежи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-1 109 563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color w:val="000000"/>
                <w:sz w:val="16"/>
              </w:rPr>
              <w:t>Промяна в амортизацията на ажио/дизажио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color w:val="000000"/>
                <w:sz w:val="16"/>
              </w:rPr>
              <w:t xml:space="preserve">Промяна в начислената лихва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457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Салдо към 31 декември 2017 г.</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144 382</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rPr>
        <w:t>11</w:t>
      </w:r>
      <w:r>
        <w:rPr>
          <w:noProof/>
        </w:rPr>
        <w:tab/>
        <w:t>Други активи</w:t>
      </w:r>
    </w:p>
    <w:p>
      <w:pPr>
        <w:pBdr>
          <w:top w:val="nil"/>
          <w:left w:val="nil"/>
          <w:bottom w:val="nil"/>
          <w:right w:val="nil"/>
          <w:between w:val="nil"/>
          <w:bar w:val="nil"/>
        </w:pBdr>
        <w:spacing w:before="60" w:after="60"/>
        <w:jc w:val="both"/>
        <w:rPr>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другите активи са следните:</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6"/>
        <w:tblW w:w="9975" w:type="dxa"/>
        <w:tblLayout w:type="fixed"/>
        <w:tblLook w:val="0600" w:firstRow="0" w:lastRow="0" w:firstColumn="0" w:lastColumn="0" w:noHBand="1" w:noVBand="1"/>
      </w:tblPr>
      <w:tblGrid>
        <w:gridCol w:w="6975"/>
        <w:gridCol w:w="1500"/>
        <w:gridCol w:w="1500"/>
      </w:tblGrid>
      <w:tr>
        <w:trPr>
          <w:trHeight w:val="26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31.12.2018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Вземания от ЕИБ</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4 117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Финансови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Общо други активи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171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4 385</w:t>
            </w:r>
          </w:p>
        </w:tc>
      </w:tr>
    </w:tbl>
    <w:p>
      <w:pPr>
        <w:pStyle w:val="Notes"/>
        <w:numPr>
          <w:ilvl w:val="0"/>
          <w:numId w:val="0"/>
        </w:numPr>
        <w:pBdr>
          <w:top w:val="nil"/>
          <w:left w:val="nil"/>
          <w:bottom w:val="nil"/>
          <w:right w:val="nil"/>
          <w:between w:val="nil"/>
          <w:bar w:val="nil"/>
        </w:pBdr>
        <w:rPr>
          <w:noProof/>
          <w:bdr w:val="nil"/>
        </w:rPr>
      </w:pPr>
    </w:p>
    <w:p>
      <w:pPr>
        <w:pStyle w:val="Notes"/>
        <w:numPr>
          <w:ilvl w:val="0"/>
          <w:numId w:val="0"/>
        </w:numPr>
        <w:pBdr>
          <w:top w:val="nil"/>
          <w:left w:val="nil"/>
          <w:bottom w:val="nil"/>
          <w:right w:val="nil"/>
          <w:between w:val="nil"/>
          <w:bar w:val="nil"/>
        </w:pBdr>
        <w:rPr>
          <w:noProof/>
          <w:bdr w:val="nil"/>
        </w:rPr>
      </w:pPr>
      <w:r>
        <w:rPr>
          <w:noProof/>
        </w:rPr>
        <w:t>12    Приходи за бъдещи периоди</w:t>
      </w:r>
    </w:p>
    <w:p>
      <w:pPr>
        <w:pBdr>
          <w:top w:val="nil"/>
          <w:left w:val="nil"/>
          <w:bottom w:val="nil"/>
          <w:right w:val="nil"/>
          <w:between w:val="nil"/>
          <w:bar w:val="nil"/>
        </w:pBdr>
        <w:spacing w:before="60" w:after="60"/>
        <w:jc w:val="both"/>
        <w:rPr>
          <w:rFonts w:ascii="Arial" w:hAnsi="Arial"/>
          <w:b/>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приходите за бъдещи периоди са следните:</w:t>
      </w:r>
    </w:p>
    <w:p>
      <w:pPr>
        <w:pBdr>
          <w:top w:val="nil"/>
          <w:left w:val="nil"/>
          <w:bottom w:val="nil"/>
          <w:right w:val="nil"/>
          <w:between w:val="nil"/>
          <w:bar w:val="nil"/>
        </w:pBdr>
        <w:rPr>
          <w:rFonts w:ascii="Arial" w:hAnsi="Arial"/>
          <w:b/>
          <w:noProof/>
          <w:sz w:val="16"/>
          <w:szCs w:val="16"/>
          <w:bdr w:val="nil"/>
        </w:rPr>
      </w:pPr>
      <w:r>
        <w:rPr>
          <w:noProof/>
        </w:rPr>
        <w:t xml:space="preserve"> </w:t>
      </w:r>
    </w:p>
    <w:tbl>
      <w:tblPr>
        <w:tblStyle w:val="CDMRange117"/>
        <w:tblW w:w="9975" w:type="dxa"/>
        <w:tblLayout w:type="fixed"/>
        <w:tblLook w:val="0600" w:firstRow="0" w:lastRow="0" w:firstColumn="0" w:lastColumn="0" w:noHBand="1" w:noVBand="1"/>
      </w:tblPr>
      <w:tblGrid>
        <w:gridCol w:w="6975"/>
        <w:gridCol w:w="1500"/>
        <w:gridCol w:w="1500"/>
      </w:tblGrid>
      <w:tr>
        <w:trPr>
          <w:trHeight w:val="27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6"/>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6"/>
              <w:jc w:val="right"/>
              <w:rPr>
                <w:rFonts w:ascii="Arial" w:eastAsia="Arial" w:hAnsi="Arial" w:cs="Arial"/>
                <w:b/>
                <w:noProof/>
                <w:color w:val="000000"/>
                <w:sz w:val="16"/>
              </w:rPr>
            </w:pPr>
            <w:r>
              <w:rPr>
                <w:rFonts w:ascii="Arial" w:hAnsi="Arial"/>
                <w:b/>
                <w:noProof/>
                <w:color w:val="000000"/>
                <w:sz w:val="16"/>
              </w:rPr>
              <w:t>31.12.2018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6"/>
              <w:jc w:val="right"/>
              <w:rPr>
                <w:rFonts w:ascii="Arial" w:eastAsia="Arial" w:hAnsi="Arial" w:cs="Arial"/>
                <w:b/>
                <w:noProof/>
                <w:color w:val="000000"/>
                <w:sz w:val="16"/>
              </w:rPr>
            </w:pPr>
            <w:r>
              <w:rPr>
                <w:rFonts w:ascii="Arial" w:hAnsi="Arial"/>
                <w:b/>
                <w:noProof/>
                <w:color w:val="000000"/>
                <w:sz w:val="16"/>
              </w:rPr>
              <w:t>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6"/>
              <w:rPr>
                <w:rFonts w:ascii="Arial" w:eastAsia="Arial" w:hAnsi="Arial" w:cs="Arial"/>
                <w:noProof/>
                <w:color w:val="000000"/>
                <w:sz w:val="16"/>
              </w:rPr>
            </w:pPr>
            <w:r>
              <w:rPr>
                <w:rFonts w:ascii="Arial" w:hAnsi="Arial"/>
                <w:noProof/>
                <w:color w:val="000000"/>
                <w:sz w:val="16"/>
              </w:rPr>
              <w:t>Отложени лихвени субсидии</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6"/>
              <w:jc w:val="right"/>
              <w:rPr>
                <w:rFonts w:ascii="Arial" w:eastAsia="Arial" w:hAnsi="Arial" w:cs="Arial"/>
                <w:noProof/>
                <w:color w:val="000000"/>
                <w:sz w:val="16"/>
              </w:rPr>
            </w:pPr>
            <w:r>
              <w:rPr>
                <w:rFonts w:ascii="Arial" w:hAnsi="Arial"/>
                <w:noProof/>
                <w:color w:val="000000"/>
                <w:sz w:val="16"/>
              </w:rPr>
              <w:t>32 658</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6"/>
              <w:jc w:val="right"/>
              <w:rPr>
                <w:rFonts w:ascii="Arial" w:eastAsia="Arial" w:hAnsi="Arial" w:cs="Arial"/>
                <w:noProof/>
                <w:color w:val="000000"/>
                <w:sz w:val="16"/>
              </w:rPr>
            </w:pPr>
            <w:r>
              <w:rPr>
                <w:rFonts w:ascii="Arial" w:hAnsi="Arial"/>
                <w:noProof/>
                <w:color w:val="000000"/>
                <w:sz w:val="16"/>
              </w:rPr>
              <w:t>24 895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6"/>
              <w:rPr>
                <w:rFonts w:ascii="Arial" w:eastAsia="Arial" w:hAnsi="Arial" w:cs="Arial"/>
                <w:noProof/>
                <w:color w:val="000000"/>
                <w:sz w:val="16"/>
              </w:rPr>
            </w:pPr>
            <w:r>
              <w:rPr>
                <w:rFonts w:ascii="Arial" w:hAnsi="Arial"/>
                <w:noProof/>
                <w:color w:val="000000"/>
                <w:sz w:val="16"/>
              </w:rPr>
              <w:t>Отложени комисионни за заеми и аванси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6"/>
              <w:jc w:val="right"/>
              <w:rPr>
                <w:rFonts w:ascii="Arial" w:eastAsia="Arial" w:hAnsi="Arial" w:cs="Arial"/>
                <w:noProof/>
                <w:color w:val="000000"/>
                <w:sz w:val="16"/>
              </w:rPr>
            </w:pPr>
            <w:r>
              <w:rPr>
                <w:rFonts w:ascii="Arial" w:hAnsi="Arial"/>
                <w:noProof/>
                <w:color w:val="000000"/>
                <w:sz w:val="16"/>
              </w:rPr>
              <w:t>1 106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6"/>
              <w:jc w:val="right"/>
              <w:rPr>
                <w:rFonts w:ascii="Arial" w:eastAsia="Arial" w:hAnsi="Arial" w:cs="Arial"/>
                <w:noProof/>
                <w:color w:val="000000"/>
                <w:sz w:val="16"/>
              </w:rPr>
            </w:pPr>
            <w:r>
              <w:rPr>
                <w:rFonts w:ascii="Arial" w:hAnsi="Arial"/>
                <w:noProof/>
                <w:color w:val="000000"/>
                <w:sz w:val="16"/>
              </w:rPr>
              <w:t>907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76"/>
              <w:rPr>
                <w:rFonts w:ascii="Arial" w:eastAsia="Arial" w:hAnsi="Arial" w:cs="Arial"/>
                <w:b/>
                <w:noProof/>
                <w:color w:val="000000"/>
                <w:sz w:val="16"/>
              </w:rPr>
            </w:pPr>
            <w:r>
              <w:rPr>
                <w:rFonts w:ascii="Arial" w:hAnsi="Arial"/>
                <w:b/>
                <w:noProof/>
                <w:color w:val="000000"/>
                <w:sz w:val="16"/>
              </w:rPr>
              <w:t>Общо приходи за бъдещи периоди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6"/>
              <w:jc w:val="right"/>
              <w:rPr>
                <w:rFonts w:ascii="Arial" w:eastAsia="Arial" w:hAnsi="Arial" w:cs="Arial"/>
                <w:b/>
                <w:noProof/>
                <w:color w:val="000000"/>
                <w:sz w:val="16"/>
              </w:rPr>
            </w:pPr>
            <w:r>
              <w:rPr>
                <w:rFonts w:ascii="Arial" w:hAnsi="Arial"/>
                <w:b/>
                <w:noProof/>
                <w:color w:val="000000"/>
                <w:sz w:val="16"/>
              </w:rPr>
              <w:t>33 764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6"/>
              <w:jc w:val="right"/>
              <w:rPr>
                <w:rFonts w:ascii="Arial" w:eastAsia="Arial" w:hAnsi="Arial" w:cs="Arial"/>
                <w:b/>
                <w:noProof/>
                <w:color w:val="000000"/>
                <w:sz w:val="16"/>
              </w:rPr>
            </w:pPr>
            <w:r>
              <w:rPr>
                <w:rFonts w:ascii="Arial" w:hAnsi="Arial"/>
                <w:b/>
                <w:noProof/>
                <w:color w:val="000000"/>
                <w:sz w:val="16"/>
              </w:rPr>
              <w:t>25 802</w:t>
            </w: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rPr>
        <w:t>13</w:t>
      </w:r>
      <w:r>
        <w:rPr>
          <w:noProof/>
        </w:rPr>
        <w:tab/>
        <w:t>Провизии за издадени гаранции</w:t>
      </w:r>
    </w:p>
    <w:p>
      <w:pPr>
        <w:pBdr>
          <w:top w:val="nil"/>
          <w:left w:val="nil"/>
          <w:bottom w:val="nil"/>
          <w:right w:val="nil"/>
          <w:between w:val="nil"/>
          <w:bar w:val="nil"/>
        </w:pBdr>
        <w:spacing w:before="60" w:after="60"/>
        <w:jc w:val="both"/>
        <w:rPr>
          <w:rFonts w:ascii="Arial" w:hAnsi="Arial"/>
          <w:noProof/>
          <w:sz w:val="16"/>
          <w:szCs w:val="16"/>
          <w:bdr w:val="nil"/>
        </w:rPr>
      </w:pPr>
    </w:p>
    <w:p>
      <w:pPr>
        <w:pStyle w:val="Normal67"/>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Следните таблици показват равнение от началното до крайното салдо на провизиите за финансови гаранции по новия модел на ОКЗ съгласно МСФО 9. Сравнителните стойности за 2017 г. представляват провизиите за издадените гаранции, признати съгласно МСС 39, тъй като има обективни доказателства, че механизмът ще трябва да претърпи загуба по отношение на предоставените гаранции.</w:t>
      </w:r>
    </w:p>
    <w:tbl>
      <w:tblPr>
        <w:tblStyle w:val="CDMRange118"/>
        <w:tblW w:w="9600" w:type="dxa"/>
        <w:tblLayout w:type="fixed"/>
        <w:tblLook w:val="0600" w:firstRow="0" w:lastRow="0" w:firstColumn="0" w:lastColumn="0" w:noHBand="1" w:noVBand="1"/>
      </w:tblPr>
      <w:tblGrid>
        <w:gridCol w:w="3600"/>
        <w:gridCol w:w="1500"/>
        <w:gridCol w:w="1500"/>
        <w:gridCol w:w="1500"/>
        <w:gridCol w:w="1500"/>
      </w:tblGrid>
      <w:tr>
        <w:trPr>
          <w:trHeight w:hRule="exact" w:val="315"/>
        </w:trPr>
        <w:tc>
          <w:tcPr>
            <w:tcW w:w="36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8"/>
              <w:rPr>
                <w:rFonts w:ascii="Arial" w:eastAsia="Arial" w:hAnsi="Arial" w:cs="Arial"/>
                <w:noProof/>
                <w:color w:val="000000"/>
                <w:sz w:val="20"/>
              </w:rPr>
            </w:pPr>
          </w:p>
        </w:tc>
        <w:tc>
          <w:tcPr>
            <w:tcW w:w="6000" w:type="dxa"/>
            <w:gridSpan w:val="4"/>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8"/>
              <w:jc w:val="center"/>
              <w:rPr>
                <w:rFonts w:ascii="Arial" w:eastAsia="Arial" w:hAnsi="Arial" w:cs="Arial"/>
                <w:b/>
                <w:noProof/>
                <w:color w:val="000000"/>
                <w:sz w:val="16"/>
              </w:rPr>
            </w:pPr>
            <w:r>
              <w:rPr>
                <w:rFonts w:ascii="Arial" w:hAnsi="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6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12-месечни ОКЗ</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ОКЗ през целия жизнен цикъл без кредитна обезценка</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ОКЗ през целия жизнен цикъл с кредитна обезценка</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6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b/>
                <w:noProof/>
                <w:color w:val="000000"/>
                <w:sz w:val="16"/>
              </w:rPr>
            </w:pPr>
            <w:r>
              <w:rPr>
                <w:rFonts w:ascii="Arial" w:hAnsi="Arial"/>
                <w:b/>
                <w:noProof/>
                <w:color w:val="000000"/>
                <w:sz w:val="16"/>
              </w:rPr>
              <w:t xml:space="preserve">Издадени гаранции </w:t>
            </w: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color w:val="000000"/>
                <w:sz w:val="16"/>
              </w:rPr>
              <w:t>Салдо към 1 януари</w:t>
            </w:r>
          </w:p>
        </w:tc>
        <w:tc>
          <w:tcPr>
            <w:tcW w:w="15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484</w:t>
            </w:r>
          </w:p>
        </w:tc>
        <w:tc>
          <w:tcPr>
            <w:tcW w:w="15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single" w:sz="4" w:space="0" w:color="auto"/>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484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color w:val="000000"/>
                <w:sz w:val="16"/>
              </w:rPr>
              <w:t>Трансфер към 12-месечни ОКЗ</w:t>
            </w:r>
          </w:p>
        </w:tc>
        <w:tc>
          <w:tcPr>
            <w:tcW w:w="15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94</w:t>
            </w:r>
          </w:p>
        </w:tc>
        <w:tc>
          <w:tcPr>
            <w:tcW w:w="15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color w:val="000000"/>
                <w:sz w:val="16"/>
              </w:rPr>
              <w:t>Трансфер към ОКЗ през целия жизнен цикъл без кредитна обезценка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391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391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color w:val="000000"/>
                <w:sz w:val="16"/>
              </w:rPr>
              <w:t>Трансфер към ОКЗ през целия жизнен цикъл с кредитна обезценка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5"/>
              </w:rPr>
            </w:pPr>
            <w:r>
              <w:rPr>
                <w:rFonts w:ascii="Arial" w:hAnsi="Arial"/>
                <w:noProof/>
                <w:color w:val="000000"/>
                <w:sz w:val="15"/>
              </w:rPr>
              <w:t>Гаранции, които са отписани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hAnsi="Arial" w:cs="Arial"/>
                <w:noProof/>
                <w:color w:val="000000"/>
                <w:sz w:val="16"/>
                <w:szCs w:val="16"/>
              </w:rPr>
            </w:pPr>
            <w:r>
              <w:rPr>
                <w:rFonts w:ascii="Arial" w:hAnsi="Arial"/>
                <w:noProof/>
                <w:color w:val="000000"/>
                <w:sz w:val="16"/>
              </w:rPr>
              <w:t>Искания за задействане на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hAnsi="Arial" w:cs="Arial"/>
                <w:noProof/>
                <w:color w:val="000000"/>
                <w:sz w:val="16"/>
                <w:szCs w:val="16"/>
              </w:rPr>
            </w:pPr>
            <w:r>
              <w:rPr>
                <w:rFonts w:ascii="Arial" w:hAnsi="Arial"/>
                <w:noProof/>
                <w:color w:val="000000"/>
                <w:sz w:val="16"/>
              </w:rPr>
              <w:t>Амортизация на авансови такси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-128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-128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hAnsi="Arial" w:cs="Arial"/>
                <w:noProof/>
                <w:color w:val="000000"/>
                <w:sz w:val="16"/>
                <w:szCs w:val="16"/>
              </w:rPr>
            </w:pPr>
            <w:r>
              <w:rPr>
                <w:rFonts w:ascii="Arial" w:hAnsi="Arial"/>
                <w:noProof/>
                <w:color w:val="000000"/>
                <w:sz w:val="16"/>
              </w:rPr>
              <w:t>Разлики във валутните курсове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FFFFFF" w:fill="C0C0C0"/>
            <w:tcMar>
              <w:left w:w="40" w:type="dxa"/>
              <w:right w:w="40" w:type="dxa"/>
            </w:tcMar>
            <w:vAlign w:val="center"/>
          </w:tcPr>
          <w:p>
            <w:pPr>
              <w:pStyle w:val="Normal78"/>
              <w:rPr>
                <w:rFonts w:ascii="Arial" w:eastAsia="Arial" w:hAnsi="Arial" w:cs="Arial"/>
                <w:b/>
                <w:noProof/>
                <w:color w:val="000000"/>
                <w:sz w:val="16"/>
              </w:rPr>
            </w:pPr>
            <w:r>
              <w:rPr>
                <w:rFonts w:ascii="Arial" w:hAnsi="Arial"/>
                <w:b/>
                <w:noProof/>
                <w:color w:val="000000"/>
                <w:sz w:val="16"/>
              </w:rPr>
              <w:t>Салдо към 31 декември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94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699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793</w:t>
            </w:r>
          </w:p>
        </w:tc>
      </w:tr>
    </w:tbl>
    <w:p>
      <w:pPr>
        <w:pBdr>
          <w:top w:val="nil"/>
          <w:left w:val="nil"/>
          <w:bottom w:val="nil"/>
          <w:right w:val="nil"/>
          <w:between w:val="nil"/>
          <w:bar w:val="nil"/>
        </w:pBdr>
        <w:rPr>
          <w:noProof/>
          <w:bdr w:val="nil"/>
        </w:rPr>
      </w:pPr>
    </w:p>
    <w:tbl>
      <w:tblP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tblGrid>
      <w:tr>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2017</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Салдо към 1 януари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625</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Допълнения, записани в отчета за печалбата или загубата и другия всеобхватен доход</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65</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Използвани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-206</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Трансфер от „Други пасиви“, финансови гаранции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Салдо към 31 декември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484</w:t>
            </w:r>
          </w:p>
        </w:tc>
      </w:tr>
    </w:tbl>
    <w:p>
      <w:pPr>
        <w:pBdr>
          <w:top w:val="nil"/>
          <w:left w:val="nil"/>
          <w:bottom w:val="nil"/>
          <w:right w:val="nil"/>
          <w:between w:val="nil"/>
          <w:bar w:val="nil"/>
        </w:pBdr>
        <w:rPr>
          <w:noProof/>
          <w:bdr w:val="nil"/>
        </w:rPr>
      </w:pPr>
    </w:p>
    <w:p>
      <w:pPr>
        <w:pStyle w:val="Notes"/>
        <w:numPr>
          <w:ilvl w:val="0"/>
          <w:numId w:val="0"/>
        </w:numPr>
        <w:pBdr>
          <w:top w:val="nil"/>
          <w:left w:val="nil"/>
          <w:bottom w:val="nil"/>
          <w:right w:val="nil"/>
          <w:between w:val="nil"/>
          <w:bar w:val="nil"/>
        </w:pBdr>
        <w:ind w:left="432" w:hanging="432"/>
        <w:rPr>
          <w:noProof/>
          <w:szCs w:val="20"/>
          <w:bdr w:val="nil"/>
        </w:rPr>
      </w:pPr>
      <w:r>
        <w:rPr>
          <w:noProof/>
        </w:rPr>
        <w:t>14</w:t>
      </w:r>
      <w:r>
        <w:rPr>
          <w:noProof/>
        </w:rPr>
        <w:tab/>
        <w:t>Провизии за кредитни ангажименти</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jc w:val="both"/>
        <w:rPr>
          <w:noProof/>
          <w:bdr w:val="nil"/>
        </w:rPr>
      </w:pPr>
      <w:r>
        <w:rPr>
          <w:rFonts w:ascii="Arial" w:hAnsi="Arial"/>
          <w:noProof/>
          <w:sz w:val="16"/>
          <w:bdr w:val="nil"/>
        </w:rPr>
        <w:t>Следната таблица показва равнение от началното до крайното салдо на коректива за загуби по непредоставени заеми (кредитни ангажименти) по новия модел на ОКЗ съгласно МСФО 9. Сравнителните стойности за 2017 г. представляват корективна сметка за кредитни загуби и отразяват измерването съгласно МСС 39.</w:t>
      </w:r>
    </w:p>
    <w:p>
      <w:pPr>
        <w:pStyle w:val="Normal78"/>
        <w:rPr>
          <w:noProof/>
        </w:rPr>
      </w:pPr>
    </w:p>
    <w:tbl>
      <w:tblPr>
        <w:tblStyle w:val="CDMRange118"/>
        <w:tblW w:w="9600" w:type="dxa"/>
        <w:tblLayout w:type="fixed"/>
        <w:tblLook w:val="0600" w:firstRow="0" w:lastRow="0" w:firstColumn="0" w:lastColumn="0" w:noHBand="1" w:noVBand="1"/>
      </w:tblPr>
      <w:tblGrid>
        <w:gridCol w:w="3600"/>
        <w:gridCol w:w="1500"/>
        <w:gridCol w:w="1500"/>
        <w:gridCol w:w="1500"/>
        <w:gridCol w:w="1500"/>
      </w:tblGrid>
      <w:tr>
        <w:trPr>
          <w:trHeight w:hRule="exact" w:val="315"/>
        </w:trPr>
        <w:tc>
          <w:tcPr>
            <w:tcW w:w="3600" w:type="dxa"/>
            <w:tcBorders>
              <w:top w:val="single" w:sz="8" w:space="0" w:color="000000"/>
              <w:left w:val="nil"/>
              <w:bottom w:val="nil"/>
              <w:right w:val="nil"/>
              <w:tl2br w:val="nil"/>
              <w:tr2bl w:val="nil"/>
            </w:tcBorders>
            <w:shd w:val="clear" w:color="auto" w:fill="auto"/>
            <w:noWrap/>
            <w:tcMar>
              <w:left w:w="0" w:type="dxa"/>
              <w:right w:w="0" w:type="dxa"/>
            </w:tcMar>
            <w:vAlign w:val="bottom"/>
          </w:tcPr>
          <w:p>
            <w:pPr>
              <w:pStyle w:val="Normal78"/>
              <w:rPr>
                <w:rFonts w:ascii="Arial" w:eastAsia="Arial" w:hAnsi="Arial" w:cs="Arial"/>
                <w:noProof/>
                <w:color w:val="000000"/>
                <w:sz w:val="20"/>
              </w:rPr>
            </w:pPr>
          </w:p>
        </w:tc>
        <w:tc>
          <w:tcPr>
            <w:tcW w:w="6000" w:type="dxa"/>
            <w:gridSpan w:val="4"/>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pStyle w:val="Normal78"/>
              <w:jc w:val="center"/>
              <w:rPr>
                <w:rFonts w:ascii="Arial" w:eastAsia="Arial" w:hAnsi="Arial" w:cs="Arial"/>
                <w:b/>
                <w:noProof/>
                <w:color w:val="000000"/>
                <w:sz w:val="16"/>
              </w:rPr>
            </w:pPr>
            <w:r>
              <w:rPr>
                <w:rFonts w:ascii="Arial" w:hAnsi="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36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12-месечни ОКЗ</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ОКЗ през целия жизнен цикъл без кредитна обезценка</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ОКЗ през целия жизнен цикъл с кредитна обезценка</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6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b/>
                <w:noProof/>
                <w:color w:val="000000"/>
                <w:sz w:val="16"/>
              </w:rPr>
            </w:pPr>
            <w:r>
              <w:rPr>
                <w:rFonts w:ascii="Arial" w:hAnsi="Arial"/>
                <w:b/>
                <w:noProof/>
                <w:color w:val="000000"/>
                <w:sz w:val="16"/>
              </w:rPr>
              <w:t>Кредитни ангажименти</w:t>
            </w: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0" w:type="dxa"/>
              <w:right w:w="0" w:type="dxa"/>
            </w:tcMar>
            <w:vAlign w:val="center"/>
          </w:tcPr>
          <w:p>
            <w:pPr>
              <w:pStyle w:val="Normal7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color w:val="000000"/>
                <w:sz w:val="16"/>
              </w:rPr>
              <w:t>Салдо към 1 януари</w:t>
            </w:r>
          </w:p>
        </w:tc>
        <w:tc>
          <w:tcPr>
            <w:tcW w:w="15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1 993</w:t>
            </w:r>
          </w:p>
        </w:tc>
        <w:tc>
          <w:tcPr>
            <w:tcW w:w="15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2 163</w:t>
            </w:r>
          </w:p>
        </w:tc>
        <w:tc>
          <w:tcPr>
            <w:tcW w:w="15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4 156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color w:val="000000"/>
                <w:sz w:val="16"/>
              </w:rPr>
              <w:t>Трансфер към 12-месечни ОКЗ</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5 192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5 192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color w:val="000000"/>
                <w:sz w:val="16"/>
              </w:rPr>
              <w:t>Трансфер към ОКЗ през целия жизнен цикъл без кредитна обезценка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14 420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14 420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pStyle w:val="Normal78"/>
              <w:rPr>
                <w:rFonts w:ascii="Arial" w:eastAsia="Arial" w:hAnsi="Arial" w:cs="Arial"/>
                <w:noProof/>
                <w:color w:val="000000"/>
                <w:sz w:val="16"/>
              </w:rPr>
            </w:pPr>
            <w:r>
              <w:rPr>
                <w:rFonts w:ascii="Arial" w:hAnsi="Arial"/>
                <w:noProof/>
                <w:color w:val="000000"/>
                <w:sz w:val="16"/>
              </w:rPr>
              <w:t>Трансфер към ОКЗ през целия жизнен цикъл с кредитна обезценка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5"/>
              </w:rPr>
            </w:pPr>
            <w:r>
              <w:rPr>
                <w:rFonts w:ascii="Arial" w:hAnsi="Arial"/>
                <w:noProof/>
                <w:color w:val="000000"/>
                <w:sz w:val="16"/>
              </w:rPr>
              <w:t>Разлики във валутните курсове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8"/>
              <w:jc w:val="right"/>
              <w:rPr>
                <w:rFonts w:ascii="Arial" w:eastAsia="Arial" w:hAnsi="Arial" w:cs="Arial"/>
                <w:noProof/>
                <w:color w:val="000000"/>
                <w:sz w:val="16"/>
              </w:rPr>
            </w:pPr>
            <w:r>
              <w:rPr>
                <w:rFonts w:ascii="Arial" w:hAnsi="Arial"/>
                <w:noProof/>
                <w:color w:val="000000"/>
                <w:sz w:val="16"/>
              </w:rPr>
              <w:t>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600" w:type="dxa"/>
            <w:tcBorders>
              <w:top w:val="nil"/>
              <w:left w:val="nil"/>
              <w:bottom w:val="nil"/>
              <w:right w:val="nil"/>
              <w:tl2br w:val="nil"/>
              <w:tr2bl w:val="nil"/>
            </w:tcBorders>
            <w:shd w:val="clear" w:color="FFFFFF" w:fill="C0C0C0"/>
            <w:tcMar>
              <w:left w:w="40" w:type="dxa"/>
              <w:right w:w="40" w:type="dxa"/>
            </w:tcMar>
            <w:vAlign w:val="center"/>
          </w:tcPr>
          <w:p>
            <w:pPr>
              <w:pStyle w:val="Normal78"/>
              <w:rPr>
                <w:rFonts w:ascii="Arial" w:eastAsia="Arial" w:hAnsi="Arial" w:cs="Arial"/>
                <w:b/>
                <w:noProof/>
                <w:color w:val="000000"/>
                <w:sz w:val="16"/>
              </w:rPr>
            </w:pPr>
            <w:r>
              <w:rPr>
                <w:rFonts w:ascii="Arial" w:hAnsi="Arial"/>
                <w:b/>
                <w:noProof/>
                <w:color w:val="000000"/>
                <w:sz w:val="16"/>
              </w:rPr>
              <w:t>Салдо към 31 декември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7 225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16 597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8"/>
              <w:jc w:val="right"/>
              <w:rPr>
                <w:rFonts w:ascii="Arial" w:eastAsia="Arial" w:hAnsi="Arial" w:cs="Arial"/>
                <w:b/>
                <w:noProof/>
                <w:color w:val="000000"/>
                <w:sz w:val="16"/>
              </w:rPr>
            </w:pPr>
            <w:r>
              <w:rPr>
                <w:rFonts w:ascii="Arial" w:hAnsi="Arial"/>
                <w:b/>
                <w:noProof/>
                <w:color w:val="000000"/>
                <w:sz w:val="16"/>
              </w:rPr>
              <w:t>23 822</w:t>
            </w:r>
          </w:p>
        </w:tc>
      </w:tr>
    </w:tbl>
    <w:p>
      <w:pPr>
        <w:pStyle w:val="Notes"/>
        <w:numPr>
          <w:ilvl w:val="0"/>
          <w:numId w:val="0"/>
        </w:numPr>
        <w:pBdr>
          <w:top w:val="nil"/>
          <w:left w:val="nil"/>
          <w:bottom w:val="nil"/>
          <w:right w:val="nil"/>
          <w:between w:val="nil"/>
          <w:bar w:val="nil"/>
        </w:pBdr>
        <w:ind w:left="432" w:hanging="432"/>
        <w:rPr>
          <w:noProof/>
          <w:bdr w:val="nil"/>
        </w:rPr>
      </w:pPr>
    </w:p>
    <w:p>
      <w:pPr>
        <w:rPr>
          <w:rFonts w:ascii="Arial" w:hAnsi="Arial"/>
          <w:b/>
          <w:noProof/>
          <w:sz w:val="20"/>
          <w:bdr w:val="nil"/>
        </w:rPr>
      </w:pPr>
      <w:r>
        <w:rPr>
          <w:noProof/>
        </w:rPr>
        <w:br w:type="page"/>
      </w:r>
    </w:p>
    <w:p>
      <w:pPr>
        <w:pStyle w:val="Notes"/>
        <w:numPr>
          <w:ilvl w:val="0"/>
          <w:numId w:val="0"/>
        </w:numPr>
        <w:pBdr>
          <w:top w:val="nil"/>
          <w:left w:val="nil"/>
          <w:bottom w:val="nil"/>
          <w:right w:val="nil"/>
          <w:between w:val="nil"/>
          <w:bar w:val="nil"/>
        </w:pBdr>
        <w:ind w:left="432" w:hanging="432"/>
        <w:rPr>
          <w:noProof/>
          <w:bdr w:val="nil"/>
        </w:rPr>
      </w:pPr>
      <w:r>
        <w:rPr>
          <w:noProof/>
        </w:rPr>
        <w:t>15</w:t>
      </w:r>
      <w:r>
        <w:rPr>
          <w:noProof/>
        </w:rPr>
        <w:tab/>
        <w:t xml:space="preserve">Дължими суми на трети страни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дължимите суми на трети страни са следните:</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8"/>
        <w:tblW w:w="9975" w:type="dxa"/>
        <w:tblLayout w:type="fixed"/>
        <w:tblLook w:val="0600" w:firstRow="0" w:lastRow="0" w:firstColumn="0" w:lastColumn="0" w:noHBand="1" w:noVBand="1"/>
      </w:tblPr>
      <w:tblGrid>
        <w:gridCol w:w="6975"/>
        <w:gridCol w:w="1500"/>
        <w:gridCol w:w="1500"/>
      </w:tblGrid>
      <w:tr>
        <w:trPr>
          <w:trHeight w:val="26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9"/>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9"/>
              <w:jc w:val="right"/>
              <w:rPr>
                <w:rFonts w:ascii="Arial" w:eastAsia="Arial" w:hAnsi="Arial" w:cs="Arial"/>
                <w:b/>
                <w:noProof/>
                <w:color w:val="000000"/>
                <w:sz w:val="16"/>
              </w:rPr>
            </w:pPr>
            <w:r>
              <w:rPr>
                <w:rFonts w:ascii="Arial" w:hAnsi="Arial"/>
                <w:b/>
                <w:noProof/>
                <w:color w:val="000000"/>
                <w:sz w:val="16"/>
              </w:rPr>
              <w:t>31.12.2018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79"/>
              <w:jc w:val="right"/>
              <w:rPr>
                <w:rFonts w:ascii="Arial" w:eastAsia="Arial" w:hAnsi="Arial" w:cs="Arial"/>
                <w:b/>
                <w:noProof/>
                <w:color w:val="000000"/>
                <w:sz w:val="16"/>
              </w:rPr>
            </w:pPr>
            <w:r>
              <w:rPr>
                <w:rFonts w:ascii="Arial" w:hAnsi="Arial"/>
                <w:b/>
                <w:noProof/>
                <w:color w:val="000000"/>
                <w:sz w:val="16"/>
              </w:rPr>
              <w:t>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9"/>
              <w:rPr>
                <w:rFonts w:ascii="Arial" w:eastAsia="Arial" w:hAnsi="Arial" w:cs="Arial"/>
                <w:noProof/>
                <w:color w:val="000000"/>
                <w:sz w:val="16"/>
              </w:rPr>
            </w:pPr>
            <w:r>
              <w:rPr>
                <w:rFonts w:ascii="Arial" w:hAnsi="Arial"/>
                <w:noProof/>
                <w:color w:val="000000"/>
                <w:sz w:val="16"/>
              </w:rPr>
              <w:t>Нетни общи административни разходи, платими на ЕИБ</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hAnsi="Arial"/>
                <w:noProof/>
                <w:color w:val="000000"/>
                <w:sz w:val="16"/>
              </w:rPr>
              <w:t>47 799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hAnsi="Arial"/>
                <w:noProof/>
                <w:color w:val="000000"/>
                <w:sz w:val="16"/>
              </w:rPr>
              <w:t>45 105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9"/>
              <w:rPr>
                <w:rFonts w:ascii="Arial" w:eastAsia="Arial" w:hAnsi="Arial" w:cs="Arial"/>
                <w:noProof/>
                <w:color w:val="000000"/>
                <w:sz w:val="16"/>
              </w:rPr>
            </w:pPr>
            <w:r>
              <w:rPr>
                <w:rFonts w:ascii="Arial" w:hAnsi="Arial"/>
                <w:noProof/>
                <w:color w:val="000000"/>
                <w:sz w:val="16"/>
              </w:rPr>
              <w:t>Други суми, платими на ЕИБ</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hAnsi="Arial"/>
                <w:noProof/>
                <w:color w:val="000000"/>
                <w:sz w:val="16"/>
              </w:rPr>
              <w:t>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hAnsi="Arial"/>
                <w:noProof/>
                <w:color w:val="000000"/>
                <w:sz w:val="16"/>
              </w:rPr>
              <w:t>580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79"/>
              <w:rPr>
                <w:rFonts w:ascii="Arial" w:eastAsia="Arial" w:hAnsi="Arial" w:cs="Arial"/>
                <w:noProof/>
                <w:color w:val="000000"/>
                <w:sz w:val="16"/>
              </w:rPr>
            </w:pPr>
            <w:r>
              <w:rPr>
                <w:rFonts w:ascii="Arial" w:hAnsi="Arial"/>
                <w:noProof/>
                <w:color w:val="000000"/>
                <w:sz w:val="16"/>
              </w:rPr>
              <w:t>Още неизплатени лихвени субсидии и техническа помощ, дължими на държавите членки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hAnsi="Arial"/>
                <w:noProof/>
                <w:color w:val="000000"/>
                <w:sz w:val="16"/>
              </w:rPr>
              <w:t>95 960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9"/>
              <w:jc w:val="right"/>
              <w:rPr>
                <w:rFonts w:ascii="Arial" w:eastAsia="Arial" w:hAnsi="Arial" w:cs="Arial"/>
                <w:noProof/>
                <w:color w:val="000000"/>
                <w:sz w:val="16"/>
              </w:rPr>
            </w:pPr>
            <w:r>
              <w:rPr>
                <w:rFonts w:ascii="Arial" w:hAnsi="Arial"/>
                <w:noProof/>
                <w:color w:val="000000"/>
                <w:sz w:val="16"/>
              </w:rPr>
              <w:t>111,600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79"/>
              <w:rPr>
                <w:rFonts w:ascii="Arial" w:eastAsia="Arial" w:hAnsi="Arial" w:cs="Arial"/>
                <w:b/>
                <w:noProof/>
                <w:color w:val="000000"/>
                <w:sz w:val="16"/>
              </w:rPr>
            </w:pPr>
            <w:r>
              <w:rPr>
                <w:rFonts w:ascii="Arial" w:hAnsi="Arial"/>
                <w:b/>
                <w:noProof/>
                <w:color w:val="000000"/>
                <w:sz w:val="16"/>
              </w:rPr>
              <w:t>Общо дължими суми на трети страни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9"/>
              <w:jc w:val="right"/>
              <w:rPr>
                <w:rFonts w:ascii="Arial" w:eastAsia="Arial" w:hAnsi="Arial" w:cs="Arial"/>
                <w:b/>
                <w:noProof/>
                <w:color w:val="000000"/>
                <w:sz w:val="16"/>
              </w:rPr>
            </w:pPr>
            <w:r>
              <w:rPr>
                <w:rFonts w:ascii="Arial" w:hAnsi="Arial"/>
                <w:b/>
                <w:noProof/>
                <w:color w:val="000000"/>
                <w:sz w:val="16"/>
              </w:rPr>
              <w:t>143 813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9"/>
              <w:jc w:val="right"/>
              <w:rPr>
                <w:rFonts w:ascii="Arial" w:eastAsia="Arial" w:hAnsi="Arial" w:cs="Arial"/>
                <w:b/>
                <w:noProof/>
                <w:color w:val="000000"/>
                <w:sz w:val="16"/>
              </w:rPr>
            </w:pPr>
            <w:r>
              <w:rPr>
                <w:rFonts w:ascii="Arial" w:hAnsi="Arial"/>
                <w:b/>
                <w:noProof/>
                <w:color w:val="000000"/>
                <w:sz w:val="16"/>
              </w:rPr>
              <w:t>157 285</w:t>
            </w:r>
          </w:p>
        </w:tc>
      </w:tr>
    </w:tbl>
    <w:p>
      <w:pPr>
        <w:rPr>
          <w:rFonts w:ascii="Arial" w:hAnsi="Arial"/>
          <w:b/>
          <w:noProof/>
          <w:sz w:val="20"/>
          <w:bdr w:val="nil"/>
        </w:rPr>
      </w:pPr>
    </w:p>
    <w:p>
      <w:pPr>
        <w:pStyle w:val="Notes"/>
        <w:numPr>
          <w:ilvl w:val="0"/>
          <w:numId w:val="0"/>
        </w:numPr>
        <w:pBdr>
          <w:top w:val="nil"/>
          <w:left w:val="nil"/>
          <w:bottom w:val="nil"/>
          <w:right w:val="nil"/>
          <w:between w:val="nil"/>
          <w:bar w:val="nil"/>
        </w:pBdr>
        <w:ind w:left="432" w:hanging="432"/>
        <w:rPr>
          <w:noProof/>
          <w:bdr w:val="nil"/>
        </w:rPr>
      </w:pPr>
      <w:r>
        <w:rPr>
          <w:noProof/>
        </w:rPr>
        <w:t>16</w:t>
      </w:r>
      <w:r>
        <w:rPr>
          <w:noProof/>
        </w:rPr>
        <w:tab/>
        <w:t>Други пасиви</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другите пасиви са следните:</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9"/>
        <w:tblW w:w="9975" w:type="dxa"/>
        <w:tblLayout w:type="fixed"/>
        <w:tblLook w:val="0600" w:firstRow="0" w:lastRow="0" w:firstColumn="0" w:lastColumn="0" w:noHBand="1" w:noVBand="1"/>
      </w:tblPr>
      <w:tblGrid>
        <w:gridCol w:w="6975"/>
        <w:gridCol w:w="1500"/>
        <w:gridCol w:w="1500"/>
      </w:tblGrid>
      <w:tr>
        <w:trPr>
          <w:trHeight w:val="27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0"/>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0"/>
              <w:jc w:val="right"/>
              <w:rPr>
                <w:rFonts w:ascii="Arial" w:eastAsia="Arial" w:hAnsi="Arial" w:cs="Arial"/>
                <w:b/>
                <w:noProof/>
                <w:color w:val="000000"/>
                <w:sz w:val="16"/>
              </w:rPr>
            </w:pPr>
            <w:r>
              <w:rPr>
                <w:rFonts w:ascii="Arial" w:hAnsi="Arial"/>
                <w:b/>
                <w:noProof/>
                <w:color w:val="000000"/>
                <w:sz w:val="16"/>
              </w:rPr>
              <w:t>31.12.2018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0"/>
              <w:jc w:val="right"/>
              <w:rPr>
                <w:rFonts w:ascii="Arial" w:eastAsia="Arial" w:hAnsi="Arial" w:cs="Arial"/>
                <w:b/>
                <w:noProof/>
                <w:color w:val="000000"/>
                <w:sz w:val="16"/>
              </w:rPr>
            </w:pPr>
            <w:r>
              <w:rPr>
                <w:rFonts w:ascii="Arial" w:hAnsi="Arial"/>
                <w:b/>
                <w:noProof/>
                <w:color w:val="000000"/>
                <w:sz w:val="16"/>
              </w:rPr>
              <w:t>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0"/>
              <w:rPr>
                <w:rFonts w:ascii="Arial" w:eastAsia="Arial" w:hAnsi="Arial" w:cs="Arial"/>
                <w:noProof/>
                <w:color w:val="000000"/>
                <w:sz w:val="16"/>
              </w:rPr>
            </w:pPr>
            <w:r>
              <w:rPr>
                <w:rFonts w:ascii="Arial" w:hAnsi="Arial"/>
                <w:noProof/>
                <w:color w:val="000000"/>
                <w:sz w:val="16"/>
              </w:rPr>
              <w:t xml:space="preserve">Погасявания на заеми, получени авансово </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hAnsi="Arial"/>
                <w:noProof/>
                <w:color w:val="000000"/>
                <w:sz w:val="16"/>
              </w:rPr>
              <w:t>2 124</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hAnsi="Arial"/>
                <w:noProof/>
                <w:color w:val="000000"/>
                <w:sz w:val="16"/>
              </w:rPr>
              <w:t>1 986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0"/>
              <w:rPr>
                <w:rFonts w:ascii="Arial" w:eastAsia="Arial" w:hAnsi="Arial" w:cs="Arial"/>
                <w:noProof/>
                <w:color w:val="000000"/>
                <w:sz w:val="16"/>
              </w:rPr>
            </w:pPr>
            <w:r>
              <w:rPr>
                <w:rFonts w:ascii="Arial" w:hAnsi="Arial"/>
                <w:noProof/>
                <w:color w:val="000000"/>
                <w:sz w:val="16"/>
              </w:rPr>
              <w:t>Приходи за бъдещи периоди от лихвени субсидии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hAnsi="Arial"/>
                <w:noProof/>
                <w:color w:val="000000"/>
                <w:sz w:val="16"/>
              </w:rPr>
              <w:t>369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hAnsi="Arial"/>
                <w:noProof/>
                <w:color w:val="000000"/>
                <w:sz w:val="16"/>
              </w:rPr>
              <w:t>436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0"/>
              <w:rPr>
                <w:rFonts w:ascii="Arial" w:eastAsia="Arial" w:hAnsi="Arial" w:cs="Arial"/>
                <w:noProof/>
                <w:color w:val="000000"/>
                <w:sz w:val="16"/>
              </w:rPr>
            </w:pPr>
            <w:r>
              <w:rPr>
                <w:rFonts w:ascii="Arial" w:hAnsi="Arial"/>
                <w:noProof/>
                <w:color w:val="000000"/>
                <w:sz w:val="16"/>
              </w:rPr>
              <w:t>Финансови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0"/>
              <w:jc w:val="right"/>
              <w:rPr>
                <w:rFonts w:ascii="Arial" w:eastAsia="Arial" w:hAnsi="Arial" w:cs="Arial"/>
                <w:noProof/>
                <w:color w:val="000000"/>
                <w:sz w:val="16"/>
              </w:rPr>
            </w:pPr>
            <w:r>
              <w:rPr>
                <w:rFonts w:ascii="Arial" w:hAnsi="Arial"/>
                <w:noProof/>
                <w:color w:val="000000"/>
                <w:sz w:val="16"/>
              </w:rPr>
              <w:t>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0"/>
              <w:rPr>
                <w:rFonts w:ascii="Arial" w:eastAsia="Arial" w:hAnsi="Arial" w:cs="Arial"/>
                <w:b/>
                <w:noProof/>
                <w:color w:val="000000"/>
                <w:sz w:val="16"/>
              </w:rPr>
            </w:pPr>
            <w:r>
              <w:rPr>
                <w:rFonts w:ascii="Arial" w:hAnsi="Arial"/>
                <w:b/>
                <w:noProof/>
                <w:color w:val="000000"/>
                <w:sz w:val="16"/>
              </w:rPr>
              <w:t>Общо други пасиви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0"/>
              <w:jc w:val="right"/>
              <w:rPr>
                <w:rFonts w:ascii="Arial" w:eastAsia="Arial" w:hAnsi="Arial" w:cs="Arial"/>
                <w:b/>
                <w:noProof/>
                <w:color w:val="000000"/>
                <w:sz w:val="16"/>
              </w:rPr>
            </w:pPr>
            <w:r>
              <w:rPr>
                <w:rFonts w:ascii="Arial" w:hAnsi="Arial"/>
                <w:b/>
                <w:noProof/>
                <w:color w:val="000000"/>
                <w:sz w:val="16"/>
              </w:rPr>
              <w:t>2 493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0"/>
              <w:jc w:val="right"/>
              <w:rPr>
                <w:rFonts w:ascii="Arial" w:eastAsia="Arial" w:hAnsi="Arial" w:cs="Arial"/>
                <w:b/>
                <w:noProof/>
                <w:color w:val="000000"/>
                <w:sz w:val="16"/>
              </w:rPr>
            </w:pPr>
            <w:r>
              <w:rPr>
                <w:rFonts w:ascii="Arial" w:hAnsi="Arial"/>
                <w:b/>
                <w:noProof/>
                <w:color w:val="000000"/>
                <w:sz w:val="16"/>
              </w:rPr>
              <w:t>2 462</w:t>
            </w:r>
          </w:p>
        </w:tc>
      </w:tr>
    </w:tbl>
    <w:p>
      <w:pPr>
        <w:pStyle w:val="Notes"/>
        <w:numPr>
          <w:ilvl w:val="0"/>
          <w:numId w:val="0"/>
        </w:numPr>
        <w:pBdr>
          <w:top w:val="nil"/>
          <w:left w:val="nil"/>
          <w:bottom w:val="nil"/>
          <w:right w:val="nil"/>
          <w:between w:val="nil"/>
          <w:bar w:val="nil"/>
        </w:pBdr>
        <w:ind w:left="432" w:hanging="432"/>
        <w:rPr>
          <w:noProof/>
          <w:bdr w:val="nil"/>
        </w:rPr>
      </w:pPr>
    </w:p>
    <w:p>
      <w:pPr>
        <w:rPr>
          <w:rFonts w:ascii="Arial" w:hAnsi="Arial"/>
          <w:b/>
          <w:noProof/>
          <w:sz w:val="20"/>
          <w:bdr w:val="nil"/>
        </w:rPr>
      </w:pPr>
      <w:r>
        <w:rPr>
          <w:noProof/>
        </w:rPr>
        <w:br w:type="page"/>
      </w:r>
    </w:p>
    <w:p>
      <w:pPr>
        <w:pStyle w:val="Notes"/>
        <w:numPr>
          <w:ilvl w:val="0"/>
          <w:numId w:val="0"/>
        </w:numPr>
        <w:pBdr>
          <w:top w:val="nil"/>
          <w:left w:val="nil"/>
          <w:bottom w:val="nil"/>
          <w:right w:val="nil"/>
          <w:between w:val="nil"/>
          <w:bar w:val="nil"/>
        </w:pBdr>
        <w:ind w:left="432" w:hanging="432"/>
        <w:rPr>
          <w:noProof/>
          <w:bdr w:val="nil"/>
        </w:rPr>
      </w:pPr>
      <w:r>
        <w:rPr>
          <w:noProof/>
        </w:rPr>
        <w:t>17</w:t>
      </w:r>
      <w:r>
        <w:rPr>
          <w:noProof/>
        </w:rPr>
        <w:tab/>
        <w:t>Поискана вноска от държавите членки (хиляди евро)</w:t>
      </w:r>
    </w:p>
    <w:p>
      <w:pPr>
        <w:pStyle w:val="Notes"/>
        <w:numPr>
          <w:ilvl w:val="0"/>
          <w:numId w:val="0"/>
        </w:numPr>
        <w:pBdr>
          <w:top w:val="nil"/>
          <w:left w:val="nil"/>
          <w:bottom w:val="nil"/>
          <w:right w:val="nil"/>
          <w:between w:val="nil"/>
          <w:bar w:val="nil"/>
        </w:pBdr>
        <w:rPr>
          <w:noProof/>
          <w:sz w:val="16"/>
          <w:szCs w:val="16"/>
          <w:bdr w:val="nil"/>
        </w:rPr>
      </w:pPr>
      <w:r>
        <w:rPr>
          <w:noProof/>
        </w:rPr>
        <w:t xml:space="preserve"> </w:t>
      </w:r>
    </w:p>
    <w:tbl>
      <w:tblPr>
        <w:tblStyle w:val="CDMRange219"/>
        <w:tblW w:w="9975" w:type="dxa"/>
        <w:tblLayout w:type="fixed"/>
        <w:tblLook w:val="0600" w:firstRow="0" w:lastRow="0" w:firstColumn="0" w:lastColumn="0" w:noHBand="1" w:noVBand="1"/>
      </w:tblPr>
      <w:tblGrid>
        <w:gridCol w:w="3975"/>
        <w:gridCol w:w="1500"/>
        <w:gridCol w:w="1500"/>
        <w:gridCol w:w="1500"/>
        <w:gridCol w:w="1500"/>
      </w:tblGrid>
      <w:tr>
        <w:trPr>
          <w:trHeight w:val="114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Държави членки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Вноска за механизма</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Вноска за лихвени субсидии и техническа помощ</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Общо</w:t>
            </w:r>
          </w:p>
          <w:p>
            <w:pPr>
              <w:pStyle w:val="Normal81"/>
              <w:jc w:val="right"/>
              <w:rPr>
                <w:rFonts w:ascii="Arial" w:eastAsia="Arial" w:hAnsi="Arial" w:cs="Arial"/>
                <w:b/>
                <w:noProof/>
                <w:color w:val="000000"/>
                <w:sz w:val="16"/>
              </w:rPr>
            </w:pPr>
            <w:r>
              <w:rPr>
                <w:rFonts w:ascii="Arial" w:hAnsi="Arial"/>
                <w:b/>
                <w:noProof/>
                <w:color w:val="000000"/>
                <w:sz w:val="16"/>
              </w:rPr>
              <w:t>внесени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Поискани и неизплатени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Австрия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69 935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8 869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78 804</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2 410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Белгия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103 226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13 046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116 272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3 530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България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896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294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1 190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Кипър</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576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189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765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90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Чешка република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3 264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1 071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4 335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510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Дания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56 820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7 275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64 095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Естония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425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Финландия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39 852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5 214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45 066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Франция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624 971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75 972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700 943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19 550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Германия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611 715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76 616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688 331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20 500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Гърция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35 121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4 883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40 004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Унгария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3 520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1 155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4 675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550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Ирландия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18 577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2 802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21 379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910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Италия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340 252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45 025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385 277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12 860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Латвия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448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147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595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Литва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768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1 020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Люксембург</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7 693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984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8 677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Малта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63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Нидерландия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138 415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17 685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156 100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4 850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Полша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8 320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2 730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11 050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Португалия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27 313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3 809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31 122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1 150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Румъния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2 368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777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3 145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Словакия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1 344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441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1 785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Словения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1 152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378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1 530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Испания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170 369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24 876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195 245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7 850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Швеция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73 692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9 677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83 369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2 740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Обединено кралство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355 881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49 356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405 237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14 820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Общо към 31 декември 2018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2 697 000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353 691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3 050 691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100 000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Общо към 31 декември 2017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2 517 000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333 691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2 850 691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150 000</w:t>
            </w:r>
          </w:p>
        </w:tc>
      </w:tr>
    </w:tbl>
    <w:p>
      <w:pPr>
        <w:pBdr>
          <w:top w:val="nil"/>
          <w:left w:val="nil"/>
          <w:bottom w:val="nil"/>
          <w:right w:val="nil"/>
          <w:between w:val="nil"/>
          <w:bar w:val="nil"/>
        </w:pBdr>
        <w:rPr>
          <w:rFonts w:ascii="Arial" w:hAnsi="Arial"/>
          <w:noProof/>
          <w:sz w:val="16"/>
          <w:szCs w:val="16"/>
          <w:bdr w:val="nil"/>
        </w:rPr>
      </w:pPr>
    </w:p>
    <w:p>
      <w:pPr>
        <w:pBdr>
          <w:top w:val="nil"/>
          <w:left w:val="nil"/>
          <w:bottom w:val="nil"/>
          <w:right w:val="nil"/>
          <w:between w:val="nil"/>
          <w:bar w:val="nil"/>
        </w:pBdr>
        <w:rPr>
          <w:rFonts w:ascii="Arial" w:hAnsi="Arial"/>
          <w:noProof/>
          <w:sz w:val="16"/>
          <w:szCs w:val="16"/>
          <w:bdr w:val="nil"/>
        </w:rPr>
      </w:pPr>
      <w:r>
        <w:rPr>
          <w:rFonts w:ascii="Arial" w:hAnsi="Arial"/>
          <w:noProof/>
          <w:sz w:val="16"/>
          <w:bdr w:val="nil"/>
        </w:rPr>
        <w:t xml:space="preserve">На 12 ноември 2018 г. Съветът определи размера на финансовите вноски, които всяка държава членка трябва да плати до 21 януари 2019 г. Към 31 декември 2018 г. не са били изплатени 100 000 EUR. </w:t>
      </w:r>
    </w:p>
    <w:p>
      <w:pPr>
        <w:pStyle w:val="Notes"/>
        <w:pageBreakBefore/>
        <w:numPr>
          <w:ilvl w:val="0"/>
          <w:numId w:val="0"/>
        </w:numPr>
        <w:pBdr>
          <w:top w:val="nil"/>
          <w:left w:val="nil"/>
          <w:bottom w:val="nil"/>
          <w:right w:val="nil"/>
          <w:between w:val="nil"/>
          <w:bar w:val="nil"/>
        </w:pBdr>
        <w:ind w:left="432" w:hanging="432"/>
        <w:rPr>
          <w:noProof/>
          <w:bdr w:val="nil"/>
        </w:rPr>
      </w:pPr>
      <w:r>
        <w:rPr>
          <w:noProof/>
        </w:rPr>
        <w:t>18</w:t>
      </w:r>
      <w:r>
        <w:rPr>
          <w:noProof/>
        </w:rPr>
        <w:tab/>
        <w:t xml:space="preserve">Условни пасиви и поети задължения </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0"/>
        <w:tblW w:w="9975" w:type="dxa"/>
        <w:tblLayout w:type="fixed"/>
        <w:tblLook w:val="0600" w:firstRow="0" w:lastRow="0" w:firstColumn="0" w:lastColumn="0" w:noHBand="1" w:noVBand="1"/>
      </w:tblPr>
      <w:tblGrid>
        <w:gridCol w:w="6975"/>
        <w:gridCol w:w="1500"/>
        <w:gridCol w:w="1500"/>
      </w:tblGrid>
      <w:tr>
        <w:trPr>
          <w:trHeight w:val="260"/>
        </w:trPr>
        <w:tc>
          <w:tcPr>
            <w:tcW w:w="6975"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2"/>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2"/>
              <w:jc w:val="right"/>
              <w:rPr>
                <w:rFonts w:ascii="Arial" w:eastAsia="Arial" w:hAnsi="Arial" w:cs="Arial"/>
                <w:b/>
                <w:noProof/>
                <w:color w:val="000000"/>
                <w:sz w:val="16"/>
              </w:rPr>
            </w:pPr>
            <w:r>
              <w:rPr>
                <w:rFonts w:ascii="Arial" w:hAnsi="Arial"/>
                <w:b/>
                <w:noProof/>
                <w:color w:val="000000"/>
                <w:sz w:val="16"/>
              </w:rPr>
              <w:t>31.12.2018 г.</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2"/>
              <w:jc w:val="right"/>
              <w:rPr>
                <w:rFonts w:ascii="Arial" w:eastAsia="Arial" w:hAnsi="Arial" w:cs="Arial"/>
                <w:b/>
                <w:noProof/>
                <w:color w:val="000000"/>
                <w:sz w:val="16"/>
              </w:rPr>
            </w:pPr>
            <w:r>
              <w:rPr>
                <w:rFonts w:ascii="Arial" w:hAnsi="Arial"/>
                <w:b/>
                <w:noProof/>
                <w:color w:val="000000"/>
                <w:sz w:val="16"/>
              </w:rPr>
              <w:t>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2"/>
              <w:rPr>
                <w:rFonts w:ascii="Arial" w:eastAsia="Arial" w:hAnsi="Arial" w:cs="Arial"/>
                <w:b/>
                <w:i/>
                <w:noProof/>
                <w:color w:val="000000"/>
                <w:sz w:val="16"/>
              </w:rPr>
            </w:pPr>
            <w:r>
              <w:rPr>
                <w:rFonts w:ascii="Arial" w:hAnsi="Arial"/>
                <w:b/>
                <w:i/>
                <w:noProof/>
                <w:color w:val="000000"/>
                <w:sz w:val="16"/>
              </w:rPr>
              <w:t>Поети задължения</w:t>
            </w: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82"/>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0" w:type="dxa"/>
              <w:right w:w="0" w:type="dxa"/>
            </w:tcMar>
            <w:vAlign w:val="bottom"/>
          </w:tcPr>
          <w:p>
            <w:pPr>
              <w:pStyle w:val="Normal8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hAnsi="Arial"/>
                <w:noProof/>
                <w:color w:val="000000"/>
                <w:sz w:val="16"/>
              </w:rPr>
              <w:t>Неизплатени заеми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color w:val="000000"/>
                <w:sz w:val="16"/>
              </w:rPr>
              <w:t>1 283 931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color w:val="000000"/>
                <w:sz w:val="16"/>
              </w:rPr>
              <w:t>869 983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hAnsi="Arial"/>
                <w:noProof/>
                <w:color w:val="000000"/>
                <w:sz w:val="16"/>
              </w:rPr>
              <w:t>Неизплатено задължение по отношение на акции и други ценни книжа с променлива доходност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color w:val="000000"/>
                <w:sz w:val="16"/>
              </w:rPr>
              <w:t>347 167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color w:val="000000"/>
                <w:sz w:val="16"/>
              </w:rPr>
              <w:t>321 695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hAnsi="Arial"/>
                <w:noProof/>
                <w:color w:val="000000"/>
                <w:sz w:val="16"/>
              </w:rPr>
              <w:t>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color w:val="000000"/>
                <w:sz w:val="16"/>
              </w:rPr>
              <w:t>2 800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color w:val="000000"/>
                <w:sz w:val="16"/>
              </w:rPr>
              <w:t>7 682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hAnsi="Arial"/>
                <w:noProof/>
                <w:color w:val="000000"/>
                <w:sz w:val="16"/>
              </w:rPr>
              <w:t>Лихвени субсидии и техническа помощ</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color w:val="000000"/>
                <w:sz w:val="16"/>
              </w:rPr>
              <w:t>457 328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color w:val="000000"/>
                <w:sz w:val="16"/>
              </w:rPr>
              <w:t>382 576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82"/>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2"/>
              <w:rPr>
                <w:rFonts w:ascii="Arial" w:eastAsia="Arial" w:hAnsi="Arial" w:cs="Arial"/>
                <w:b/>
                <w:i/>
                <w:noProof/>
                <w:color w:val="000000"/>
                <w:sz w:val="16"/>
              </w:rPr>
            </w:pPr>
            <w:r>
              <w:rPr>
                <w:rFonts w:ascii="Arial" w:hAnsi="Arial"/>
                <w:b/>
                <w:i/>
                <w:noProof/>
                <w:color w:val="000000"/>
                <w:sz w:val="16"/>
              </w:rPr>
              <w:t>Условни пасиви</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82"/>
              <w:rPr>
                <w:rFonts w:ascii="Arial" w:eastAsia="Arial" w:hAnsi="Arial" w:cs="Arial"/>
                <w:noProof/>
                <w:color w:val="000000"/>
                <w:sz w:val="16"/>
              </w:rPr>
            </w:pPr>
            <w:r>
              <w:rPr>
                <w:rFonts w:ascii="Arial" w:hAnsi="Arial"/>
                <w:noProof/>
                <w:color w:val="000000"/>
                <w:sz w:val="16"/>
              </w:rPr>
              <w:t>Подписани неиздадени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color w:val="000000"/>
                <w:sz w:val="16"/>
              </w:rPr>
              <w:t>1 553 668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2"/>
              <w:jc w:val="right"/>
              <w:rPr>
                <w:rFonts w:ascii="Arial" w:eastAsia="Arial" w:hAnsi="Arial" w:cs="Arial"/>
                <w:noProof/>
                <w:color w:val="000000"/>
                <w:sz w:val="16"/>
              </w:rPr>
            </w:pPr>
            <w:r>
              <w:rPr>
                <w:rFonts w:ascii="Arial" w:hAnsi="Arial"/>
                <w:noProof/>
                <w:color w:val="000000"/>
                <w:sz w:val="16"/>
              </w:rPr>
              <w:t>74 569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82"/>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2"/>
              <w:rPr>
                <w:rFonts w:ascii="Arial" w:eastAsia="Arial" w:hAnsi="Arial" w:cs="Arial"/>
                <w:b/>
                <w:noProof/>
                <w:color w:val="000000"/>
                <w:sz w:val="16"/>
              </w:rPr>
            </w:pPr>
            <w:r>
              <w:rPr>
                <w:rFonts w:ascii="Arial" w:hAnsi="Arial"/>
                <w:b/>
                <w:noProof/>
                <w:color w:val="000000"/>
                <w:sz w:val="16"/>
              </w:rPr>
              <w:t>Условни пасиви и поети задължения</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2"/>
              <w:jc w:val="right"/>
              <w:rPr>
                <w:rFonts w:ascii="Arial" w:eastAsia="Arial" w:hAnsi="Arial" w:cs="Arial"/>
                <w:b/>
                <w:noProof/>
                <w:color w:val="000000"/>
                <w:sz w:val="16"/>
              </w:rPr>
            </w:pPr>
            <w:r>
              <w:rPr>
                <w:rFonts w:ascii="Arial" w:hAnsi="Arial"/>
                <w:b/>
                <w:noProof/>
                <w:color w:val="000000"/>
                <w:sz w:val="16"/>
              </w:rPr>
              <w:t>3 644 894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2"/>
              <w:jc w:val="right"/>
              <w:rPr>
                <w:rFonts w:ascii="Arial" w:eastAsia="Arial" w:hAnsi="Arial" w:cs="Arial"/>
                <w:b/>
                <w:noProof/>
                <w:color w:val="000000"/>
                <w:sz w:val="16"/>
              </w:rPr>
            </w:pPr>
            <w:r>
              <w:rPr>
                <w:rFonts w:ascii="Arial" w:hAnsi="Arial"/>
                <w:b/>
                <w:noProof/>
                <w:color w:val="000000"/>
                <w:sz w:val="16"/>
              </w:rPr>
              <w:t>1 656 505</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rPr>
        <w:t>19</w:t>
      </w:r>
      <w:r>
        <w:rPr>
          <w:noProof/>
        </w:rPr>
        <w:tab/>
        <w:t>Лихви и други подобни приходи и разходи</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приходите от лихви и други подобни приходи са следните:</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20"/>
        <w:tblW w:w="9975" w:type="dxa"/>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color w:val="000000"/>
                <w:sz w:val="16"/>
              </w:rPr>
              <w:t>От 1.1.2018 г.</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color w:val="000000"/>
                <w:sz w:val="16"/>
              </w:rPr>
              <w:t>От 1.1.2017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3"/>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color w:val="000000"/>
                <w:sz w:val="16"/>
              </w:rPr>
              <w:t>до 31.12.2018 г.</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color w:val="000000"/>
                <w:sz w:val="16"/>
              </w:rPr>
              <w:t>до 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hAnsi="Arial"/>
                <w:noProof/>
                <w:color w:val="000000"/>
                <w:sz w:val="16"/>
              </w:rPr>
              <w:t>Заеми и аванси</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color w:val="000000"/>
                <w:sz w:val="16"/>
              </w:rPr>
              <w:t>92 506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color w:val="000000"/>
                <w:sz w:val="16"/>
              </w:rPr>
              <w:t>97 440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hAnsi="Arial"/>
                <w:noProof/>
                <w:color w:val="000000"/>
                <w:sz w:val="16"/>
              </w:rPr>
              <w:t>Лихвени субсидии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color w:val="000000"/>
                <w:sz w:val="16"/>
              </w:rPr>
              <w:t>4 224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color w:val="000000"/>
                <w:sz w:val="16"/>
              </w:rPr>
              <w:t>3 966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3"/>
              <w:rPr>
                <w:rFonts w:ascii="Arial" w:eastAsia="Arial" w:hAnsi="Arial" w:cs="Arial"/>
                <w:b/>
                <w:noProof/>
                <w:color w:val="000000"/>
                <w:sz w:val="16"/>
              </w:rPr>
            </w:pPr>
            <w:r>
              <w:rPr>
                <w:rFonts w:ascii="Arial" w:hAnsi="Arial"/>
                <w:b/>
                <w:noProof/>
                <w:color w:val="000000"/>
                <w:sz w:val="16"/>
              </w:rPr>
              <w:t>Общо приходи от лихви и други подобни приходи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color w:val="000000"/>
                <w:sz w:val="16"/>
              </w:rPr>
              <w:t>96 730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color w:val="000000"/>
                <w:sz w:val="16"/>
              </w:rPr>
              <w:t>101 406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83"/>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83"/>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9975" w:type="dxa"/>
            <w:gridSpan w:val="3"/>
            <w:tcBorders>
              <w:top w:val="nil"/>
              <w:left w:val="nil"/>
              <w:bottom w:val="nil"/>
              <w:right w:val="nil"/>
              <w:tl2br w:val="nil"/>
              <w:tr2bl w:val="nil"/>
            </w:tcBorders>
            <w:shd w:val="clear" w:color="auto" w:fill="auto"/>
            <w:noWrap/>
            <w:tcMar>
              <w:left w:w="40" w:type="dxa"/>
              <w:right w:w="40" w:type="dxa"/>
            </w:tcMar>
            <w:vAlign w:val="center"/>
          </w:tcPr>
          <w:p>
            <w:pPr>
              <w:pStyle w:val="Normal83"/>
              <w:rPr>
                <w:rFonts w:ascii="Arial" w:eastAsia="Arial" w:hAnsi="Arial" w:cs="Arial"/>
                <w:noProof/>
                <w:color w:val="000000"/>
                <w:sz w:val="16"/>
              </w:rPr>
            </w:pPr>
            <w:r>
              <w:rPr>
                <w:rFonts w:ascii="Arial" w:hAnsi="Arial"/>
                <w:noProof/>
                <w:color w:val="000000"/>
                <w:sz w:val="16"/>
              </w:rPr>
              <w:t>Основните компоненти на разходите за лихви и други подобни разходи са следните:</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3"/>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color w:val="000000"/>
                <w:sz w:val="16"/>
              </w:rPr>
              <w:t>От 1.1.2018 г.</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color w:val="000000"/>
                <w:sz w:val="16"/>
              </w:rPr>
              <w:t>От 1.1.2017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3"/>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color w:val="000000"/>
                <w:sz w:val="16"/>
              </w:rPr>
              <w:t>до 31.12.2018 г.</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color w:val="000000"/>
                <w:sz w:val="16"/>
              </w:rPr>
              <w:t>до 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hAnsi="Arial"/>
                <w:noProof/>
                <w:color w:val="000000"/>
                <w:sz w:val="16"/>
              </w:rPr>
              <w:t>Дериватни финансови инструменти</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color w:val="000000"/>
                <w:sz w:val="16"/>
              </w:rPr>
              <w:t>-563</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color w:val="000000"/>
                <w:sz w:val="16"/>
              </w:rPr>
              <w:t>-980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hAnsi="Arial"/>
                <w:noProof/>
                <w:color w:val="000000"/>
                <w:sz w:val="16"/>
              </w:rPr>
              <w:t>Пари и парични еквиваленти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color w:val="000000"/>
                <w:sz w:val="16"/>
              </w:rPr>
              <w:t>-654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color w:val="000000"/>
                <w:sz w:val="16"/>
              </w:rPr>
              <w:t>-1,037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3"/>
              <w:rPr>
                <w:rFonts w:ascii="Arial" w:eastAsia="Arial" w:hAnsi="Arial" w:cs="Arial"/>
                <w:noProof/>
                <w:color w:val="000000"/>
                <w:sz w:val="16"/>
              </w:rPr>
            </w:pPr>
            <w:r>
              <w:rPr>
                <w:rFonts w:ascii="Arial" w:hAnsi="Arial"/>
                <w:noProof/>
                <w:color w:val="000000"/>
                <w:sz w:val="16"/>
              </w:rPr>
              <w:t>Касови финансови активи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color w:val="000000"/>
                <w:sz w:val="16"/>
              </w:rPr>
              <w:t>-1 322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3"/>
              <w:jc w:val="right"/>
              <w:rPr>
                <w:rFonts w:ascii="Arial" w:eastAsia="Arial" w:hAnsi="Arial" w:cs="Arial"/>
                <w:noProof/>
                <w:color w:val="000000"/>
                <w:sz w:val="16"/>
              </w:rPr>
            </w:pPr>
            <w:r>
              <w:rPr>
                <w:rFonts w:ascii="Arial" w:hAnsi="Arial"/>
                <w:noProof/>
                <w:color w:val="000000"/>
                <w:sz w:val="16"/>
              </w:rPr>
              <w:t>-654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3"/>
              <w:rPr>
                <w:rFonts w:ascii="Arial" w:eastAsia="Arial" w:hAnsi="Arial" w:cs="Arial"/>
                <w:b/>
                <w:noProof/>
                <w:color w:val="000000"/>
                <w:sz w:val="16"/>
              </w:rPr>
            </w:pPr>
            <w:r>
              <w:rPr>
                <w:rFonts w:ascii="Arial" w:hAnsi="Arial"/>
                <w:b/>
                <w:noProof/>
                <w:color w:val="000000"/>
                <w:sz w:val="16"/>
              </w:rPr>
              <w:t>Общо разходи за лихви и други подобни разходи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color w:val="000000"/>
                <w:sz w:val="16"/>
              </w:rPr>
              <w:t>-2 539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3"/>
              <w:jc w:val="right"/>
              <w:rPr>
                <w:rFonts w:ascii="Arial" w:eastAsia="Arial" w:hAnsi="Arial" w:cs="Arial"/>
                <w:b/>
                <w:noProof/>
                <w:color w:val="000000"/>
                <w:sz w:val="16"/>
              </w:rPr>
            </w:pPr>
            <w:r>
              <w:rPr>
                <w:rFonts w:ascii="Arial" w:hAnsi="Arial"/>
                <w:b/>
                <w:noProof/>
                <w:color w:val="000000"/>
                <w:sz w:val="16"/>
              </w:rPr>
              <w:t>-2 671</w:t>
            </w: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rPr>
        <w:t>20</w:t>
      </w:r>
      <w:r>
        <w:rPr>
          <w:noProof/>
        </w:rPr>
        <w:tab/>
        <w:t xml:space="preserve">Приходи и разходи от такси и комисионни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приходите от такси и комисионни са, както следва:</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1"/>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pStyle w:val="Normal84"/>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От 1.1.2018 г.</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От 1.1.2017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4"/>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до 31.12.2018 г.</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до 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Такси и комисионни за заеми и аванси</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107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Такси и комисионни за финансови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170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209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Други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Общо приходи от такси и комисионни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284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84"/>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Основният компонент на разходите за такси и комисионни е, както следва: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975"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От 1.1.2018 г.</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От 1.1.2017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4"/>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до 31.12.2018 г.</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до 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Комисионна, платена на трети страни по отношение на акции и други ценни книжа с променлива доходност</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-106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Общо разходи за такси и комисионни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-106</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-60</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rPr>
        <w:t xml:space="preserve">21 </w:t>
      </w:r>
      <w:r>
        <w:rPr>
          <w:noProof/>
        </w:rPr>
        <w:tab/>
        <w:t>Нетен резултат от акции и други ценни книжа с променлива доходност</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нетните реализирани печалби от акции и други ценни книжа с променлива доходност са следните:</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21"/>
        <w:tblW w:w="9975" w:type="dxa"/>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bottom"/>
          </w:tcPr>
          <w:p>
            <w:pPr>
              <w:pStyle w:val="Normal86"/>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b/>
                <w:noProof/>
                <w:color w:val="000000"/>
                <w:sz w:val="16"/>
              </w:rPr>
            </w:pPr>
            <w:r>
              <w:rPr>
                <w:rFonts w:ascii="Arial" w:hAnsi="Arial"/>
                <w:b/>
                <w:noProof/>
                <w:color w:val="000000"/>
                <w:sz w:val="16"/>
              </w:rPr>
              <w:t>От 1.1.2018 г.</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b/>
                <w:noProof/>
                <w:color w:val="000000"/>
                <w:sz w:val="16"/>
              </w:rPr>
            </w:pPr>
            <w:r>
              <w:rPr>
                <w:rFonts w:ascii="Arial" w:hAnsi="Arial"/>
                <w:b/>
                <w:noProof/>
                <w:color w:val="000000"/>
                <w:sz w:val="16"/>
              </w:rPr>
              <w:t>От 1.1.2017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975" w:type="dxa"/>
            <w:tcBorders>
              <w:top w:val="nil"/>
              <w:left w:val="nil"/>
              <w:bottom w:val="single" w:sz="8" w:space="0" w:color="000000"/>
              <w:right w:val="nil"/>
              <w:tl2br w:val="nil"/>
              <w:tr2bl w:val="nil"/>
            </w:tcBorders>
            <w:shd w:val="clear" w:color="auto" w:fill="auto"/>
            <w:tcMar>
              <w:left w:w="0" w:type="dxa"/>
              <w:right w:w="0" w:type="dxa"/>
            </w:tcMar>
            <w:vAlign w:val="bottom"/>
          </w:tcPr>
          <w:p>
            <w:pPr>
              <w:pStyle w:val="Normal86"/>
              <w:rPr>
                <w:noProof/>
                <w:color w:val="000000"/>
                <w:sz w:val="20"/>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6"/>
              <w:jc w:val="right"/>
              <w:rPr>
                <w:rFonts w:ascii="Arial" w:eastAsia="Arial" w:hAnsi="Arial" w:cs="Arial"/>
                <w:b/>
                <w:noProof/>
                <w:color w:val="000000"/>
                <w:sz w:val="16"/>
              </w:rPr>
            </w:pPr>
            <w:r>
              <w:rPr>
                <w:rFonts w:ascii="Arial" w:hAnsi="Arial"/>
                <w:b/>
                <w:noProof/>
                <w:color w:val="000000"/>
                <w:sz w:val="16"/>
              </w:rPr>
              <w:t>до 31.12.2018 г.</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6"/>
              <w:jc w:val="right"/>
              <w:rPr>
                <w:rFonts w:ascii="Arial" w:eastAsia="Arial" w:hAnsi="Arial" w:cs="Arial"/>
                <w:b/>
                <w:noProof/>
                <w:color w:val="000000"/>
                <w:sz w:val="16"/>
              </w:rPr>
            </w:pPr>
            <w:r>
              <w:rPr>
                <w:rFonts w:ascii="Arial" w:hAnsi="Arial"/>
                <w:b/>
                <w:noProof/>
                <w:color w:val="000000"/>
                <w:sz w:val="16"/>
              </w:rPr>
              <w:t>до 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rPr>
                <w:rFonts w:ascii="Arial" w:eastAsia="Arial" w:hAnsi="Arial" w:cs="Arial"/>
                <w:noProof/>
                <w:color w:val="000000"/>
                <w:sz w:val="16"/>
              </w:rPr>
            </w:pPr>
            <w:r>
              <w:rPr>
                <w:rFonts w:ascii="Arial" w:hAnsi="Arial"/>
                <w:noProof/>
                <w:color w:val="000000"/>
                <w:sz w:val="16"/>
              </w:rPr>
              <w:t>Нетни постъпления от акции и други ценни книжа с променлива доходност</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hAnsi="Arial"/>
                <w:noProof/>
                <w:color w:val="000000"/>
                <w:sz w:val="16"/>
              </w:rPr>
              <w:t>3 166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hAnsi="Arial"/>
                <w:noProof/>
                <w:color w:val="000000"/>
                <w:sz w:val="16"/>
              </w:rPr>
              <w:t>1 030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6"/>
              <w:rPr>
                <w:rFonts w:ascii="Arial" w:eastAsia="Arial" w:hAnsi="Arial" w:cs="Arial"/>
                <w:noProof/>
                <w:color w:val="000000"/>
                <w:sz w:val="16"/>
              </w:rPr>
            </w:pPr>
            <w:r>
              <w:rPr>
                <w:rFonts w:ascii="Arial" w:hAnsi="Arial"/>
                <w:noProof/>
                <w:color w:val="000000"/>
                <w:sz w:val="16"/>
              </w:rPr>
              <w:t>Приходи от дивиденти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hAnsi="Arial"/>
                <w:noProof/>
                <w:color w:val="000000"/>
                <w:sz w:val="16"/>
              </w:rPr>
              <w:t>7 320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hAnsi="Arial"/>
                <w:noProof/>
                <w:color w:val="000000"/>
                <w:sz w:val="16"/>
              </w:rPr>
              <w:t>1 681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6"/>
              <w:rPr>
                <w:rFonts w:ascii="Arial" w:eastAsia="Arial" w:hAnsi="Arial" w:cs="Arial"/>
                <w:noProof/>
                <w:color w:val="000000"/>
                <w:sz w:val="16"/>
              </w:rPr>
            </w:pPr>
            <w:r>
              <w:rPr>
                <w:rFonts w:ascii="Arial" w:hAnsi="Arial"/>
                <w:noProof/>
                <w:color w:val="000000"/>
                <w:sz w:val="16"/>
              </w:rPr>
              <w:t>Нетна промяна на справедливата стойност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hAnsi="Arial"/>
                <w:noProof/>
                <w:color w:val="000000"/>
                <w:sz w:val="16"/>
              </w:rPr>
              <w:t>-20 665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6"/>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6"/>
              <w:rPr>
                <w:rFonts w:ascii="Arial" w:eastAsia="Arial" w:hAnsi="Arial" w:cs="Arial"/>
                <w:b/>
                <w:noProof/>
                <w:color w:val="000000"/>
                <w:sz w:val="16"/>
              </w:rPr>
            </w:pPr>
            <w:r>
              <w:rPr>
                <w:rFonts w:ascii="Arial" w:hAnsi="Arial"/>
                <w:b/>
                <w:noProof/>
                <w:color w:val="000000"/>
                <w:sz w:val="16"/>
              </w:rPr>
              <w:t>Нетен резултат от акции и други ценни книжа с променлива доходност</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6"/>
              <w:jc w:val="right"/>
              <w:rPr>
                <w:rFonts w:ascii="Arial" w:eastAsia="Arial" w:hAnsi="Arial" w:cs="Arial"/>
                <w:b/>
                <w:noProof/>
                <w:color w:val="000000"/>
                <w:sz w:val="16"/>
              </w:rPr>
            </w:pPr>
            <w:r>
              <w:rPr>
                <w:rFonts w:ascii="Arial" w:hAnsi="Arial"/>
                <w:b/>
                <w:noProof/>
                <w:color w:val="000000"/>
                <w:sz w:val="16"/>
              </w:rPr>
              <w:t>-10 179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6"/>
              <w:jc w:val="right"/>
              <w:rPr>
                <w:rFonts w:ascii="Arial" w:eastAsia="Arial" w:hAnsi="Arial" w:cs="Arial"/>
                <w:b/>
                <w:noProof/>
                <w:color w:val="000000"/>
                <w:sz w:val="16"/>
              </w:rPr>
            </w:pPr>
            <w:r>
              <w:rPr>
                <w:rFonts w:ascii="Arial" w:hAnsi="Arial"/>
                <w:b/>
                <w:noProof/>
                <w:color w:val="000000"/>
                <w:sz w:val="16"/>
              </w:rPr>
              <w:t>2 711</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rPr>
        <w:t>22</w:t>
      </w:r>
      <w:r>
        <w:rPr>
          <w:noProof/>
        </w:rPr>
        <w:tab/>
        <w:t>Общи административни разходи</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Общите административни разходи представляват реалните разходи, направени от ЕИБ за управление на механизма, намалени с приходите, получени от редовните такси за извършване на оценка, пряко начислявани от ЕИБ на клиентите на механизма.</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2"/>
        <w:tblW w:w="9975" w:type="dxa"/>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b/>
                <w:noProof/>
                <w:color w:val="000000"/>
                <w:sz w:val="16"/>
              </w:rPr>
            </w:pPr>
            <w:r>
              <w:rPr>
                <w:rFonts w:ascii="Arial" w:hAnsi="Arial"/>
                <w:b/>
                <w:noProof/>
                <w:color w:val="000000"/>
                <w:sz w:val="16"/>
              </w:rPr>
              <w:t>В хиляди евро</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От 1.1.2018 г.</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От 1.1.2017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single" w:sz="8" w:space="0" w:color="000000"/>
              <w:right w:val="nil"/>
              <w:tl2br w:val="nil"/>
              <w:tr2bl w:val="nil"/>
            </w:tcBorders>
            <w:shd w:val="clear" w:color="auto" w:fill="auto"/>
            <w:tcMar>
              <w:left w:w="0" w:type="dxa"/>
              <w:right w:w="0" w:type="dxa"/>
            </w:tcMar>
            <w:vAlign w:val="center"/>
          </w:tcPr>
          <w:p>
            <w:pPr>
              <w:pStyle w:val="Normal87"/>
              <w:rPr>
                <w:rFonts w:ascii="Arial" w:eastAsia="Arial" w:hAnsi="Arial" w:cs="Arial"/>
                <w:b/>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до 31.12.2018 г.</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до 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Реални разходи, направени от ЕИБ</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-50 021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-48 285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Приходи от такси за извършване на оценка, директно начислявани на клиентите на механизма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2 222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3 180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87"/>
              <w:rPr>
                <w:rFonts w:ascii="Arial" w:eastAsia="Arial" w:hAnsi="Arial" w:cs="Arial"/>
                <w:b/>
                <w:noProof/>
                <w:color w:val="000000"/>
                <w:sz w:val="16"/>
              </w:rPr>
            </w:pPr>
            <w:r>
              <w:rPr>
                <w:rFonts w:ascii="Arial" w:hAnsi="Arial"/>
                <w:b/>
                <w:noProof/>
                <w:color w:val="000000"/>
                <w:sz w:val="16"/>
              </w:rPr>
              <w:t>Общ размер на общите административни разходи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-47 799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-45 105</w:t>
            </w:r>
          </w:p>
        </w:tc>
      </w:tr>
    </w:tbl>
    <w:p>
      <w:pPr>
        <w:pStyle w:val="Notes27"/>
        <w:pageBreakBefore/>
        <w:numPr>
          <w:ilvl w:val="0"/>
          <w:numId w:val="0"/>
        </w:numPr>
        <w:ind w:left="432" w:hanging="432"/>
        <w:rPr>
          <w:noProof/>
          <w:szCs w:val="20"/>
        </w:rPr>
      </w:pPr>
      <w:r>
        <w:rPr>
          <w:noProof/>
        </w:rPr>
        <w:t>23</w:t>
      </w:r>
      <w:r>
        <w:rPr>
          <w:noProof/>
        </w:rPr>
        <w:tab/>
        <w:t>Участие в неконсолидирани структурирани предприятия (хиляди евро)</w:t>
      </w:r>
    </w:p>
    <w:p>
      <w:pPr>
        <w:pStyle w:val="Normal88"/>
        <w:spacing w:before="60" w:line="276" w:lineRule="auto"/>
        <w:jc w:val="both"/>
        <w:rPr>
          <w:noProof/>
          <w:sz w:val="16"/>
          <w:szCs w:val="16"/>
        </w:rPr>
      </w:pPr>
    </w:p>
    <w:p>
      <w:pPr>
        <w:pStyle w:val="Normal88"/>
        <w:spacing w:before="60" w:line="276" w:lineRule="auto"/>
        <w:jc w:val="both"/>
        <w:rPr>
          <w:rFonts w:ascii="Arial" w:hAnsi="Arial"/>
          <w:i/>
          <w:noProof/>
          <w:sz w:val="16"/>
          <w:szCs w:val="16"/>
        </w:rPr>
      </w:pPr>
      <w:r>
        <w:rPr>
          <w:rFonts w:ascii="Arial" w:hAnsi="Arial"/>
          <w:i/>
          <w:noProof/>
          <w:sz w:val="16"/>
        </w:rPr>
        <w:t>Определение на структурирано предприятие</w:t>
      </w:r>
    </w:p>
    <w:p>
      <w:pPr>
        <w:pStyle w:val="Normal88"/>
        <w:spacing w:before="60" w:line="276" w:lineRule="auto"/>
        <w:jc w:val="both"/>
        <w:rPr>
          <w:rFonts w:ascii="Arial" w:hAnsi="Arial"/>
          <w:i/>
          <w:noProof/>
          <w:sz w:val="16"/>
          <w:szCs w:val="16"/>
        </w:rPr>
      </w:pPr>
    </w:p>
    <w:p>
      <w:pPr>
        <w:pStyle w:val="Normal88"/>
        <w:spacing w:before="60" w:line="276" w:lineRule="auto"/>
        <w:jc w:val="both"/>
        <w:rPr>
          <w:rFonts w:ascii="Arial" w:hAnsi="Arial"/>
          <w:noProof/>
          <w:sz w:val="16"/>
          <w:szCs w:val="16"/>
        </w:rPr>
      </w:pPr>
      <w:r>
        <w:rPr>
          <w:rFonts w:ascii="Arial" w:hAnsi="Arial"/>
          <w:noProof/>
          <w:sz w:val="16"/>
        </w:rPr>
        <w:t>Структурирано предприятие е предприятие, чийто модел е такъв, че правата на глас или подобните права не са основен фактор при решаването на това кой има контрол над предприятието. В МСФО 12 се посочва, че структурираното предприятие често има някои или всички от следните характеристики:</w:t>
      </w:r>
    </w:p>
    <w:p>
      <w:pPr>
        <w:pStyle w:val="Normal88"/>
        <w:numPr>
          <w:ilvl w:val="0"/>
          <w:numId w:val="108"/>
        </w:numPr>
        <w:spacing w:before="60" w:line="276" w:lineRule="auto"/>
        <w:jc w:val="both"/>
        <w:rPr>
          <w:rFonts w:ascii="Arial" w:hAnsi="Arial"/>
          <w:noProof/>
          <w:sz w:val="16"/>
          <w:szCs w:val="16"/>
        </w:rPr>
      </w:pPr>
      <w:r>
        <w:rPr>
          <w:rFonts w:ascii="Arial" w:hAnsi="Arial"/>
          <w:noProof/>
          <w:sz w:val="16"/>
        </w:rPr>
        <w:t>ограничена дейност;</w:t>
      </w:r>
    </w:p>
    <w:p>
      <w:pPr>
        <w:pStyle w:val="Normal88"/>
        <w:numPr>
          <w:ilvl w:val="0"/>
          <w:numId w:val="108"/>
        </w:numPr>
        <w:spacing w:before="60" w:line="276" w:lineRule="auto"/>
        <w:jc w:val="both"/>
        <w:rPr>
          <w:rFonts w:ascii="Arial" w:hAnsi="Arial"/>
          <w:noProof/>
          <w:sz w:val="16"/>
          <w:szCs w:val="16"/>
        </w:rPr>
      </w:pPr>
      <w:r>
        <w:rPr>
          <w:rFonts w:ascii="Arial" w:hAnsi="Arial"/>
          <w:noProof/>
          <w:sz w:val="16"/>
        </w:rPr>
        <w:t>тясна и точно определена цел, като например за осъществяване на данъчно изгоден лизинг, извършване на научно-изследователска и развойна дейност, осигуряване на източник на капитал или финансиране на предприятието или предоставяне на инвестиционни възможности за инвеститорите чрез прехвърляне към тях на рискове и ползи, свързани с негови активи;</w:t>
      </w:r>
    </w:p>
    <w:p>
      <w:pPr>
        <w:pStyle w:val="Normal88"/>
        <w:numPr>
          <w:ilvl w:val="0"/>
          <w:numId w:val="108"/>
        </w:numPr>
        <w:spacing w:before="60" w:line="276" w:lineRule="auto"/>
        <w:jc w:val="both"/>
        <w:rPr>
          <w:rFonts w:ascii="Arial" w:hAnsi="Arial"/>
          <w:noProof/>
          <w:sz w:val="16"/>
          <w:szCs w:val="16"/>
        </w:rPr>
      </w:pPr>
      <w:r>
        <w:rPr>
          <w:rFonts w:ascii="Arial" w:hAnsi="Arial"/>
          <w:noProof/>
          <w:sz w:val="16"/>
        </w:rPr>
        <w:t>недостатъчен собствен капитал, за да му позволи да финансира дейността си без подчинена финансова подкрепа;</w:t>
      </w:r>
    </w:p>
    <w:p>
      <w:pPr>
        <w:pStyle w:val="Normal88"/>
        <w:numPr>
          <w:ilvl w:val="0"/>
          <w:numId w:val="108"/>
        </w:numPr>
        <w:spacing w:before="60" w:line="276" w:lineRule="auto"/>
        <w:jc w:val="both"/>
        <w:rPr>
          <w:rFonts w:ascii="Arial" w:hAnsi="Arial"/>
          <w:noProof/>
          <w:sz w:val="16"/>
          <w:szCs w:val="16"/>
        </w:rPr>
      </w:pPr>
      <w:r>
        <w:rPr>
          <w:rFonts w:ascii="Arial" w:hAnsi="Arial"/>
          <w:noProof/>
          <w:sz w:val="16"/>
        </w:rPr>
        <w:t>финансиране под формата на многобройни договорно свързани инструменти на инвеститори, които създават концентрации на кредитен или други рискове (траншове).</w:t>
      </w:r>
    </w:p>
    <w:p>
      <w:pPr>
        <w:pStyle w:val="Normal88"/>
        <w:spacing w:before="60" w:line="276" w:lineRule="auto"/>
        <w:jc w:val="both"/>
        <w:rPr>
          <w:rFonts w:ascii="Arial" w:hAnsi="Arial"/>
          <w:noProof/>
          <w:sz w:val="16"/>
          <w:szCs w:val="16"/>
        </w:rPr>
      </w:pPr>
    </w:p>
    <w:p>
      <w:pPr>
        <w:pStyle w:val="Normal88"/>
        <w:spacing w:before="60" w:line="276" w:lineRule="auto"/>
        <w:jc w:val="both"/>
        <w:rPr>
          <w:rFonts w:ascii="Arial" w:hAnsi="Arial"/>
          <w:i/>
          <w:noProof/>
          <w:sz w:val="16"/>
          <w:szCs w:val="16"/>
        </w:rPr>
      </w:pPr>
      <w:r>
        <w:rPr>
          <w:rFonts w:ascii="Arial" w:hAnsi="Arial"/>
          <w:i/>
          <w:noProof/>
          <w:sz w:val="16"/>
        </w:rPr>
        <w:t>Неконсолидирани структурирани предприятия</w:t>
      </w:r>
    </w:p>
    <w:p>
      <w:pPr>
        <w:pStyle w:val="Normal88"/>
        <w:spacing w:line="276" w:lineRule="auto"/>
        <w:jc w:val="both"/>
        <w:rPr>
          <w:rFonts w:ascii="Arial" w:hAnsi="Arial"/>
          <w:i/>
          <w:noProof/>
          <w:sz w:val="16"/>
          <w:szCs w:val="16"/>
        </w:rPr>
      </w:pPr>
    </w:p>
    <w:p>
      <w:pPr>
        <w:pStyle w:val="Normal88"/>
        <w:spacing w:before="60" w:line="276" w:lineRule="auto"/>
        <w:jc w:val="both"/>
        <w:rPr>
          <w:rFonts w:ascii="Arial" w:hAnsi="Arial"/>
          <w:noProof/>
          <w:sz w:val="16"/>
          <w:szCs w:val="16"/>
        </w:rPr>
      </w:pPr>
      <w:r>
        <w:rPr>
          <w:rFonts w:ascii="Arial" w:hAnsi="Arial"/>
          <w:noProof/>
          <w:sz w:val="16"/>
        </w:rPr>
        <w:t>Терминът „неконсолидирани структурирани предприятия“ се отнася до всички структурирани предприятия, които не са контролирани от механизма, и включва дялови участия в структурирани предприятия, които не са консолидирани.</w:t>
      </w:r>
    </w:p>
    <w:p>
      <w:pPr>
        <w:pStyle w:val="Normal88"/>
        <w:spacing w:line="276" w:lineRule="auto"/>
        <w:jc w:val="both"/>
        <w:rPr>
          <w:rFonts w:ascii="Arial" w:hAnsi="Arial"/>
          <w:i/>
          <w:noProof/>
          <w:sz w:val="16"/>
          <w:szCs w:val="16"/>
        </w:rPr>
      </w:pPr>
    </w:p>
    <w:p>
      <w:pPr>
        <w:pStyle w:val="Normal88"/>
        <w:spacing w:before="60" w:line="276" w:lineRule="auto"/>
        <w:jc w:val="both"/>
        <w:rPr>
          <w:rFonts w:ascii="Arial" w:hAnsi="Arial"/>
          <w:i/>
          <w:noProof/>
          <w:sz w:val="16"/>
          <w:szCs w:val="16"/>
        </w:rPr>
      </w:pPr>
      <w:r>
        <w:rPr>
          <w:rFonts w:ascii="Arial" w:hAnsi="Arial"/>
          <w:i/>
          <w:noProof/>
          <w:sz w:val="16"/>
        </w:rPr>
        <w:t>Определение на дялови участия в структурирани предприятия:</w:t>
      </w:r>
    </w:p>
    <w:p>
      <w:pPr>
        <w:pStyle w:val="Normal88"/>
        <w:spacing w:line="276" w:lineRule="auto"/>
        <w:jc w:val="both"/>
        <w:rPr>
          <w:rFonts w:ascii="Arial" w:hAnsi="Arial"/>
          <w:noProof/>
          <w:sz w:val="16"/>
          <w:szCs w:val="16"/>
        </w:rPr>
      </w:pPr>
    </w:p>
    <w:p>
      <w:pPr>
        <w:pStyle w:val="Normal88"/>
        <w:spacing w:line="276" w:lineRule="auto"/>
        <w:jc w:val="both"/>
        <w:rPr>
          <w:rFonts w:ascii="Arial" w:hAnsi="Arial"/>
          <w:noProof/>
          <w:sz w:val="16"/>
          <w:szCs w:val="16"/>
        </w:rPr>
      </w:pPr>
      <w:r>
        <w:rPr>
          <w:rFonts w:ascii="Arial" w:hAnsi="Arial"/>
          <w:noProof/>
          <w:sz w:val="16"/>
        </w:rPr>
        <w:t>Съгласно МСФО 12 „дялово участие“ най-общо включва всички договорни и извъндоговорни отношения, които излагат отчитащото се предприятие на променлива възвръщаемост в зависимост от резултатите от дейността на другото предприятие.   Примери за такива дялови участия са държането на капиталови участия и други форми на участия, като предоставянето на финансиране, подкрепа на ликвидността, кредитни подобрения, ангажименти и гаранции на другото предприятие. В МСФО 12 се посочва, че отчитащото се предприятие няма непременно дялово участие в друго предприятие само защото поддържа с него типично взаимоотношение клиент-доставчик.</w:t>
      </w:r>
    </w:p>
    <w:p>
      <w:pPr>
        <w:pStyle w:val="Normal88"/>
        <w:spacing w:line="276" w:lineRule="auto"/>
        <w:jc w:val="both"/>
        <w:rPr>
          <w:rFonts w:ascii="Arial" w:hAnsi="Arial"/>
          <w:noProof/>
          <w:sz w:val="16"/>
          <w:szCs w:val="16"/>
        </w:rPr>
      </w:pPr>
    </w:p>
    <w:p>
      <w:pPr>
        <w:pStyle w:val="Normal88"/>
        <w:spacing w:before="60" w:line="276" w:lineRule="auto"/>
        <w:jc w:val="both"/>
        <w:rPr>
          <w:rFonts w:ascii="Arial" w:hAnsi="Arial"/>
          <w:noProof/>
          <w:sz w:val="16"/>
          <w:szCs w:val="16"/>
        </w:rPr>
      </w:pPr>
      <w:r>
        <w:rPr>
          <w:rFonts w:ascii="Arial" w:hAnsi="Arial"/>
          <w:noProof/>
          <w:sz w:val="16"/>
        </w:rPr>
        <w:t>В таблицата по-долу се описват видовете структурирани предприятия, които механизмът не консолидира, но, в които притежава дялово участие.</w:t>
      </w:r>
    </w:p>
    <w:p>
      <w:pPr>
        <w:pStyle w:val="Normal88"/>
        <w:spacing w:line="276" w:lineRule="auto"/>
        <w:jc w:val="both"/>
        <w:rPr>
          <w:rFonts w:ascii="Arial" w:hAnsi="Arial"/>
          <w:noProof/>
          <w:sz w:val="16"/>
          <w:szCs w:val="16"/>
        </w:rPr>
      </w:pPr>
    </w:p>
    <w:tbl>
      <w:tblPr>
        <w:tblStyle w:val="TableGrid"/>
        <w:tblW w:w="9923" w:type="dxa"/>
        <w:tblInd w:w="108" w:type="dxa"/>
        <w:tblBorders>
          <w:left w:val="nil"/>
          <w:right w:val="nil"/>
          <w:insideV w:val="nil"/>
        </w:tblBorders>
        <w:tblLook w:val="04A0" w:firstRow="1" w:lastRow="0" w:firstColumn="1" w:lastColumn="0" w:noHBand="0" w:noVBand="1"/>
      </w:tblPr>
      <w:tblGrid>
        <w:gridCol w:w="1571"/>
        <w:gridCol w:w="5520"/>
        <w:gridCol w:w="2832"/>
      </w:tblGrid>
      <w:tr>
        <w:tc>
          <w:tcPr>
            <w:tcW w:w="1560" w:type="dxa"/>
          </w:tcPr>
          <w:p>
            <w:pPr>
              <w:pStyle w:val="Normal88"/>
              <w:spacing w:before="60" w:after="60" w:line="276" w:lineRule="auto"/>
              <w:rPr>
                <w:rFonts w:ascii="Arial" w:hAnsi="Arial"/>
                <w:b/>
                <w:noProof/>
                <w:sz w:val="16"/>
                <w:szCs w:val="16"/>
              </w:rPr>
            </w:pPr>
            <w:r>
              <w:rPr>
                <w:rFonts w:ascii="Arial" w:hAnsi="Arial"/>
                <w:b/>
                <w:noProof/>
                <w:sz w:val="16"/>
              </w:rPr>
              <w:t>Вид на структурираното предприятие</w:t>
            </w:r>
          </w:p>
        </w:tc>
        <w:tc>
          <w:tcPr>
            <w:tcW w:w="5528" w:type="dxa"/>
          </w:tcPr>
          <w:p>
            <w:pPr>
              <w:pStyle w:val="Normal88"/>
              <w:spacing w:before="60" w:after="60" w:line="276" w:lineRule="auto"/>
              <w:jc w:val="both"/>
              <w:rPr>
                <w:rFonts w:ascii="Arial" w:hAnsi="Arial"/>
                <w:b/>
                <w:noProof/>
                <w:sz w:val="16"/>
                <w:szCs w:val="16"/>
              </w:rPr>
            </w:pPr>
            <w:r>
              <w:rPr>
                <w:rFonts w:ascii="Arial" w:hAnsi="Arial"/>
                <w:b/>
                <w:noProof/>
                <w:sz w:val="16"/>
              </w:rPr>
              <w:t>Естество и цел</w:t>
            </w:r>
          </w:p>
        </w:tc>
        <w:tc>
          <w:tcPr>
            <w:tcW w:w="2835" w:type="dxa"/>
          </w:tcPr>
          <w:p>
            <w:pPr>
              <w:pStyle w:val="Normal88"/>
              <w:spacing w:before="60" w:after="60" w:line="276" w:lineRule="auto"/>
              <w:jc w:val="both"/>
              <w:rPr>
                <w:rFonts w:ascii="Arial" w:hAnsi="Arial"/>
                <w:b/>
                <w:noProof/>
                <w:sz w:val="16"/>
                <w:szCs w:val="16"/>
              </w:rPr>
            </w:pPr>
            <w:r>
              <w:rPr>
                <w:rFonts w:ascii="Arial" w:hAnsi="Arial"/>
                <w:b/>
                <w:noProof/>
                <w:sz w:val="16"/>
              </w:rPr>
              <w:t>Дялово участие, държано от механизма</w:t>
            </w:r>
          </w:p>
        </w:tc>
      </w:tr>
      <w:tr>
        <w:tc>
          <w:tcPr>
            <w:tcW w:w="1560" w:type="dxa"/>
          </w:tcPr>
          <w:p>
            <w:pPr>
              <w:pStyle w:val="Normal88"/>
              <w:spacing w:before="60" w:after="60" w:line="276" w:lineRule="auto"/>
              <w:rPr>
                <w:rFonts w:ascii="Arial" w:hAnsi="Arial"/>
                <w:noProof/>
                <w:sz w:val="16"/>
                <w:szCs w:val="16"/>
              </w:rPr>
            </w:pPr>
            <w:r>
              <w:rPr>
                <w:rFonts w:ascii="Arial" w:hAnsi="Arial"/>
                <w:noProof/>
                <w:sz w:val="16"/>
              </w:rPr>
              <w:t>Финансиране на проекти — кредитиране на дружества със специално предназначение</w:t>
            </w:r>
          </w:p>
        </w:tc>
        <w:tc>
          <w:tcPr>
            <w:tcW w:w="5528" w:type="dxa"/>
          </w:tcPr>
          <w:p>
            <w:pPr>
              <w:pStyle w:val="Normal88"/>
              <w:spacing w:before="60" w:after="60" w:line="276" w:lineRule="auto"/>
              <w:jc w:val="both"/>
              <w:rPr>
                <w:rFonts w:ascii="Arial" w:hAnsi="Arial"/>
                <w:noProof/>
                <w:sz w:val="16"/>
                <w:szCs w:val="16"/>
              </w:rPr>
            </w:pPr>
            <w:r>
              <w:rPr>
                <w:rFonts w:ascii="Arial" w:hAnsi="Arial"/>
                <w:noProof/>
                <w:sz w:val="16"/>
              </w:rPr>
              <w:t>Операциите за финансиране на проекти са операции, при които за обслужването на своя дълг механизмът разчита на заемополучател, чийто единствен или основен източник на приходи се генерира от един или ограничен брой активи, финансирани от този дълг, или от други вече съществуващи активи, които са договорно обвързани с проекта. Операциите за финансиране на проекти често се финансират чрез дружества със специално предназначение.</w:t>
            </w:r>
          </w:p>
        </w:tc>
        <w:tc>
          <w:tcPr>
            <w:tcW w:w="2835" w:type="dxa"/>
          </w:tcPr>
          <w:p>
            <w:pPr>
              <w:pStyle w:val="Normal88"/>
              <w:spacing w:before="60" w:after="60"/>
              <w:jc w:val="both"/>
              <w:rPr>
                <w:rFonts w:ascii="Arial" w:hAnsi="Arial"/>
                <w:noProof/>
                <w:sz w:val="16"/>
                <w:szCs w:val="16"/>
              </w:rPr>
            </w:pPr>
            <w:r>
              <w:rPr>
                <w:rFonts w:ascii="Arial" w:hAnsi="Arial"/>
                <w:noProof/>
                <w:sz w:val="16"/>
              </w:rPr>
              <w:t>Нетни платени суми;</w:t>
            </w:r>
          </w:p>
          <w:p>
            <w:pPr>
              <w:pStyle w:val="Normal88"/>
              <w:spacing w:before="60" w:after="60" w:line="276" w:lineRule="auto"/>
              <w:jc w:val="both"/>
              <w:rPr>
                <w:rFonts w:ascii="Arial" w:hAnsi="Arial"/>
                <w:noProof/>
                <w:sz w:val="16"/>
                <w:szCs w:val="16"/>
              </w:rPr>
            </w:pPr>
            <w:r>
              <w:rPr>
                <w:rFonts w:ascii="Arial" w:hAnsi="Arial"/>
                <w:noProof/>
                <w:sz w:val="16"/>
              </w:rPr>
              <w:t>Приходи от лихви.</w:t>
            </w:r>
          </w:p>
        </w:tc>
      </w:tr>
      <w:tr>
        <w:tc>
          <w:tcPr>
            <w:tcW w:w="1560" w:type="dxa"/>
          </w:tcPr>
          <w:p>
            <w:pPr>
              <w:pStyle w:val="Normal88"/>
              <w:spacing w:before="60" w:after="60" w:line="276" w:lineRule="auto"/>
              <w:rPr>
                <w:rFonts w:ascii="Arial" w:hAnsi="Arial"/>
                <w:noProof/>
                <w:sz w:val="16"/>
                <w:szCs w:val="16"/>
              </w:rPr>
            </w:pPr>
            <w:r>
              <w:rPr>
                <w:rFonts w:ascii="Arial" w:hAnsi="Arial"/>
                <w:noProof/>
                <w:sz w:val="16"/>
              </w:rPr>
              <w:t>Операции с рисков капитал</w:t>
            </w:r>
          </w:p>
        </w:tc>
        <w:tc>
          <w:tcPr>
            <w:tcW w:w="5528" w:type="dxa"/>
          </w:tcPr>
          <w:p>
            <w:pPr>
              <w:pStyle w:val="Normal88"/>
              <w:spacing w:before="60" w:after="60" w:line="276" w:lineRule="auto"/>
              <w:jc w:val="both"/>
              <w:rPr>
                <w:rFonts w:ascii="Arial" w:hAnsi="Arial"/>
                <w:noProof/>
                <w:sz w:val="16"/>
                <w:szCs w:val="16"/>
              </w:rPr>
            </w:pPr>
            <w:r>
              <w:rPr>
                <w:rFonts w:ascii="Arial" w:hAnsi="Arial"/>
                <w:noProof/>
                <w:sz w:val="16"/>
              </w:rPr>
              <w:t>Механизмът финансира фондове за рисков капитал и инвестиционни фондове. Фондовете за рисков капитал и инвестиционните фондове обединяват и управляват парите на инвеститори, които търсят частни капиталови дялове в малки и средни предприятия с висок потенциал за растеж, и финансират инфраструктурни проекти.</w:t>
            </w:r>
          </w:p>
        </w:tc>
        <w:tc>
          <w:tcPr>
            <w:tcW w:w="2835" w:type="dxa"/>
          </w:tcPr>
          <w:p>
            <w:pPr>
              <w:pStyle w:val="Normal88"/>
              <w:spacing w:before="60" w:after="60" w:line="276" w:lineRule="auto"/>
              <w:jc w:val="both"/>
              <w:rPr>
                <w:rFonts w:ascii="Arial" w:hAnsi="Arial"/>
                <w:noProof/>
                <w:sz w:val="16"/>
                <w:szCs w:val="16"/>
              </w:rPr>
            </w:pPr>
            <w:r>
              <w:rPr>
                <w:rFonts w:ascii="Arial" w:hAnsi="Arial"/>
                <w:noProof/>
                <w:sz w:val="16"/>
              </w:rPr>
              <w:t>Инвестиции в единици/акции, емитирани от дружеството за рисков капитал;</w:t>
            </w:r>
          </w:p>
          <w:p>
            <w:pPr>
              <w:pStyle w:val="Normal88"/>
              <w:spacing w:before="60" w:after="60" w:line="276" w:lineRule="auto"/>
              <w:jc w:val="both"/>
              <w:rPr>
                <w:rFonts w:ascii="Arial" w:hAnsi="Arial"/>
                <w:noProof/>
                <w:sz w:val="16"/>
                <w:szCs w:val="16"/>
              </w:rPr>
            </w:pPr>
            <w:r>
              <w:rPr>
                <w:rFonts w:ascii="Arial" w:hAnsi="Arial"/>
                <w:noProof/>
                <w:sz w:val="16"/>
              </w:rPr>
              <w:t>Дивиденти, получени като приход от дивиденти.</w:t>
            </w:r>
          </w:p>
        </w:tc>
      </w:tr>
    </w:tbl>
    <w:p>
      <w:pPr>
        <w:pStyle w:val="Normal88"/>
        <w:spacing w:before="60" w:after="60" w:line="276" w:lineRule="auto"/>
        <w:jc w:val="both"/>
        <w:rPr>
          <w:rFonts w:ascii="Arial" w:hAnsi="Arial"/>
          <w:noProof/>
          <w:sz w:val="16"/>
          <w:szCs w:val="16"/>
        </w:rPr>
      </w:pPr>
    </w:p>
    <w:p>
      <w:pPr>
        <w:pStyle w:val="Normal88"/>
        <w:spacing w:before="60" w:after="60" w:line="276" w:lineRule="auto"/>
        <w:jc w:val="both"/>
        <w:rPr>
          <w:rFonts w:ascii="Arial" w:hAnsi="Arial"/>
          <w:noProof/>
          <w:sz w:val="16"/>
          <w:szCs w:val="16"/>
        </w:rPr>
      </w:pPr>
      <w:r>
        <w:rPr>
          <w:rFonts w:ascii="Arial" w:hAnsi="Arial"/>
          <w:noProof/>
          <w:sz w:val="16"/>
        </w:rPr>
        <w:t xml:space="preserve">Таблицата по-долу показва балансовите стойности на неконсолидираните структурирани предприятия, в които механизмът има дялово участие към отчетната дата, както и максималната експозиция на механизма към загуба във връзка с тези предприятия. Максималната експозиция към загуба включва балансовите стойности и свързаните с тях неизплатени задължения. </w:t>
      </w:r>
    </w:p>
    <w:p>
      <w:pPr>
        <w:pStyle w:val="Normal88"/>
        <w:spacing w:before="60" w:after="60" w:line="276" w:lineRule="auto"/>
        <w:jc w:val="both"/>
        <w:rPr>
          <w:rFonts w:ascii="Arial" w:hAnsi="Arial"/>
          <w:noProof/>
          <w:sz w:val="16"/>
          <w:szCs w:val="16"/>
        </w:rPr>
      </w:pPr>
      <w:r>
        <w:rPr>
          <w:noProof/>
        </w:rPr>
        <w:t xml:space="preserve"> </w:t>
      </w:r>
    </w:p>
    <w:tbl>
      <w:tblPr>
        <w:tblStyle w:val="CDMRange222"/>
        <w:tblW w:w="9990" w:type="dxa"/>
        <w:tblLayout w:type="fixed"/>
        <w:tblLook w:val="0600" w:firstRow="0" w:lastRow="0" w:firstColumn="0" w:lastColumn="0" w:noHBand="1" w:noVBand="1"/>
      </w:tblPr>
      <w:tblGrid>
        <w:gridCol w:w="2295"/>
        <w:gridCol w:w="2295"/>
        <w:gridCol w:w="1350"/>
        <w:gridCol w:w="1350"/>
        <w:gridCol w:w="1350"/>
        <w:gridCol w:w="1350"/>
      </w:tblGrid>
      <w:tr>
        <w:trPr>
          <w:trHeight w:val="600"/>
        </w:trPr>
        <w:tc>
          <w:tcPr>
            <w:tcW w:w="22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rPr>
                <w:rFonts w:ascii="Arial" w:eastAsia="Arial" w:hAnsi="Arial" w:cs="Arial"/>
                <w:b/>
                <w:noProof/>
                <w:color w:val="000000"/>
                <w:sz w:val="16"/>
              </w:rPr>
            </w:pPr>
            <w:r>
              <w:rPr>
                <w:rFonts w:ascii="Arial" w:hAnsi="Arial"/>
                <w:b/>
                <w:noProof/>
                <w:color w:val="000000"/>
                <w:sz w:val="16"/>
              </w:rPr>
              <w:t>Вид на структурираното предприятие</w:t>
            </w:r>
          </w:p>
        </w:tc>
        <w:tc>
          <w:tcPr>
            <w:tcW w:w="22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rPr>
                <w:rFonts w:ascii="Arial" w:eastAsia="Arial" w:hAnsi="Arial" w:cs="Arial"/>
                <w:b/>
                <w:noProof/>
                <w:color w:val="000000"/>
                <w:sz w:val="16"/>
              </w:rPr>
            </w:pPr>
            <w:r>
              <w:rPr>
                <w:rFonts w:ascii="Arial" w:hAnsi="Arial"/>
                <w:b/>
                <w:noProof/>
                <w:color w:val="000000"/>
                <w:sz w:val="16"/>
              </w:rPr>
              <w:t>Текст</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Балансова стойност към 31.12.2018 г.</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Балансова стойност към 31.12.2017 г.</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Максимална експозиция към загуба към 31.12.2018 г.</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Максимална експозиция към загуба към 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Фондове за рисков капитал</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Акции и други ценни книжа с променлива доходност</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467 152</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420 104</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797 775</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737 661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95" w:type="dxa"/>
            <w:tcBorders>
              <w:top w:val="nil"/>
              <w:left w:val="nil"/>
              <w:bottom w:val="nil"/>
              <w:right w:val="nil"/>
              <w:tl2br w:val="nil"/>
              <w:tr2bl w:val="nil"/>
            </w:tcBorders>
            <w:shd w:val="clear" w:color="FFFFFF" w:fill="C0C0C0"/>
            <w:tcMar>
              <w:left w:w="40" w:type="dxa"/>
              <w:right w:w="40" w:type="dxa"/>
            </w:tcMar>
            <w:vAlign w:val="center"/>
          </w:tcPr>
          <w:p>
            <w:pPr>
              <w:pStyle w:val="Normal89"/>
              <w:rPr>
                <w:rFonts w:ascii="Arial" w:eastAsia="Arial" w:hAnsi="Arial" w:cs="Arial"/>
                <w:b/>
                <w:noProof/>
                <w:color w:val="000000"/>
                <w:sz w:val="16"/>
              </w:rPr>
            </w:pPr>
            <w:r>
              <w:rPr>
                <w:rFonts w:ascii="Arial" w:hAnsi="Arial"/>
                <w:b/>
                <w:noProof/>
                <w:color w:val="000000"/>
                <w:sz w:val="16"/>
              </w:rPr>
              <w:t>Общо</w:t>
            </w:r>
          </w:p>
        </w:tc>
        <w:tc>
          <w:tcPr>
            <w:tcW w:w="2295" w:type="dxa"/>
            <w:tcBorders>
              <w:top w:val="nil"/>
              <w:left w:val="nil"/>
              <w:bottom w:val="nil"/>
              <w:right w:val="nil"/>
              <w:tl2br w:val="nil"/>
              <w:tr2bl w:val="nil"/>
            </w:tcBorders>
            <w:shd w:val="clear" w:color="FFFFFF" w:fill="C0C0C0"/>
            <w:tcMar>
              <w:left w:w="0" w:type="dxa"/>
              <w:right w:w="0" w:type="dxa"/>
            </w:tcMar>
            <w:vAlign w:val="center"/>
          </w:tcPr>
          <w:p>
            <w:pPr>
              <w:pStyle w:val="Normal89"/>
              <w:rPr>
                <w:rFonts w:ascii="Arial" w:eastAsia="Arial" w:hAnsi="Arial" w:cs="Arial"/>
                <w:b/>
                <w:noProof/>
                <w:color w:val="000000"/>
                <w:sz w:val="16"/>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467 152</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420 104</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797 775</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737 661</w:t>
            </w:r>
          </w:p>
        </w:tc>
      </w:tr>
    </w:tbl>
    <w:p>
      <w:pPr>
        <w:pStyle w:val="Notes"/>
        <w:pageBreakBefore/>
        <w:numPr>
          <w:ilvl w:val="0"/>
          <w:numId w:val="0"/>
        </w:numPr>
        <w:pBdr>
          <w:top w:val="nil"/>
          <w:left w:val="nil"/>
          <w:bottom w:val="nil"/>
          <w:right w:val="nil"/>
          <w:between w:val="nil"/>
          <w:bar w:val="nil"/>
        </w:pBdr>
        <w:ind w:left="432" w:hanging="432"/>
        <w:rPr>
          <w:rFonts w:eastAsia="Calibri"/>
          <w:noProof/>
          <w:szCs w:val="20"/>
          <w:bdr w:val="nil"/>
        </w:rPr>
      </w:pPr>
      <w:r>
        <w:rPr>
          <w:noProof/>
        </w:rPr>
        <w:t>24</w:t>
      </w:r>
      <w:r>
        <w:rPr>
          <w:noProof/>
        </w:rPr>
        <w:tab/>
        <w:t>Пакет за социално и отговорно финансиране (в хиляди евро)</w:t>
      </w:r>
    </w:p>
    <w:p>
      <w:pPr>
        <w:pBdr>
          <w:top w:val="nil"/>
          <w:left w:val="nil"/>
          <w:bottom w:val="nil"/>
          <w:right w:val="nil"/>
          <w:between w:val="nil"/>
          <w:bar w:val="nil"/>
        </w:pBdr>
        <w:spacing w:before="60" w:after="60" w:line="276" w:lineRule="auto"/>
        <w:jc w:val="both"/>
        <w:rPr>
          <w:rFonts w:ascii="Calibri" w:eastAsia="Calibri" w:hAnsi="Calibri" w:cs="Arial"/>
          <w:noProof/>
          <w:sz w:val="16"/>
          <w:szCs w:val="16"/>
          <w:bdr w:val="nil"/>
        </w:rPr>
      </w:pPr>
    </w:p>
    <w:p>
      <w:pPr>
        <w:pBdr>
          <w:top w:val="nil"/>
          <w:left w:val="nil"/>
          <w:bottom w:val="nil"/>
          <w:right w:val="nil"/>
          <w:between w:val="nil"/>
          <w:bar w:val="nil"/>
        </w:pBdr>
        <w:spacing w:line="276" w:lineRule="auto"/>
        <w:jc w:val="both"/>
        <w:rPr>
          <w:rFonts w:ascii="Arial" w:eastAsia="Calibri" w:hAnsi="Arial" w:cs="Arial"/>
          <w:noProof/>
          <w:sz w:val="16"/>
          <w:szCs w:val="16"/>
          <w:bdr w:val="nil"/>
        </w:rPr>
      </w:pPr>
      <w:r>
        <w:rPr>
          <w:rFonts w:ascii="Arial" w:hAnsi="Arial"/>
          <w:noProof/>
          <w:sz w:val="16"/>
          <w:bdr w:val="nil"/>
        </w:rPr>
        <w:t xml:space="preserve">През юни 2013 г. Съветът на министрите АКТБ-ЕС одобри новия финансови протокол за 11-ия Европейски фонд за развитие (ЕФР), който обхваща периода 2014—2020 г. </w:t>
      </w:r>
    </w:p>
    <w:p>
      <w:pPr>
        <w:pBdr>
          <w:top w:val="nil"/>
          <w:left w:val="nil"/>
          <w:bottom w:val="nil"/>
          <w:right w:val="nil"/>
          <w:between w:val="nil"/>
          <w:bar w:val="nil"/>
        </w:pBdr>
        <w:spacing w:line="276" w:lineRule="auto"/>
        <w:jc w:val="both"/>
        <w:rPr>
          <w:rFonts w:ascii="Arial" w:eastAsia="Calibri" w:hAnsi="Arial" w:cs="Arial"/>
          <w:noProof/>
          <w:sz w:val="16"/>
          <w:szCs w:val="16"/>
          <w:bdr w:val="nil"/>
        </w:rPr>
      </w:pPr>
    </w:p>
    <w:p>
      <w:pPr>
        <w:pBdr>
          <w:top w:val="nil"/>
          <w:left w:val="nil"/>
          <w:bottom w:val="nil"/>
          <w:right w:val="nil"/>
          <w:between w:val="nil"/>
          <w:bar w:val="nil"/>
        </w:pBdr>
        <w:spacing w:line="276" w:lineRule="auto"/>
        <w:jc w:val="both"/>
        <w:rPr>
          <w:rFonts w:ascii="Arial" w:eastAsia="Calibri" w:hAnsi="Arial" w:cs="Arial"/>
          <w:noProof/>
          <w:sz w:val="16"/>
          <w:szCs w:val="16"/>
          <w:bdr w:val="nil"/>
        </w:rPr>
      </w:pPr>
      <w:r>
        <w:rPr>
          <w:rFonts w:ascii="Arial" w:hAnsi="Arial"/>
          <w:noProof/>
          <w:sz w:val="16"/>
          <w:bdr w:val="nil"/>
        </w:rPr>
        <w:t>Нова вноска в размер на 500 милиона евро беше договорена за Инвестиционния механизъм — така нареченото „социално и отговорно финансиране“ или „СОФ“, което дава възможност на механизма да подкрепя проекти с особено голямо въздействие върху развитието, като същевременно поема по-големи рискове, присъщи на тези инвестиции. Този пакет ще предостави нови възможности за засилване на заемите на механизма от частния сектор чрез инвестиции в следните инструменти:</w:t>
      </w:r>
    </w:p>
    <w:p>
      <w:pPr>
        <w:pBdr>
          <w:top w:val="nil"/>
          <w:left w:val="nil"/>
          <w:bottom w:val="nil"/>
          <w:right w:val="nil"/>
          <w:between w:val="nil"/>
          <w:bar w:val="nil"/>
        </w:pBdr>
        <w:spacing w:line="276" w:lineRule="auto"/>
        <w:jc w:val="both"/>
        <w:rPr>
          <w:rFonts w:ascii="Arial" w:eastAsia="Calibri" w:hAnsi="Arial" w:cs="Arial"/>
          <w:noProof/>
          <w:sz w:val="16"/>
          <w:szCs w:val="16"/>
          <w:bdr w:val="nil"/>
        </w:rPr>
      </w:pPr>
    </w:p>
    <w:p>
      <w:pPr>
        <w:pBdr>
          <w:top w:val="nil"/>
          <w:left w:val="nil"/>
          <w:bottom w:val="nil"/>
          <w:right w:val="nil"/>
          <w:between w:val="nil"/>
          <w:bar w:val="nil"/>
        </w:pBdr>
        <w:spacing w:line="276" w:lineRule="auto"/>
        <w:jc w:val="both"/>
        <w:rPr>
          <w:rFonts w:ascii="Arial" w:eastAsia="Calibri" w:hAnsi="Arial" w:cs="Arial"/>
          <w:noProof/>
          <w:sz w:val="16"/>
          <w:szCs w:val="16"/>
          <w:bdr w:val="nil"/>
        </w:rPr>
      </w:pPr>
      <w:r>
        <w:rPr>
          <w:rFonts w:ascii="Arial" w:hAnsi="Arial"/>
          <w:b/>
          <w:noProof/>
          <w:sz w:val="16"/>
          <w:bdr w:val="nil"/>
        </w:rPr>
        <w:t>Фондове за частни дялови инвестиции</w:t>
      </w:r>
      <w:r>
        <w:rPr>
          <w:noProof/>
        </w:rPr>
        <w:t xml:space="preserve"> </w:t>
      </w:r>
      <w:r>
        <w:rPr>
          <w:rFonts w:ascii="Arial" w:hAnsi="Arial"/>
          <w:b/>
          <w:noProof/>
          <w:sz w:val="16"/>
          <w:bdr w:val="nil"/>
        </w:rPr>
        <w:t>със социално въздействие</w:t>
      </w:r>
      <w:r>
        <w:rPr>
          <w:rFonts w:ascii="Arial" w:hAnsi="Arial"/>
          <w:noProof/>
          <w:sz w:val="16"/>
          <w:bdr w:val="nil"/>
        </w:rPr>
        <w:t xml:space="preserve"> — насърчавани от нарастващия брой управители на фондове за частни капиталови инвестиции, които поставят облекчаването на социалните и екологичните проблеми в основата на своите инвестиции, но все пак се стремят към устойчивост както на фонда, така и на неговите инвестиционни дружества.</w:t>
      </w:r>
    </w:p>
    <w:p>
      <w:pPr>
        <w:pBdr>
          <w:top w:val="nil"/>
          <w:left w:val="nil"/>
          <w:bottom w:val="nil"/>
          <w:right w:val="nil"/>
          <w:between w:val="nil"/>
          <w:bar w:val="nil"/>
        </w:pBdr>
        <w:spacing w:line="276" w:lineRule="auto"/>
        <w:jc w:val="both"/>
        <w:rPr>
          <w:rFonts w:ascii="Arial" w:eastAsia="Calibri" w:hAnsi="Arial" w:cs="Arial"/>
          <w:noProof/>
          <w:sz w:val="16"/>
          <w:szCs w:val="16"/>
          <w:bdr w:val="nil"/>
        </w:rPr>
      </w:pPr>
    </w:p>
    <w:p>
      <w:pPr>
        <w:pBdr>
          <w:top w:val="nil"/>
          <w:left w:val="nil"/>
          <w:bottom w:val="nil"/>
          <w:right w:val="nil"/>
          <w:between w:val="nil"/>
          <w:bar w:val="nil"/>
        </w:pBdr>
        <w:spacing w:line="276" w:lineRule="auto"/>
        <w:jc w:val="both"/>
        <w:rPr>
          <w:rFonts w:ascii="Arial" w:eastAsia="Calibri" w:hAnsi="Arial" w:cs="Arial"/>
          <w:noProof/>
          <w:sz w:val="16"/>
          <w:szCs w:val="16"/>
          <w:bdr w:val="nil"/>
        </w:rPr>
      </w:pPr>
      <w:r>
        <w:rPr>
          <w:rFonts w:ascii="Arial" w:hAnsi="Arial"/>
          <w:b/>
          <w:noProof/>
          <w:sz w:val="16"/>
          <w:bdr w:val="nil"/>
        </w:rPr>
        <w:t>Заеми за финансови посредници</w:t>
      </w:r>
      <w:r>
        <w:rPr>
          <w:noProof/>
        </w:rPr>
        <w:t xml:space="preserve"> </w:t>
      </w:r>
      <w:r>
        <w:rPr>
          <w:rFonts w:ascii="Arial" w:hAnsi="Arial"/>
          <w:noProof/>
          <w:sz w:val="16"/>
          <w:bdr w:val="nil"/>
        </w:rPr>
        <w:t>(напр. институции за микрофинансиране, местни банки и кредитни съюзи), работещи в страните от АКТБ, в които ЕИБ не може да осъществява финансиране — по-специално в местна валута — съгласно действащите насоки за кредитния риск, например поради високи държавни рискове, нестабилност на валутните курсове или липса на ценообразуващи референтни показатели. Основната цел на такива заеми ще бъде да се финансират проекти със значително въздействие върху развитието, особено в областта на подкрепата за микропредприятията и малките предприятия и селското стопанство, които по принцип не отговарят на изискванията за финансиране от Инвестиционния механизъм.</w:t>
      </w:r>
    </w:p>
    <w:p>
      <w:pPr>
        <w:pBdr>
          <w:top w:val="nil"/>
          <w:left w:val="nil"/>
          <w:bottom w:val="nil"/>
          <w:right w:val="nil"/>
          <w:between w:val="nil"/>
          <w:bar w:val="nil"/>
        </w:pBdr>
        <w:spacing w:line="276" w:lineRule="auto"/>
        <w:jc w:val="both"/>
        <w:rPr>
          <w:rFonts w:ascii="Arial" w:eastAsia="Calibri" w:hAnsi="Arial" w:cs="Arial"/>
          <w:b/>
          <w:noProof/>
          <w:sz w:val="16"/>
          <w:szCs w:val="16"/>
          <w:bdr w:val="nil"/>
        </w:rPr>
      </w:pPr>
    </w:p>
    <w:p>
      <w:pPr>
        <w:pBdr>
          <w:top w:val="nil"/>
          <w:left w:val="nil"/>
          <w:bottom w:val="nil"/>
          <w:right w:val="nil"/>
          <w:between w:val="nil"/>
          <w:bar w:val="nil"/>
        </w:pBdr>
        <w:spacing w:line="276" w:lineRule="auto"/>
        <w:jc w:val="both"/>
        <w:rPr>
          <w:rFonts w:ascii="Arial" w:eastAsia="Calibri" w:hAnsi="Arial" w:cs="Arial"/>
          <w:noProof/>
          <w:sz w:val="16"/>
          <w:szCs w:val="16"/>
          <w:bdr w:val="nil"/>
        </w:rPr>
      </w:pPr>
      <w:r>
        <w:rPr>
          <w:rFonts w:ascii="Arial" w:hAnsi="Arial"/>
          <w:b/>
          <w:noProof/>
          <w:sz w:val="16"/>
          <w:bdr w:val="nil"/>
        </w:rPr>
        <w:t>Инструменти за улесняване на споделянето на риска</w:t>
      </w:r>
      <w:r>
        <w:rPr>
          <w:rFonts w:ascii="Arial" w:hAnsi="Arial"/>
          <w:noProof/>
          <w:sz w:val="16"/>
          <w:bdr w:val="nil"/>
        </w:rPr>
        <w:t>, които ще бъдат под формата на гаранции за първа загуба( „части за първа загуба“), които ще улесняват операциите на ЕИБ за споделяне на риска с местни финансови посредници (основно търговски банки) в полза на по-малко финансирани МСП и малки проекти, които отговарят на критериите за финансиране от Пакета за социално и отговорно финансиране в случаи, когато е установен пазарен недостиг по отношение на достъпа на МСП и малките проекти за финансиране. Частите за първа загуба ще бъдат структурирани като насрещна гаранция в полза на първостепенни гаранционни траншове, финансирани от ЕИБ — в рамките на Инвестиционния механизъм — и от други международни финансови институции/финансови институции за развитие, като по този начин се създава значителен ефект на лоста.</w:t>
      </w:r>
    </w:p>
    <w:p>
      <w:pPr>
        <w:pBdr>
          <w:top w:val="nil"/>
          <w:left w:val="nil"/>
          <w:bottom w:val="nil"/>
          <w:right w:val="nil"/>
          <w:between w:val="nil"/>
          <w:bar w:val="nil"/>
        </w:pBdr>
        <w:spacing w:line="276" w:lineRule="auto"/>
        <w:jc w:val="both"/>
        <w:rPr>
          <w:rFonts w:ascii="Arial" w:eastAsia="Calibri" w:hAnsi="Arial" w:cs="Arial"/>
          <w:noProof/>
          <w:sz w:val="16"/>
          <w:szCs w:val="16"/>
          <w:bdr w:val="nil"/>
        </w:rPr>
      </w:pPr>
    </w:p>
    <w:p>
      <w:pPr>
        <w:pBdr>
          <w:top w:val="nil"/>
          <w:left w:val="nil"/>
          <w:bottom w:val="nil"/>
          <w:right w:val="nil"/>
          <w:between w:val="nil"/>
          <w:bar w:val="nil"/>
        </w:pBdr>
        <w:spacing w:line="276" w:lineRule="auto"/>
        <w:jc w:val="both"/>
        <w:rPr>
          <w:rFonts w:ascii="Arial" w:eastAsia="Calibri" w:hAnsi="Arial" w:cs="Arial"/>
          <w:noProof/>
          <w:sz w:val="16"/>
          <w:szCs w:val="16"/>
          <w:bdr w:val="nil"/>
        </w:rPr>
      </w:pPr>
      <w:r>
        <w:rPr>
          <w:rFonts w:ascii="Arial" w:hAnsi="Arial"/>
          <w:b/>
          <w:noProof/>
          <w:sz w:val="16"/>
          <w:bdr w:val="nil"/>
        </w:rPr>
        <w:t>Пряко финансиране</w:t>
      </w:r>
      <w:r>
        <w:rPr>
          <w:noProof/>
        </w:rPr>
        <w:t xml:space="preserve"> </w:t>
      </w:r>
      <w:r>
        <w:rPr>
          <w:rFonts w:ascii="Arial" w:hAnsi="Arial"/>
          <w:noProof/>
          <w:sz w:val="16"/>
          <w:bdr w:val="nil"/>
        </w:rPr>
        <w:t>посредством дългови или капиталови инструменти в проекти със стабилни и опитни предприемачи и силно въздействие върху развитието, но които обаче водят и до по-големи очаквания за загуби и затруднения за възстановяване на инвестициите (капиталови инструменти с по-висок от обичайния риск). ЕИБ ще прилага строги критерии за подбор и допустимост за този инструмент, тъй като тези проекти, независимо от силното им въздействие върху развитието, няма да бъдат в състояние да отговорят на приемливи финансови критерии (т.е. малки очаквания за възвръщаемост на инвестициите или компенсиране на загубите чрез лихви или капиталови печалби).</w:t>
      </w:r>
    </w:p>
    <w:p>
      <w:pPr>
        <w:pBdr>
          <w:top w:val="nil"/>
          <w:left w:val="nil"/>
          <w:bottom w:val="nil"/>
          <w:right w:val="nil"/>
          <w:between w:val="nil"/>
          <w:bar w:val="nil"/>
        </w:pBdr>
        <w:tabs>
          <w:tab w:val="left" w:pos="426"/>
        </w:tabs>
        <w:spacing w:line="276" w:lineRule="auto"/>
        <w:jc w:val="both"/>
        <w:rPr>
          <w:rFonts w:eastAsia="Calibri" w:cs="Arial"/>
          <w:noProof/>
          <w:sz w:val="16"/>
          <w:szCs w:val="16"/>
          <w:bdr w:val="nil"/>
        </w:rPr>
      </w:pPr>
    </w:p>
    <w:p>
      <w:pPr>
        <w:pBdr>
          <w:top w:val="nil"/>
          <w:left w:val="nil"/>
          <w:bottom w:val="nil"/>
          <w:right w:val="nil"/>
          <w:between w:val="nil"/>
          <w:bar w:val="nil"/>
        </w:pBdr>
        <w:tabs>
          <w:tab w:val="left" w:pos="0"/>
        </w:tabs>
        <w:spacing w:line="276" w:lineRule="auto"/>
        <w:jc w:val="both"/>
        <w:rPr>
          <w:rFonts w:eastAsia="Calibri" w:cs="Arial"/>
          <w:noProof/>
          <w:sz w:val="16"/>
          <w:szCs w:val="16"/>
          <w:bdr w:val="nil"/>
        </w:rPr>
      </w:pPr>
      <w:r>
        <w:rPr>
          <w:rFonts w:ascii="Arial" w:hAnsi="Arial"/>
          <w:noProof/>
          <w:sz w:val="16"/>
          <w:bdr w:val="nil"/>
        </w:rPr>
        <w:t>Пакетът за социално и отговорно финансиране (ПСОФ) също така ще позволи диверсификация в нови сектори, като здравеопазването и образованието, селското стопанство и продоволствената сигурност, както и разработването на нови и иновативни инструменти за споделяне на риска.</w:t>
      </w:r>
    </w:p>
    <w:p>
      <w:pPr>
        <w:pBdr>
          <w:top w:val="nil"/>
          <w:left w:val="nil"/>
          <w:bottom w:val="nil"/>
          <w:right w:val="nil"/>
          <w:between w:val="nil"/>
          <w:bar w:val="nil"/>
        </w:pBdr>
        <w:tabs>
          <w:tab w:val="left" w:pos="0"/>
        </w:tabs>
        <w:spacing w:line="276" w:lineRule="auto"/>
        <w:jc w:val="both"/>
        <w:rPr>
          <w:rFonts w:eastAsia="Calibri" w:cs="Arial"/>
          <w:noProof/>
          <w:sz w:val="16"/>
          <w:szCs w:val="16"/>
          <w:bdr w:val="nil"/>
        </w:rPr>
      </w:pPr>
    </w:p>
    <w:p>
      <w:pPr>
        <w:pBdr>
          <w:top w:val="nil"/>
          <w:left w:val="nil"/>
          <w:bottom w:val="nil"/>
          <w:right w:val="nil"/>
          <w:between w:val="nil"/>
          <w:bar w:val="nil"/>
        </w:pBdr>
        <w:tabs>
          <w:tab w:val="left" w:pos="0"/>
        </w:tabs>
        <w:spacing w:line="276" w:lineRule="auto"/>
        <w:jc w:val="both"/>
        <w:rPr>
          <w:rFonts w:eastAsia="Calibri" w:cs="Arial"/>
          <w:noProof/>
          <w:sz w:val="16"/>
          <w:szCs w:val="16"/>
          <w:bdr w:val="nil"/>
        </w:rPr>
      </w:pPr>
      <w:r>
        <w:rPr>
          <w:rFonts w:ascii="Arial" w:hAnsi="Arial"/>
          <w:noProof/>
          <w:sz w:val="16"/>
          <w:bdr w:val="nil"/>
        </w:rPr>
        <w:t>От финансова и счетоводна гледна точка ПСОФ е част от портфейла на Инвестиционния механизъм и се отчита в общите годишни финансови отчети на Инвестиционния механизъм.</w:t>
      </w:r>
    </w:p>
    <w:p>
      <w:pPr>
        <w:pStyle w:val="Notes"/>
        <w:numPr>
          <w:ilvl w:val="0"/>
          <w:numId w:val="0"/>
        </w:numPr>
        <w:pBdr>
          <w:top w:val="nil"/>
          <w:left w:val="nil"/>
          <w:bottom w:val="nil"/>
          <w:right w:val="nil"/>
          <w:between w:val="nil"/>
          <w:bar w:val="nil"/>
        </w:pBdr>
        <w:ind w:left="432" w:hanging="432"/>
        <w:rPr>
          <w:rFonts w:eastAsia="Calibri"/>
          <w:b w:val="0"/>
          <w:noProof/>
          <w:sz w:val="16"/>
          <w:szCs w:val="16"/>
          <w:bdr w:val="nil"/>
        </w:rPr>
      </w:pPr>
      <w:r>
        <w:rPr>
          <w:b w:val="0"/>
          <w:noProof/>
          <w:sz w:val="16"/>
          <w:bdr w:val="nil"/>
        </w:rPr>
        <w:t>Таблицата по-долу съдържа балансовите стойности и поетите като задължение, но неизплатени суми, по вид на актива:</w:t>
      </w:r>
    </w:p>
    <w:p>
      <w:pPr>
        <w:pBdr>
          <w:top w:val="nil"/>
          <w:left w:val="nil"/>
          <w:bottom w:val="nil"/>
          <w:right w:val="nil"/>
          <w:between w:val="nil"/>
          <w:bar w:val="nil"/>
        </w:pBdr>
        <w:spacing w:line="276" w:lineRule="auto"/>
        <w:jc w:val="both"/>
        <w:rPr>
          <w:rFonts w:ascii="Arial" w:eastAsia="Calibri" w:hAnsi="Arial" w:cs="Arial"/>
          <w:noProof/>
          <w:sz w:val="16"/>
          <w:szCs w:val="16"/>
          <w:bdr w:val="nil"/>
        </w:rPr>
      </w:pPr>
      <w:r>
        <w:rPr>
          <w:noProof/>
        </w:rPr>
        <w:t xml:space="preserve"> </w:t>
      </w:r>
    </w:p>
    <w:tbl>
      <w:tblPr>
        <w:tblStyle w:val="CDMRange123"/>
        <w:tblW w:w="9990" w:type="dxa"/>
        <w:tblLayout w:type="fixed"/>
        <w:tblLook w:val="0600" w:firstRow="0" w:lastRow="0" w:firstColumn="0" w:lastColumn="0" w:noHBand="1" w:noVBand="1"/>
      </w:tblPr>
      <w:tblGrid>
        <w:gridCol w:w="2295"/>
        <w:gridCol w:w="2295"/>
        <w:gridCol w:w="1350"/>
        <w:gridCol w:w="1350"/>
        <w:gridCol w:w="1350"/>
        <w:gridCol w:w="1350"/>
      </w:tblGrid>
      <w:tr>
        <w:trPr>
          <w:trHeight w:val="600"/>
        </w:trPr>
        <w:tc>
          <w:tcPr>
            <w:tcW w:w="22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rPr>
                <w:rFonts w:ascii="Arial" w:eastAsia="Arial" w:hAnsi="Arial" w:cs="Arial"/>
                <w:b/>
                <w:noProof/>
                <w:color w:val="000000"/>
                <w:sz w:val="16"/>
              </w:rPr>
            </w:pPr>
            <w:r>
              <w:rPr>
                <w:rFonts w:ascii="Arial" w:hAnsi="Arial"/>
                <w:b/>
                <w:noProof/>
                <w:color w:val="000000"/>
                <w:sz w:val="16"/>
              </w:rPr>
              <w:t>Вид инвестиции на ПСОФ</w:t>
            </w:r>
          </w:p>
        </w:tc>
        <w:tc>
          <w:tcPr>
            <w:tcW w:w="22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rPr>
                <w:rFonts w:ascii="Arial" w:eastAsia="Arial" w:hAnsi="Arial" w:cs="Arial"/>
                <w:b/>
                <w:noProof/>
                <w:color w:val="000000"/>
                <w:sz w:val="16"/>
              </w:rPr>
            </w:pPr>
            <w:r>
              <w:rPr>
                <w:rFonts w:ascii="Arial" w:hAnsi="Arial"/>
                <w:b/>
                <w:noProof/>
                <w:color w:val="000000"/>
                <w:sz w:val="16"/>
              </w:rPr>
              <w:t>Текст</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color w:val="000000"/>
                <w:sz w:val="16"/>
              </w:rPr>
              <w:t>Балансова стойност към 31.12.2018 г.</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color w:val="000000"/>
                <w:sz w:val="16"/>
              </w:rPr>
              <w:t>Балансова стойност към 31.12.2017 г.</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color w:val="000000"/>
                <w:sz w:val="16"/>
              </w:rPr>
              <w:t>Неизплатена сума към 31.12.2018 г.</w:t>
            </w:r>
          </w:p>
        </w:tc>
        <w:tc>
          <w:tcPr>
            <w:tcW w:w="13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color w:val="000000"/>
                <w:sz w:val="16"/>
              </w:rPr>
              <w:t>Неизплатена сума към 31.12.2017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color w:val="000000"/>
                <w:sz w:val="16"/>
              </w:rPr>
              <w:t>Фондове за частни дялови инвестиции със социално въздействие</w:t>
            </w:r>
          </w:p>
        </w:tc>
        <w:tc>
          <w:tcPr>
            <w:tcW w:w="2295"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color w:val="000000"/>
                <w:sz w:val="16"/>
              </w:rPr>
              <w:t>Акции и други ценни книжа с променлива доходност</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19 134</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7 839</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53 672</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51 720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color w:val="000000"/>
                <w:sz w:val="16"/>
              </w:rPr>
              <w:t>Заеми за финансови посредници</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color w:val="000000"/>
                <w:sz w:val="16"/>
              </w:rPr>
              <w:t xml:space="preserve">Заеми и аванси </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36 277</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30 804</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139 329</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44 017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color w:val="000000"/>
                <w:sz w:val="16"/>
              </w:rPr>
              <w:t>Инструменти за улесняване на споделянето на риска</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color w:val="000000"/>
                <w:sz w:val="16"/>
              </w:rPr>
              <w:t>Издадени гаранции</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-786</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-296</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43 668</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64 569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color w:val="000000"/>
                <w:sz w:val="16"/>
              </w:rPr>
              <w:t>Пряко финансиране — капиталови участия</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900"/>
              <w:rPr>
                <w:rFonts w:ascii="Arial" w:eastAsia="Arial" w:hAnsi="Arial" w:cs="Arial"/>
                <w:noProof/>
                <w:color w:val="000000"/>
                <w:sz w:val="16"/>
              </w:rPr>
            </w:pPr>
            <w:r>
              <w:rPr>
                <w:rFonts w:ascii="Arial" w:hAnsi="Arial"/>
                <w:noProof/>
                <w:color w:val="000000"/>
                <w:sz w:val="16"/>
              </w:rPr>
              <w:t>Акции и други ценни книжа с променлива доходност</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53 183</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42 981</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1 014</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900"/>
              <w:jc w:val="right"/>
              <w:rPr>
                <w:rFonts w:ascii="Arial" w:eastAsia="Arial" w:hAnsi="Arial" w:cs="Arial"/>
                <w:noProof/>
                <w:color w:val="000000"/>
                <w:sz w:val="16"/>
              </w:rPr>
            </w:pPr>
            <w:r>
              <w:rPr>
                <w:rFonts w:ascii="Arial" w:hAnsi="Arial"/>
                <w:noProof/>
                <w:color w:val="000000"/>
                <w:sz w:val="16"/>
              </w:rPr>
              <w:t>4 014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95" w:type="dxa"/>
            <w:tcBorders>
              <w:top w:val="nil"/>
              <w:left w:val="nil"/>
              <w:bottom w:val="nil"/>
              <w:right w:val="nil"/>
              <w:tl2br w:val="nil"/>
              <w:tr2bl w:val="nil"/>
            </w:tcBorders>
            <w:shd w:val="clear" w:color="FFFFFF" w:fill="C0C0C0"/>
            <w:tcMar>
              <w:left w:w="40" w:type="dxa"/>
              <w:right w:w="40" w:type="dxa"/>
            </w:tcMar>
            <w:vAlign w:val="center"/>
          </w:tcPr>
          <w:p>
            <w:pPr>
              <w:pStyle w:val="Normal900"/>
              <w:rPr>
                <w:rFonts w:ascii="Arial" w:eastAsia="Arial" w:hAnsi="Arial" w:cs="Arial"/>
                <w:b/>
                <w:noProof/>
                <w:color w:val="000000"/>
                <w:sz w:val="16"/>
              </w:rPr>
            </w:pPr>
            <w:r>
              <w:rPr>
                <w:rFonts w:ascii="Arial" w:hAnsi="Arial"/>
                <w:b/>
                <w:noProof/>
                <w:color w:val="000000"/>
                <w:sz w:val="16"/>
              </w:rPr>
              <w:t>Общо</w:t>
            </w:r>
          </w:p>
        </w:tc>
        <w:tc>
          <w:tcPr>
            <w:tcW w:w="2295" w:type="dxa"/>
            <w:tcBorders>
              <w:top w:val="nil"/>
              <w:left w:val="nil"/>
              <w:bottom w:val="nil"/>
              <w:right w:val="nil"/>
              <w:tl2br w:val="nil"/>
              <w:tr2bl w:val="nil"/>
            </w:tcBorders>
            <w:shd w:val="clear" w:color="FFFFFF" w:fill="C0C0C0"/>
            <w:tcMar>
              <w:left w:w="0" w:type="dxa"/>
              <w:right w:w="0" w:type="dxa"/>
            </w:tcMar>
            <w:vAlign w:val="center"/>
          </w:tcPr>
          <w:p>
            <w:pPr>
              <w:pStyle w:val="Normal900"/>
              <w:rPr>
                <w:rFonts w:ascii="Arial" w:eastAsia="Arial" w:hAnsi="Arial" w:cs="Arial"/>
                <w:b/>
                <w:noProof/>
                <w:color w:val="000000"/>
                <w:sz w:val="16"/>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color w:val="000000"/>
                <w:sz w:val="16"/>
              </w:rPr>
              <w:t>107 808</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color w:val="000000"/>
                <w:sz w:val="16"/>
              </w:rPr>
              <w:t>81 328</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color w:val="000000"/>
                <w:sz w:val="16"/>
              </w:rPr>
              <w:t>237 683</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900"/>
              <w:jc w:val="right"/>
              <w:rPr>
                <w:rFonts w:ascii="Arial" w:eastAsia="Arial" w:hAnsi="Arial" w:cs="Arial"/>
                <w:b/>
                <w:noProof/>
                <w:color w:val="000000"/>
                <w:sz w:val="16"/>
              </w:rPr>
            </w:pPr>
            <w:r>
              <w:rPr>
                <w:rFonts w:ascii="Arial" w:hAnsi="Arial"/>
                <w:b/>
                <w:noProof/>
                <w:color w:val="000000"/>
                <w:sz w:val="16"/>
              </w:rPr>
              <w:t>164 320</w:t>
            </w:r>
          </w:p>
        </w:tc>
      </w:tr>
    </w:tbl>
    <w:p>
      <w:pPr>
        <w:pStyle w:val="Notes"/>
        <w:numPr>
          <w:ilvl w:val="0"/>
          <w:numId w:val="0"/>
        </w:numPr>
        <w:pBdr>
          <w:top w:val="nil"/>
          <w:left w:val="nil"/>
          <w:bottom w:val="nil"/>
          <w:right w:val="nil"/>
          <w:between w:val="nil"/>
          <w:bar w:val="nil"/>
        </w:pBdr>
        <w:spacing w:before="0" w:after="0"/>
        <w:ind w:left="431" w:hanging="431"/>
        <w:rPr>
          <w:noProof/>
          <w:sz w:val="16"/>
          <w:szCs w:val="16"/>
          <w:bdr w:val="nil"/>
        </w:rPr>
      </w:pPr>
    </w:p>
    <w:p>
      <w:pPr>
        <w:pStyle w:val="Notes"/>
        <w:numPr>
          <w:ilvl w:val="0"/>
          <w:numId w:val="0"/>
        </w:numPr>
        <w:pBdr>
          <w:top w:val="nil"/>
          <w:left w:val="nil"/>
          <w:bottom w:val="nil"/>
          <w:right w:val="nil"/>
          <w:between w:val="nil"/>
          <w:bar w:val="nil"/>
        </w:pBdr>
        <w:ind w:left="432" w:hanging="432"/>
        <w:rPr>
          <w:noProof/>
          <w:bdr w:val="nil"/>
        </w:rPr>
      </w:pPr>
      <w:r>
        <w:rPr>
          <w:noProof/>
        </w:rPr>
        <w:t>25</w:t>
      </w:r>
      <w:r>
        <w:rPr>
          <w:noProof/>
        </w:rPr>
        <w:tab/>
        <w:t>Последващи събития</w:t>
      </w:r>
    </w:p>
    <w:p>
      <w:pPr>
        <w:pBdr>
          <w:top w:val="nil"/>
          <w:left w:val="nil"/>
          <w:bottom w:val="nil"/>
          <w:right w:val="nil"/>
          <w:between w:val="nil"/>
          <w:bar w:val="nil"/>
        </w:pBdr>
        <w:spacing w:before="60" w:after="60"/>
        <w:jc w:val="both"/>
        <w:rPr>
          <w:noProof/>
        </w:rPr>
      </w:pPr>
      <w:r>
        <w:rPr>
          <w:rFonts w:ascii="Arial" w:hAnsi="Arial"/>
          <w:noProof/>
          <w:sz w:val="16"/>
          <w:bdr w:val="nil"/>
        </w:rPr>
        <w:t>След съставянето на счетоводния баланс не са настъпили значими събития, които могат да наложат обявяване или коригиране на финансовите отчети за 31 декември 2018 г.</w:t>
      </w:r>
      <w:bookmarkEnd w:id="1"/>
      <w:bookmarkEnd w:id="237"/>
    </w:p>
    <w:sectPr>
      <w:headerReference w:type="even" r:id="rId523"/>
      <w:headerReference w:type="default" r:id="rId524"/>
      <w:footerReference w:type="even" r:id="rId525"/>
      <w:footerReference w:type="default" r:id="rId526"/>
      <w:headerReference w:type="first" r:id="rId527"/>
      <w:footerReference w:type="first" r:id="rId528"/>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BT">
    <w:altName w:val="Segoe UI"/>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Univers 45 Light"/>
    <w:charset w:val="00"/>
    <w:family w:val="auto"/>
    <w:pitch w:val="variable"/>
    <w:sig w:usb0="8000002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Segoe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544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2664003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218D737" id="Rectangle 3" o:spid="_x0000_s1026" style="position:absolute;margin-left:225.05pt;margin-top:1.3pt;width:31.75pt;height:62.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2PVgIAALkEAAAOAAAAZHJzL2Uyb0RvYy54bWysVE2P2jAQvVfqf7B8LwkQWECEFQVRVUK7&#10;aNlqz8ZxSCTHdseGQH99x0742G1PVTmYGc/jeebNDNPHUyXJUYAttUpptxNTIhTXWan2Kf3xuvoy&#10;osQ6pjImtRIpPQtLH2efP01rMxE9XWiZCSBIouykNiktnDOTKLK8EBWzHW2EwmCuoWIOXdhHGbAa&#10;2SsZ9eJ4GNUaMgOaC2vxdtkE6Szw57ng7jnPrXBEphRzc+GEcO78Gc2mbLIHZoqSt2mwf8iiYqXC&#10;R69US+YYOUD5B1VVctBW567DdRXpPC+5CDVgNd34QzXbghkRakFxrLnKZP8fLX86boCUGfZu0BsO&#10;kzju9ylRrMJevaB6TO2lIH2vU23sBOFbs4HWs2j6ok85VP4byyGnoO35qq04OcLxMon72C9KOIYe&#10;xoMh2sgS3X5swLpvQlfEGykFfDwoyo5r6xroBeLfslqW2aqUMjiw3y0kkCPzbe4OH8ZJy/4OJhWp&#10;U9obYJWB+l3Q3nMkq1H367IBFSwTDfMgxs+FuIGHEu54sCCpfEoiDF+bupeuEctbO52dUXTQzTRa&#10;w1cl1rxm1m0Y4PihTLhS7hmPXGpMWbcWJYWGX3+793icCoxSUuM4p9T+PDAQlMjvCudl3E0SP//B&#10;SYYj3wq4j+yayOChhxF1qBYapezi8hoeTI938mLmoKs33Ly5fxVDTHF8O6W7i7lwzZLh5nIxnwcQ&#10;Trxhbq22hntqr5Lv6OvpjYFp2+5wXp70ZfDZ5EP3GyyKftOxdXA/Qi/aXfYLeO8H1O0fZ/YbAAD/&#10;/wMAUEsDBBQABgAIAAAAIQDrNgr73wAAAAkBAAAPAAAAZHJzL2Rvd25yZXYueG1sTI/BTsMwDIbv&#10;SLxDZCQuiKUtbGyl6TQmcUTayiY4Zq1pKhKnarKte3vMCW62/k+/PxfL0VlxwiF0nhSkkwQEUu2b&#10;jloFu/fX+zmIEDU12npCBRcMsCyvrwqdN/5MWzxVsRVcQiHXCkyMfS5lqA06HSa+R+Lsyw9OR16H&#10;VjaDPnO5szJLkpl0uiO+YHSPa4P1d3V0ChZ2pP3H6mVzZ97oEj+388qsa6Vub8bVM4iIY/yD4Vef&#10;1aFkp4M/UhOEVfA4TVJGFWQzEJxP0wceDgxmTwuQZSH/f1D+AAAA//8DAFBLAQItABQABgAIAAAA&#10;IQC2gziS/gAAAOEBAAATAAAAAAAAAAAAAAAAAAAAAABbQ29udGVudF9UeXBlc10ueG1sUEsBAi0A&#10;FAAGAAgAAAAhADj9If/WAAAAlAEAAAsAAAAAAAAAAAAAAAAALwEAAF9yZWxzLy5yZWxzUEsBAi0A&#10;FAAGAAgAAAAhAMxUXY9WAgAAuQQAAA4AAAAAAAAAAAAAAAAALgIAAGRycy9lMm9Eb2MueG1sUEsB&#10;Ai0AFAAGAAgAAAAhAOs2CvvfAAAACQEAAA8AAAAAAAAAAAAAAAAAsA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646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84467327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DDBFD7A" id="Rectangle 3" o:spid="_x0000_s1026" style="position:absolute;margin-left:225.05pt;margin-top:1.3pt;width:31.75pt;height:6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oXVAIAALkEAAAOAAAAZHJzL2Uyb0RvYy54bWysVNuO2jAQfa/Uf7D8XsIl3CLCioKoKq12&#10;0bLVPhvHIZEc2x0bAv36jp1w6bbqQ1UezIxnOOM5c4bZw6mS5CjAllqltNfpUiIU11mp9in99rr+&#10;NKHEOqYyJrUSKT0LSx/mHz/MapOIvi60zAQQBFE2qU1KC+dMEkWWF6JitqONUBjMNVTMoQv7KANW&#10;I3olo363O4pqDZkBzYW1eLtqgnQe8PNccPec51Y4IlOKb3PhhHDu/BnNZyzZAzNFydtnsH94RcVK&#10;hUWvUCvmGDlA+RtUVXLQVueuw3UV6TwvuQg9YDe97rtutgUzIvSC5Fhzpcn+P1j+dNwAKTOc3SSO&#10;R+NBf4wTU6zCWb0ge0ztpSADz1NtbILpW7OB1rNo+qZPOVT+G9shp8Dt+cqtODnC8TLuDnBelHAM&#10;jafDEdqIEt1+bMC6L0JXxBspBSweGGXHR+ua1EuKr2W1LLN1KWVwYL9bSiBH5sfcG42ncYv+S5pU&#10;pE5pfxhj8b9jxOtJ7/OqSSpYJhrkYRc/F+CmZGjhrgg2JJXHFkF87dM9dQ1Z3trp7Iykg27UaA1f&#10;l9jzI7NuwwDlhzThSrlnPHKp8cm6tSgpNPz4073PR1VglJIa5ZxS+/3AQFAivyrUy7QXx17/wYlH&#10;Ez8KuI/smshw3MeIOlRLjVT2cHkND6bPd/Ji5qCrN9y8ha+KIaY41k7p7mIuXbNkuLlcLBYhCRVv&#10;mHtUW8M9tGfJT/T19MbAtGN3qJcnfRE+S95Nv8lF0m88tg7uR5hFu8t+Ae/9kHX7x5n/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5vcoX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851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40018816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579AB4" id="Rectangle 3" o:spid="_x0000_s1026" style="position:absolute;margin-left:225.05pt;margin-top:1.3pt;width:31.75pt;height:6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ynVgIAALgEAAAOAAAAZHJzL2Uyb0RvYy54bWysVE2P2jAQvVfqf7B8L0kgsIAIKwqiqrTa&#10;RctWezaOQyI5tjs2hO2v79gJH7vtqSoHM+N5PM+8mWF2f6olOQqwlVYZTXoxJUJxnVdqn9EfL+sv&#10;Y0qsYypnUiuR0Tdh6f3886dZY6air0stcwEESZSdNiajpXNmGkWWl6JmtqeNUBgsNNTMoQv7KAfW&#10;IHsto34cj6JGQ25Ac2Et3q7aIJ0H/qIQ3D0VhRWOyIxibi6cEM6dP6P5jE33wExZ8S4N9g9Z1KxS&#10;+OiFasUcIweo/qCqKw7a6sL1uK4jXRQVF6EGrCaJP1SzLZkRoRYUx5qLTPb/0fLH4wZIlWc0jeNk&#10;PE5GA0oUq7FVzygeU3spyMDL1Bg7RfTWbKDzLJq+5lMBtf/GasgpSPt2kVacHOF4mcYDbBclHEN3&#10;k+EIbWSJrj82YN03oWvijYwCPh4EZccH61roGeLfslpW+bqSMjiw3y0lkCPzXU5Gd5O0Y38Hk4o0&#10;Ge0PsdJA/S5obznS9Tj5umpBJctFyzyM8XMmbuGhhBseLEgqn5IIs9el7qVrxfLWTudvqDnodhit&#10;4esKa35g1m0Y4PShTLhR7gmPQmpMWXcWJaWGX3+793gcCoxS0uA0Z9T+PDAQlMjvCsdlkqSpH//g&#10;pKOxbwXcRnZtZHjXx4g61EuNUia4u4YH0+OdPJsF6PoVF2/hX8UQUxzfzujubC5du2O4uFwsFgGE&#10;A2+Ye1Bbwz21V8l39OX0ysB0bXc4L4/6PPds+qH7LRZFv+rYObgeoRfdKvv9u/UD6vqHM/8NAAD/&#10;/wMAUEsDBBQABgAIAAAAIQDrNgr73wAAAAkBAAAPAAAAZHJzL2Rvd25yZXYueG1sTI/BTsMwDIbv&#10;SLxDZCQuiKUtbGyl6TQmcUTayiY4Zq1pKhKnarKte3vMCW62/k+/PxfL0VlxwiF0nhSkkwQEUu2b&#10;jloFu/fX+zmIEDU12npCBRcMsCyvrwqdN/5MWzxVsRVcQiHXCkyMfS5lqA06HSa+R+Lsyw9OR16H&#10;VjaDPnO5szJLkpl0uiO+YHSPa4P1d3V0ChZ2pP3H6mVzZ97oEj+388qsa6Vub8bVM4iIY/yD4Vef&#10;1aFkp4M/UhOEVfA4TVJGFWQzEJxP0wceDgxmTwuQZSH/f1D+AAAA//8DAFBLAQItABQABgAIAAAA&#10;IQC2gziS/gAAAOEBAAATAAAAAAAAAAAAAAAAAAAAAABbQ29udGVudF9UeXBlc10ueG1sUEsBAi0A&#10;FAAGAAgAAAAhADj9If/WAAAAlAEAAAsAAAAAAAAAAAAAAAAALwEAAF9yZWxzLy5yZWxzUEsBAi0A&#10;FAAGAAgAAAAhAEANfKdWAgAAuAQAAA4AAAAAAAAAAAAAAAAALgIAAGRycy9lMm9Eb2MueG1sUEsB&#10;Ai0AFAAGAAgAAAAhAOs2CvvfAAAACQEAAA8AAAAAAAAAAAAAAAAAsA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728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6567510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9EDBE18" id="Rectangle 3" o:spid="_x0000_s1026" style="position:absolute;margin-left:225.05pt;margin-top:1.3pt;width:31.75pt;height:6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wfVAIAALkEAAAOAAAAZHJzL2Uyb0RvYy54bWysVE2P2jAQvVfqf7B8L0nY8CnCioKoKq12&#10;0bLVno3jkEiO7Y4NYfvrO3bCR7dVD1U5mBnP8Mbz5g2z+1MtyVGArbTKaNKLKRGK67xS+4x+e1l/&#10;GlNiHVM5k1qJjL4JS+/nHz/MGjMVfV1qmQsgCKLstDEZLZ0z0yiyvBQ1sz1thMJgoaFmDl3YRzmw&#10;BtFrGfXjeBg1GnIDmgtr8XbVBuk84BeF4O6pKKxwRGYU3+bCCeHc+TOaz9h0D8yUFe+ewf7hFTWr&#10;FBa9QK2YY+QA1W9QdcVBW124Htd1pIui4iL0gN0k8btutiUzIvSC5Fhzocn+P1j+eNwAqXKcXX84&#10;GI4GSYw0KVbjrJ6RPab2UpA7z1Nj7BTTt2YDnWfR9E2fCqj9N7ZDToHbtwu34uQIx8s0vsN5UcIx&#10;NJoMhmgjSnT9sQHrvghdE29kFLB4YJQdH6xrU88pvpbVssrXlZTBgf1uKYEcmR9zMhxN0g79lzSp&#10;SJPR/iDF4n/HSNfj5POqTSpZLlrkQYyfM3BbMrRwUwQbkspjiyC+7umeupYsb+10/oakg27VaA1f&#10;V9jzA7NuwwDlhzThSrknPAqp8cm6sygpNfz4073PR1VglJIG5ZxR+/3AQFAivyrUyyRJU6//4KTD&#10;sR8F3EZ2bWQw6mNEHeqlRioTXF7Dg+nznTybBej6FTdv4atiiCmOtTO6O5tL1y4Zbi4Xi0VIQsUb&#10;5h7U1nAP7VnyE305vTIw3dgd6uVRn4XPpu+m3+Yi6VceOwf3I8yi22W/gLd+yLr+48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12nwf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875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02532361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57DDA2A" id="Rectangle 3" o:spid="_x0000_s1026" style="position:absolute;margin-left:225.05pt;margin-top:1.3pt;width:31.75pt;height:6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v1VQIAALkEAAAOAAAAZHJzL2Uyb0RvYy54bWysVE2P2jAQvVfqf7B8L0kgsIAIKwqiqrTa&#10;RctWezaOQyI5tjs2hO2v79gJH91WPVTlYGY8wxvPmzfM7k+1JEcBttIqo0kvpkQorvNK7TP67WX9&#10;aUyJdUzlTGolMvomLL2ff/wwa8xU9HWpZS6AIIiy08ZktHTOTKPI8lLUzPa0EQqDhYaaOXRhH+XA&#10;GkSvZdSP41HUaMgNaC6sxdtVG6TzgF8UgrunorDCEZlRfJsLJ4Rz589oPmPTPTBTVrx7BvuHV9Ss&#10;Ulj0ArVijpEDVL9B1RUHbXXhelzXkS6KiovQA3aTxO+62ZbMiNALkmPNhSb7/2D543EDpMpxdnF/&#10;OOgPRklKiWI1zuoZ2WNqLwUZeJ4aY6eYvjUb6DyLpm/6VEDtv7Edcgrcvl24FSdHOF6m8QDnRQnH&#10;0N1kOEIbUaLrjw1Y90Xomngjo4DFA6Ps+GBdm3pO8bWsllW+rqQMDux3SwnkyPyYk9HdJO3Qf0mT&#10;ijQZ7Q9TLP53jHQ9Tj6v2qSS5aJFHsb4OQO3JUMLN0WwIak8tgji657uqWvJ8tZO529IOuhWjdbw&#10;dYU9PzDrNgxQfkgTrpR7wqOQGp+sO4uSUsOPP937fFQFRilpUM4Ztd8PDAQl8qtCvUySNPX6D046&#10;GvtRwG1k10aGd32MqEO91EhlgstreDB9vpNnswBdv+LmLXxVDDHFsXZGd2dz6dolw83lYrEISah4&#10;w9yD2hruoT1LfqIvp1cGphu7Q7086rPw2fTd9NtcJP3KY+fgfoRZdLvsF/DWD1nXf5z5TwAAAP//&#10;AwBQSwMEFAAGAAgAAAAhAOs2CvvfAAAACQEAAA8AAABkcnMvZG93bnJldi54bWxMj8FOwzAMhu9I&#10;vENkJC6IpS1sbKXpNCZxRNrKJjhmrWkqEqdqsq17e8wJbrb+T78/F8vRWXHCIXSeFKSTBARS7ZuO&#10;WgW799f7OYgQNTXaekIFFwywLK+vCp03/kxbPFWxFVxCIdcKTIx9LmWoDTodJr5H4uzLD05HXodW&#10;NoM+c7mzMkuSmXS6I75gdI9rg/V3dXQKFnak/cfqZXNn3ugSP7fzyqxrpW5vxtUziIhj/IPhV5/V&#10;oWSngz9SE4RV8DhNUkYVZDMQnE/TBx4ODGZPC5BlIf9/UP4AAAD//wMAUEsBAi0AFAAGAAgAAAAh&#10;ALaDOJL+AAAA4QEAABMAAAAAAAAAAAAAAAAAAAAAAFtDb250ZW50X1R5cGVzXS54bWxQSwECLQAU&#10;AAYACAAAACEAOP0h/9YAAACUAQAACwAAAAAAAAAAAAAAAAAvAQAAX3JlbHMvLnJlbHNQSwECLQAU&#10;AAYACAAAACEA0p9r9VUCAAC5BAAADgAAAAAAAAAAAAAAAAAuAgAAZHJzL2Uyb0RvYy54bWxQSwEC&#10;LQAUAAYACAAAACEA6zYK+98AAAAJAQAADwAAAAAAAAAAAAAAAACv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977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2359945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26EA376" id="Rectangle 3" o:spid="_x0000_s1026" style="position:absolute;margin-left:225.05pt;margin-top:1.3pt;width:31.75pt;height:6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euVAIAALg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jvuD&#10;4WQSD5ElxSoc1QuSx9ReCjLwNNXGJpi9NRtoPYum7/mUQ+W/sRtyCtSer9SKkyMcL+PuAMdFCcfQ&#10;w2Q4QhtRotuPDVj3ReiKeCOlgMUDoey4tq5JvaT4WlbLMluVUgYH9ruFBHJkfsq90cMkbtF/SZOK&#10;1CntD2Ms/neMeDXufV42SQXLRIM87OLnAtyUDC3cFcGGpPLYImivfbqnriHLWzudnZFz0I0YreGr&#10;EnteM+s2DFB9SBNulHvGI5can6xbi5JCw48/3ft8FAVGKalRzSm13w8MBCXyq0K5THpx7OUfnHg0&#10;9qOA+8iuiQwf+hhRh2qhkcoe7q7hwfT5Tl7MHHT1hos391UxxBTH2indXcyFa3YMF5eL+TwkoeAN&#10;c2u1NdxDe5b8RF9PbwxMO3aHennSF92z5N30m1wk/cZj6+B6hFm0q+z3794PWbc/nN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P9Keu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40</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0800"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21530048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A27DB2" id="Rectangle 3" o:spid="_x0000_s1026" style="position:absolute;margin-left:348.05pt;margin-top:1.1pt;width:31.75pt;height:6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XIVAIAALgEAAAOAAAAZHJzL2Uyb0RvYy54bWysVN9v2jAQfp+0/8Hy+0hCA6VRQ9WBmCah&#10;FrWd+mwch0Tyr50Ngf31Ozuh7bppD9N4MHe+4zvfd99xfXNUkhwEuNbokmajlBKhualavSvpt6fV&#10;pxklzjNdMWm0KOlJOHoz//jhurOFGJvGyEoAQRDtis6WtPHeFknieCMUcyNjhcZgbUAxjy7skgpY&#10;h+hKJuM0nSadgcqC4cI5vF32QTqP+HUtuL+vayc8kSXFt/l4Qjy34Uzm16zYAbNNy4dnsH94hWKt&#10;xqIvUEvmGdlD+xuUajkYZ2o/4kYlpq5bLmIP2E2WvuvmsWFWxF6QHGdfaHL/D5bfHTZA2qqk42xy&#10;kab5bEKJZgpH9YDkMb2TglwEmjrrCsx+tBsYPIdm6PlYgwrf2A05RmpPL9SKoyccL/P0AsdFCcfQ&#10;5dVkijaiJK8/tuD8F2EUCUZJAYtHQtlh7Xyfek4JtZyRbbVqpYwO7LYLCeTAwpSz6eVVPqD/kiY1&#10;6bDPSY7F/46Rr2bZ52Wf1LBK9MiTFD9n4L5kbOFNEWxI6oAtovaGpwfqerKCtTXVCTkH04vRWb5q&#10;sec1c37DANWHNOFG+Xs8amnwyWawKGkM/PjTfchHUWCUkg7VXFL3fc9AUCK/apTLVZbnQf7Ryaez&#10;MAp4G9n2kcnlGCN6rxYGqcxwdy2PZsj38mzWYNQzLt5tqIohpjnWLun2bC58v2O4uFzc3sYkFLxl&#10;fq0fLQ/QgaUw0afjMwM7jN2jXu7MWfeseDf9PhdJf+VxcHA94iyGVQ7799aPWa9/OPOfAAAA//8D&#10;AFBLAwQUAAYACAAAACEArAmSMN8AAAAJAQAADwAAAGRycy9kb3ducmV2LnhtbEyPQUvDQBCF74L/&#10;YRnBi9hNA02bmE2pBY+CjYoet9kxG8zOhuy2Tf+901M9Du/jvW/K9eR6ccQxdJ4UzGcJCKTGm45a&#10;BR/vL48rECFqMrr3hArOGGBd3d6UujD+RDs81rEVXEKh0ApsjEMhZWgsOh1mfkDi7MePTkc+x1aa&#10;UZ+43PUyTZJMOt0RL1g94NZi81sfnIK8n+jza/P89mBf6Ry/d6vabhul7u+mzROIiFO8wnDRZ3Wo&#10;2GnvD2SC6BVkeTZnVEGaguB8ucgzEHsG0+UCZFXK/x9UfwAAAP//AwBQSwECLQAUAAYACAAAACEA&#10;toM4kv4AAADhAQAAEwAAAAAAAAAAAAAAAAAAAAAAW0NvbnRlbnRfVHlwZXNdLnhtbFBLAQItABQA&#10;BgAIAAAAIQA4/SH/1gAAAJQBAAALAAAAAAAAAAAAAAAAAC8BAABfcmVscy8ucmVsc1BLAQItABQA&#10;BgAIAAAAIQDV5hXIVAIAALgEAAAOAAAAAAAAAAAAAAAAAC4CAABkcnMvZTJvRG9jLnhtbFBLAQIt&#10;ABQABgAIAAAAIQCsCZIw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182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3599696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4D3A718" id="Rectangle 3" o:spid="_x0000_s1026" style="position:absolute;margin-left:225.05pt;margin-top:1.3pt;width:31.75pt;height:6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pVAIAALgEAAAOAAAAZHJzL2Uyb0RvYy54bWysVE2P2jAQvVfqf7B8L+EjsAQRVhREVQnt&#10;omWrPRvHIZEc2x0bAv31HTvho9uqh6oczIxneON584bp46mS5CjAllqltNfpUiIU11mp9in99rr6&#10;NKbEOqYyJrUSKT0LSx9nHz9MazMRfV1omQkgCKLspDYpLZwzkyiyvBAVsx1thMJgrqFiDl3YRxmw&#10;GtErGfW73VFUa8gMaC6sxdtlE6SzgJ/ngrvnPLfCEZlSfJsLJ4Rz589oNmWTPTBTlLx9BvuHV1Ss&#10;VFj0CrVkjpEDlL9BVSUHbXXuOlxXkc7zkovQA3bT677rZlswI0IvSI41V5rs/4PlT8cNkDJLaTIY&#10;JskoGfUoUazCUb0geUztpSADT1Nt7ASzt2YDrWfR9D2fcqj8N3ZDToHa85VacXKE42XcHeC4KOEY&#10;ekiGI7QRJbr92IB1X4SuiDdSClg8EMqOa+ua1EuKr2W1LLNVKWVwYL9bSCBH5qfcGz0kcYv+S5pU&#10;pE5pfxhj8b9jxKtx7/OySSpYJhrkYRc/F+CmZGjhrgg2JJXHFkF77dM9dQ1Z3trp7Iycg27EaA1f&#10;ldjzmlm3YYDqQ5pwo9wzHrnU+GTdWpQUGn786d7noygwSkmNak6p/X5gICiRXxXKJenFsZd/cOLR&#10;2I8C7iO7JjJ86GNEHaqFRipRCvi6YPp8Jy9mDrp6w8Wb+6oYYopj7ZTuLubCNTuGi8vFfB6SUPCG&#10;ubXaGu6hPUt+oq+nNwamHbtDvTzpi+7Z5N30m1wk/cZj6+B6hFm0q+z3794PWbc/nN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G8+Pp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284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1060420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75757BE" id="Rectangle 3" o:spid="_x0000_s1026" style="position:absolute;margin-left:225.05pt;margin-top:1.3pt;width:31.75pt;height:6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lgVAIAALgEAAAOAAAAZHJzL2Uyb0RvYy54bWysVE1v2zAMvQ/YfxB0X2ynzpdRp+haZBgQ&#10;tEHboWdFlmMD+hqlxMl+/SjZabtu2GFYDgopMo/i42Mur45KkoMA1xpd0myUUiI0N1WrdyX99rT6&#10;NKfEeaYrJo0WJT0JR6+WHz9cdrYQY9MYWQkgCKJd0dmSNt7bIkkcb4RibmSs0BisDSjm0YVdUgHr&#10;EF3JZJym06QzUFkwXDiHt7d9kC4jfl0L7u/r2glPZEnxbT6eEM9tOJPlJSt2wGzT8uEZ7B9eoVir&#10;segL1C3zjOyh/Q1KtRyMM7UfcaMSU9ctF7EH7CZL33Xz2DArYi9IjrMvNLn/B8vvDhsgbVXSRZZO&#10;03yczijRTOGoHpA8pndSkItAU2ddgdmPdgOD59AMPR9rUOEbuyHHSO3phVpx9ITjZZ5e4Lgo4Ria&#10;LSZTtBElef2xBee/CKNIMEoKWDwSyg5r5/vUc0qo5Yxsq1UrZXRgt72RQA4sTDmbzhb5gP5LmtSk&#10;K+l4kmPxv2Pkq3n2+bZPalgleuRJip8zcF8ytvCmCDYkdcAWUXvD0wN1PVnB2prqhJyD6cXoLF+1&#10;2POaOb9hgOpDmnCj/D0etTT4ZDNYlDQGfvzpPuSjKDBKSYdqLqn7vmcgKJFfNcplkeV5kH908uk8&#10;jALeRrZ9ZDIbY0Tv1Y1BKjPcXcujGfK9PJs1GPWMi3cdqmKIaY61S7o9mze+3zFcXC6ur2MSCt4y&#10;v9aPlgfowFKY6NPxmYEdxu5RL3fmrHtWvJt+n4ukv/I4OLgecRbDKof9e+vHrNc/nOV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8CUlg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387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52136741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F613B53" id="Rectangle 3" o:spid="_x0000_s1026" style="position:absolute;margin-left:225.05pt;margin-top:1.3pt;width:31.75pt;height:6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hXUwIAALg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iylg17c&#10;H46SeEKJYhWO6gXJY2ovBel7mmpjp5i9NRtoPYum7/mUQ+W/sRtyCtSer9SKkyMcL5NuH8dFCcfQ&#10;aDIYoo0o0e3HBqz7InRFvJFSwOKBUHZ8tK5JvaT4WlbLMluXUgYH9rulBHJkfsrxcDRJWvRf0qQi&#10;dUp7gwSL/x0jWY/jz6smqWCZaJAHXfxcgJuSoYW7ItiQVB5bBO21T/fUNWR5a6ezM3IOuhGjNXxd&#10;Ys+PzLoNA1Qf0oQb5Z7xyKXGJ+vWoqTQ8ONP9z4fRYFRSmpUc0rt9wMDQYn8qlAukzhJvPyDkwzH&#10;fhRwH9k1kcGohxF1qJYaqYx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H1B6Fd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489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8426356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51F6550" id="Rectangle 3" o:spid="_x0000_s1026" style="position:absolute;margin-left:225.05pt;margin-top:1.3pt;width:31.75pt;height:6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4YVAIAALk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TOcXTyO&#10;+6PBcNSnRLEKZ/WC7DG1l4IMPE+1sQmmb80GWs+i6Zs+5VD5b2yHnAK35yu34uQIx8u4O8B5UcIx&#10;9DAZjtBGlOj2YwPWfRG6It5IKWDxwCg7rq1rUi8pvpbVssxWpZTBgf1uIYEcmR9zb/QwiVv0X9Kk&#10;InVK+8MYi/8dI16Ne5+XTVLBMtEgD7v4uQA3JUMLd0WwIak8tgjia5/uqWvI8tZOZ2ckHXSjRmv4&#10;qsSe18y6DQOUH9KEK+We8cilxifr1qKk0PDjT/c+H1WBUUpqlHNK7fcDA0GJ/KpQL5NeHHv9Byce&#10;jf0o4D6yayLDhz5G1KFaaKSyh8treDB9vpMXMwddveHmzX1VDDHFsXZKdxdz4Zolw83lYj4PSah4&#10;w9xabQ330J4lP9HX0xsD047doV6e9EX4LHk3/SYXSb/x2Dq4H2EW7S77Bbz3Q9btH2f2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I0W4Y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592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5609577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1A2587C" id="Rectangle 3" o:spid="_x0000_s1026" style="position:absolute;margin-left:225.05pt;margin-top:1.3pt;width:31.75pt;height:62.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aKVAIAALkEAAAOAAAAZHJzL2Uyb0RvYy54bWysVN+P2jAMfp+0/yHK+2jhyk9RTgzENAnd&#10;oeOmew5pSiulSeYECvvr56QFbmzaw7Q+pHbs+rM/250+nipJjgJsqVVKu52YEqG4zkq1T+m319Wn&#10;ESXWMZUxqZVI6VlY+jj7+GFam4no6ULLTADBIMpOapPSwjkziSLLC1Ex29FGKDTmGirmUIV9lAGr&#10;MXolo14cD6JaQ2ZAc2Et3i4bI52F+HkuuHvOcysckSnF3Fw4IZw7f0azKZvsgZmi5G0a7B+yqFip&#10;EPQaaskcIwcofwtVlRy01bnrcF1FOs9LLkINWE03vqtmWzAjQi1IjjVXmuz/C8ufjhsgZYa9S/qD&#10;eNwfDnuUKFZhr16QPab2UpAHz1Nt7ATdt2YDrWZR9EWfcqj8G8shp8Dt+cqtODnC8TKJH7BflHA0&#10;DccIFbiPbh8bsO6L0BXxQkoBwQOj7Li2DgHR9eLisayWZbYqpQwK7HcLCeTIfJu7g+E48RnjJ7+4&#10;SUXqlPb6CYL/PUayGnU/LxungmWiidyP8bkEbiDvQRBSKh9bhOFrU/fUNWR5aaezM5IOuplGa/iq&#10;xJrXzLoNAxw/pAlXyj3jkUuNKetWoqTQ8ONP994fpwKtlNQ4zim13w8MBCXyq8J5GXeTxM9/UJLB&#10;yLcC3lt2jaU/7KFFHaqFRiq7uLyGB9H7O3kRc9DVG27e3KOiiSmO2CndXcSFa5YMN5eL+Tw44cQb&#10;5tZqa7gP7VnyHX09vTEwbdsdzsuTvgw+m9x1v/FF0m88tgruR+hFu8t+Ad/rwev2x5n9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fsHaK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694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38504767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FCFB7F" id="Rectangle 3" o:spid="_x0000_s1026" style="position:absolute;margin-left:225.05pt;margin-top:1.3pt;width:31.75pt;height:6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hwUwIAALg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ktpfzyI&#10;k9FwNKJEsQpH9YLkMbWXgvQ9TbWxU8zemg20nkXT93zKofLf2A05BWrPV2rFyRGOl0ncx3FRwjE0&#10;mgyGaCNKdPuxAeu+CF0Rb6QUsHgglB0frWtSLym+ltWyzNallMGB/W4pgRyZn3J3OJokLfovaVKR&#10;OqW9QYLF/46RrMfdz6smqWCZaJAHMX4uwE3J0MJdEWxIKo8tgvbap3vqGrK8tdPZGTkH3YjRGr4u&#10;sedHZt2GAaoPacKNcs945FLjk3VrUVJo+PGne5+PosAoJTWqOaX2+4GBoER+VSiXSTdJvPyDkwzH&#10;fhRwH9k1kcGohxF1qJYaqezi7hoeTJ/v5MXMQVdvuHgLXxVDTHGsndLdxVy6ZsdwcblYLEISCt4w&#10;96i2hntoz5Kf6OvpjYFpx+5QL0/6ons2fTf9JhdJv/HYOrgeYRbtKvv9u/dD1u0PZ/4T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PuYmHB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796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5362579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A9E205A" id="Rectangle 3" o:spid="_x0000_s1026" style="position:absolute;margin-left:225.05pt;margin-top:1.3pt;width:31.75pt;height:6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9YnVAIAALgEAAAOAAAAZHJzL2Uyb0RvYy54bWysVNuO2jAQfa/Uf7D8XsIl3CLCioKoKq12&#10;0bLVPhvHIZEc2x0bAv36jp1w6bbqQ1UezIxnOOM5c4bZw6mS5CjAllqltNfpUiIU11mp9in99rr+&#10;NKHEOqYyJrUSKT0LSx/mHz/MapOIvi60zAQQBFE2qU1KC+dMEkWWF6JitqONUBjMNVTMoQv7KANW&#10;I3olo363O4pqDZkBzYW1eLtqgnQe8PNccPec51Y4IlOKb3PhhHDu/BnNZyzZAzNFydtnsH94RcVK&#10;hUWvUCvmGDlA+RtUVXLQVueuw3UV6TwvuQg9YDe97rtutgUzIvSC5Fhzpcn+P1j+dNwAKbOUToaD&#10;UX84nvYpUazCUb0geUztpSADT1NtbILZW7OB1rNo+p5POVT+G7shp0Dt+UqtODnC8TLuDnBclHAM&#10;jafDEdqIEt1+bMC6L0JXxBspBSweCGXHR+ua1EuKr2W1LLN1KWVwYL9bSiBH5qfcG42ncYv+S5pU&#10;pE5pfxhj8b9jxOtJ7/OqSSpYJhrkYRc/F+CmZGjhrgg2JJXHFkF77dM9dQ1Z3trp7Iycg27EaA1f&#10;l9jzI7NuwwDVhzThRrlnPHKp8cm6tSgpNPz4073PR1FglJIa1ZxS+/3AQFAivyqUy7QXx17+wYlH&#10;Ez8KuI/smshw3MeIOlRLjVT2cHcND6bPd/Ji5qCrN1y8ha+KIaY41k7p7mIuXbNjuLhcLBYhCQVv&#10;mHtUW8M9tGfJT/T19MbAtGN3qJcnfdE9S95Nv8lF0m88tg6uR5hFu8p+/+79kHX7w5n/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y39Yn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48</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932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4810586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1B5FFE" id="Rectangle 3" o:spid="_x0000_s1026" style="position:absolute;margin-left:225.05pt;margin-top:1.3pt;width:31.75pt;height:6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DSVAIAALkEAAAOAAAAZHJzL2Uyb0RvYy54bWysVFFv2jAQfp+0/2D5fSShgUJEqBiIaVLV&#10;orZTn43jkEiO7Z0Ngf36nZ0AXTftYRoP5s53fOf77jtmd8dGkoMAW2uV02QQUyIU10Wtdjn99rL+&#10;NKHEOqYKJrUSOT0JS+/mHz/MWpOJoa60LAQQBFE2a01OK+dMFkWWV6JhdqCNUBgsNTTMoQu7qADW&#10;Inojo2Ecj6NWQ2FAc2Et3q66IJ0H/LIU3D2WpRWOyJzi21w4IZxbf0bzGct2wExV8/4Z7B9e0bBa&#10;YdEL1Io5RvZQ/wbV1By01aUbcN1EuixrLkIP2E0Sv+vmuWJGhF6QHGsuNNn/B8sfDhsgdYGzG6aT&#10;JB5NxiNKFGtwVk/IHlM7KciN56k1NsP0Z7OB3rNo+qaPJTT+G9shx8Dt6cKtODrC8TKNb3BelHAM&#10;3U5HY7QRJbr+2IB1X4RuiDdyClg8MMoO99Z1qecUX8tqWRfrWsrgwG67lEAOzI85Gd9O0x79lzSp&#10;SJvT4SjF4n/HSNeT5POqS6pYITrkUYyfM3BXMrTwpgg2JJXHFkF8/dM9dR1Z3trq4oSkg+7UaA1f&#10;19jzPbNuwwDlhzThSrlHPEqp8cm6tyipNPz4073PR1VglJIW5ZxT+33PQFAivyrUyzRJU6//4KTj&#10;iR8FvI1su8jodogRtW+WGqlMcHkND6bPd/JslqCbV9y8ha+KIaY41s7p9mwuXbdkuLlcLBYhCRVv&#10;mLtXz4Z7aM+Sn+jL8ZWB6cfuUC8P+ix8lr2bfpeLpF957B3cjzCLfpf9Ar71Q9b1H2f+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nG9DS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899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133204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464AA3" id="Rectangle 3" o:spid="_x0000_s1026" style="position:absolute;margin-left:225.05pt;margin-top:1.3pt;width:31.75pt;height:6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wOuUgIAALcEAAAOAAAAZHJzL2Uyb0RvYy54bWysVE2P2jAQvVfqf7B87yaB8CnCirKiqrTa&#10;RctWezaOQyI5tjs2BPrrO3bCR7dVD1U5mBnP8Mbz5g2z+2MtyUGArbTKaHIXUyIU13mldhn99rr6&#10;NKbEOqZyJrUSGT0JS+/nHz/MGjMVPV1qmQsgCKLstDEZLZ0z0yiyvBQ1s3faCIXBQkPNHLqwi3Jg&#10;DaLXMurF8TBqNOQGNBfW4u1DG6TzgF8UgrvnorDCEZlRfJsLJ4Rz689oPmPTHTBTVrx7BvuHV9Ss&#10;Ulj0AvXAHCN7qH6DqisO2urC3XFdR7ooKi5CD9hNEr/rZlMyI0IvSI41F5rs/4PlT4c1kCrP6Cjp&#10;93txmlCiWI2TekHumNpJQfqepcbYKSZvzBo6z6LpWz4WUPtvbIYcA7OnC7Pi6AjHyzRGbOSfY2g0&#10;GQzRRpTo+mMD1n0RuibeyChg8cAnOzxa16aeU3wtq2WVryopgwO77VICOTA/5GQ4mqQd+i9pUpEm&#10;o71BisX/jpGuxsnnhzapZLlokQcxfs7AbcnQwk0RbEgqjy2C9Lqne+pasry11fkJKQfdatEavqqw&#10;50dm3ZoBig9pwoVyz3gUUuOTdWdRUmr48ad7n4+awCglDYo5o/b7noGgRH5VqJZJkqZe/cFJh2M/&#10;CriNbNvIYNTDiNrXS41UohTwdcH0+U6ezQJ0/YZ7t/BVMcQUx9oZ3Z7NpWtXDPeWi8UiJKHeDXOP&#10;amO4h/Ys+Ym+Ht8YmG7sDvXypM+yZ9N3029zkfQrj52D2xFm0W2yX79bP2Rd/2/mPwEAAP//AwBQ&#10;SwMEFAAGAAgAAAAhAOs2CvvfAAAACQEAAA8AAABkcnMvZG93bnJldi54bWxMj8FOwzAMhu9IvENk&#10;JC6IpS1sbKXpNCZxRNrKJjhmrWkqEqdqsq17e8wJbrb+T78/F8vRWXHCIXSeFKSTBARS7ZuOWgW7&#10;99f7OYgQNTXaekIFFwywLK+vCp03/kxbPFWxFVxCIdcKTIx9LmWoDTodJr5H4uzLD05HXodWNoM+&#10;c7mzMkuSmXS6I75gdI9rg/V3dXQKFnak/cfqZXNn3ugSP7fzyqxrpW5vxtUziIhj/IPhV5/VoWSn&#10;gz9SE4RV8DhNUkYVZDMQnE/TBx4ODGZPC5BlIf9/UP4AAAD//wMAUEsBAi0AFAAGAAgAAAAhALaD&#10;OJL+AAAA4QEAABMAAAAAAAAAAAAAAAAAAAAAAFtDb250ZW50X1R5cGVzXS54bWxQSwECLQAUAAYA&#10;CAAAACEAOP0h/9YAAACUAQAACwAAAAAAAAAAAAAAAAAvAQAAX3JlbHMvLnJlbHNQSwECLQAUAAYA&#10;CAAAACEA+9sDrlICAAC3BAAADgAAAAAAAAAAAAAAAAAuAgAAZHJzL2Uyb0RvYy54bWxQSwECLQAU&#10;AAYACAAAACEA6zYK+98AAAAJAQAADwAAAAAAAAAAAAAAAACs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49</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001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2388471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EAF11C" id="Rectangle 3" o:spid="_x0000_s1026" style="position:absolute;margin-left:225.05pt;margin-top:1.3pt;width:31.75pt;height:62.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iG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N+j1&#10;x+NkFE8oUazCWb0ge0ztpSB9z1Nt7BTTt2YDrWfR9E2fcqj8N7ZDToHb85VbcXKE42XS7eO8KOEY&#10;Gk0GQ7QRJbr92IB1X4SuiDdSClg8MMqOj9Y1qZcUX8tqWWbrUsrgwH63lECOzI85Ho4mSYv+S5pU&#10;pE5pb5Bg8b9jJOtx/HnVJBUsEw3yoIufC3BTMrRwVwQbkspjiyC+9umeuoYsb+10dkbSQTdqtIav&#10;S+z5kVm3YYDyQ5pwpdwzHrnU+GTdWpQUGn786d7noyowSkmNck6p/X5gICiRXxXqZRInidd/cJLh&#10;2I8C7iO7JjIY9TCiDtVSI5UxLq/hwfT5Tl7MHHT1hpu38FUxxBTH2indXcyla5YMN5eLxSIkoeIN&#10;c49qa7iH9iz5ib6e3hiYduwO9fKkL8Jn03fTb3KR9BuPrYP7EWbR7rJfwHs/ZN3+ce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eE0iG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104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79772823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02341B4" id="Rectangle 3" o:spid="_x0000_s1026" style="position:absolute;margin-left:225.05pt;margin-top:1.3pt;width:31.75pt;height:6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YWVAIAALkEAAAOAAAAZHJzL2Uyb0RvYy54bWysVNuO2jAQfa/Uf7D8XsIl3CLCioKoKq12&#10;0bLVPhvHIZEc2x0bAv36jp1w6bbqQ1UezIxnOOM5c4bZw6mS5CjAllqltNfpUiIU11mp9in99rr+&#10;NKHEOqYyJrUSKT0LSx/mHz/MapOIvi60zAQQBFE2qU1KC+dMEkWWF6JitqONUBjMNVTMoQv7KANW&#10;I3olo363O4pqDZkBzYW1eLtqgnQe8PNccPec51Y4IlOKb3PhhHDu/BnNZyzZAzNFydtnsH94RcVK&#10;hUWvUCvmGDlA+RtUVXLQVueuw3UV6TwvuQg9YDe97rtutgUzIvSC5Fhzpcn+P1j+dNwAKTOc3Xg6&#10;Hvcn/QFOTLEKZ/WC7DG1l4IMPE+1sQmmb80GWs+i6Zs+5VD5b2yHnAK35yu34uQIx8u4O8B5UcIx&#10;NJ4OR2gjSnT7sQHrvghdEW+kFLB4YJQdH61rUi8pvpbVsszWpZTBgf1uKYEcmR9zbzSexi36L2lS&#10;kTql/WGMxf+OEa8nvc+rJqlgmWiQh138XICbkqGFuyLYkFQeWwTxtU/31DVkeWunszOSDrpRozV8&#10;XWLPj8y6DQOUH9KEK+We8cilxifr1qKk0PDjT/c+H1WBUUpqlHNK7fcDA0GJ/KpQL9NeHHv9Byce&#10;Tfwo4D6yayLDcR8j6lAtNVLZw+U1PJg+38mLmYOu3nDzFr4qhpjiWDulu4u5dM2S4eZysViEJFS8&#10;Ye5RbQ330J4lP9HX0xsD047doV6e9EX4LHk3/SYXSb/x2Dq4H2EW7S77Bbz3Q9btH2f+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b4XYW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206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2633319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D8579DC" id="Rectangle 3" o:spid="_x0000_s1026" style="position:absolute;margin-left:225.05pt;margin-top:1.3pt;width:31.75pt;height:6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Dc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1+sN&#10;+/1+PBlRoliFs3pB9pjaS0H6nqfa2Cmmb80GWs+i6Zs+5VD5b2yHnAK35yu34uQIx8uk28d5UcIx&#10;NJoMhmgjSnT7sQHrvghdEW+kFLB4YJQdH61rUi8pvpbVsszWpZTBgf1uKYEcmR9zPBxNkhb9lzSp&#10;SJ3S3iDB4n/HSNbj+POqSSpYJhrkQRc/F+CmZGjhrgg2JJXHFkF87dM9dQ1Z3trp7Iykg27UaA1f&#10;l9jzI7NuwwDlhzThSrlnPHKp8cm6tSgpNPz4073PR1VglJIa5ZxS+/3AQFAivyrUyyROEq//4CTD&#10;sR8F3Ed2TWQw6mFEHaqlRipjXF7Dg+nznbyYOejqDTdv4atiiCmOtVO6u5hL1ywZbi4Xi0VIQsUb&#10;5h7V1nAP7VnyE309vTEw7dgd6uVJX4TPpu+m3+Qi6TceWwf3I8yi3WW/gPd+yLr948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RxnDc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54</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308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9933886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481E69F" id="Rectangle 3" o:spid="_x0000_s1026" style="position:absolute;margin-left:225.05pt;margin-top:1.3pt;width:31.75pt;height:62.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X4VAIAALg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9ieT&#10;wWA8HsWUKFbhqF6QPKb2UpCBp6k2NsHsrdlA61k0fc+nHCr/jd2QU6D2fKVWnBzheBl3BzguSjiG&#10;HibDEdqIEt1+bMC6L0JXxBspBSweCGXHtXVN6iXF17JaltmqlDI4sN8tJJAj81PujR4mcYv+S5pU&#10;pMY+hzEW/ztGvBr3Pi+bpIJlokEedvFzAW5KhhbuimBDUnlsEbTXPt1T15DlrZ3Ozsg56EaM1vBV&#10;iT2vmXUbBqg+pAk3yj3jkUuNT9atRUmh4cef7n0+igKjlNSo5pTa7wcGghL5VaFcJr049vIPTjwa&#10;+1HAfWTXRIYPfYyoQ7XQSGUPd9fwYPp8Jy9mDrp6w8Wb+6oYYopj7ZTuLubCNTuGi8vFfB6SUPCG&#10;ubXaGu6hPUt+oq+nNwamHbtDvTzpi+5Z8m76TS6SfuOxdXA9wizaVfb7d++HrNsfzuwn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sr7X4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55</w:t>
    </w:r>
    <w:r>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411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73328616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75E5D6" id="Rectangle 3" o:spid="_x0000_s1026" style="position:absolute;margin-left:225.05pt;margin-top:1.3pt;width:31.75pt;height:62.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Fg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N+r3&#10;e+NhPIwpUazCWb0ge0ztpSB9z1Nt7BTTt2YDrWfR9E2fcqj8N7ZDToHb85VbcXKE42XS7eO8KOEY&#10;Gk0GQ7QRJbr92IB1X4SuiDdSClg8MMqOj9Y1qZcUX8tqWWbrUsrgwH63lECOzI85Ho4mSYv+S5pU&#10;pE5pb5Bg8b9jJOtx/HnVJBUsEw3yoIufC3BTMrRwVwQbkspjiyC+9umeuoYsb+10dkbSQTdqtIav&#10;S+z5kVm3YYDyQ5pwpdwzHrnU+GTdWpQUGn786d7noyowSkmNck6p/X5gICiRXxXqZRInidd/cJLh&#10;2I8C7iO7JjIY9TCiDtVSI5UoBXxdMH2+kxczB1294eYtfFUMMcWxdkp3F3PpmiXDzeVisQhJqHjD&#10;3KPaGu6hPUt+oq+nNwamHbtDvTzpi/DZ9N30m1wk/cZj6+B+hFm0u+wX8N4PWbd/nP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z5RFg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56</w:t>
    </w:r>
    <w:r>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513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94880733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AB37365" id="Rectangle 3" o:spid="_x0000_s1026" style="position:absolute;margin-left:225.05pt;margin-top:1.3pt;width:31.75pt;height:6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6p9VAIAALk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sPZTZLx&#10;OB71+0NKFKtwVi/IHlN7KUjf81QbO8X0rdlA61k0fdOnHCr/je2QU+D2fOVWnBzheJnEfZwXJRxD&#10;o8lgiDaiRLcfG7Dui9AV8UZKAYsHRtnx0bom9ZLia1kty2xdShkc2O+WEsiR+TF3h6NJ0qL/kiYV&#10;qVPaGyRY/O8YyXrc/bxqkgqWiQZ5EOPnAtyUDC3cFcGGpPLYIoivfbqnriHLWzudnZF00I0areHr&#10;Ent+ZNZtGKD8kCZcKfeMRy41Plm3FiWFhh9/uvf5qAqMUlKjnFNqvx8YCErkV4V6mXSTxOs/OMlw&#10;7EcB95FdExmMehhRh2qpkcouLq/hwfT5Tl7MHHT1hpu38FUxxBTH2indXcyla5YMN5eLxSIkoeIN&#10;c49qa7iH9iz5ib6e3hiYduwO9fKkL8Jn03fTb3KR9BuPrYP7EWbR7rJfwHs/ZN3+ce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066p9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57</w:t>
    </w:r>
    <w:r>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616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19137585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815E999" id="Rectangle 3" o:spid="_x0000_s1026" style="position:absolute;margin-left:225.05pt;margin-top:1.3pt;width:31.75pt;height:62.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7E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F0/i&#10;/mgwHuDEFKtwVi/IHlN7KUjf81QbO8X0rdlA61k0fdOnHCr/je2QU+D2fOVWnBzheJl0+zgvSjiG&#10;RpPBEG1EiW4/NmDdF6Er4o2UAhYPjLLjo3VN6iXF17Jaltm6lDI4sN8tJZAj82OOh6NJ0qL/kiYV&#10;qVPaGyRY/O8YyXocf141SQXLRIM86OLnAtyUDC3cFcGGpPLYIoivfbqnriHLWzudnZF00I0areHr&#10;Ent+ZNZtGKD8kCZcKfeMRy41Plm3FiWFhh9/uvf5qAqMUlKjnFNqvx8YCErkV4V6mcRJ4vUfnGQ4&#10;9qOA+8iuiQxGPYyoQ7XUSGWMy2t4MH2+kxczB1294eYtfFUMMcWxdkp3F3PpmiXDzeVisQhJqHjD&#10;3KPaGu6hPUt+oq+nNwamHbtDvTzpi/DZ9N30m1wk/cZj6+B+hFm0u+wX8N4PWbd/nP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h1Q7E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60</w:t>
    </w:r>
    <w:r>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718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07390711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F1CE0BB" id="Rectangle 3" o:spid="_x0000_s1026" style="position:absolute;margin-left:225.05pt;margin-top:1.3pt;width:31.75pt;height:62.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SnVAIAALkEAAAOAAAAZHJzL2Uyb0RvYy54bWysVE2P2jAQvVfqf7B8L0kgwIIIKwqiqrTa&#10;XS1b7dk4Donk2O7YEOiv79gJH91WPVTlYGY8wxvPmzfM7o+1JAcBttIqo0kvpkQorvNK7TL67XX9&#10;6Y4S65jKmdRKZPQkLL2ff/wwa8xU9HWpZS6AIIiy08ZktHTOTKPI8lLUzPa0EQqDhYaaOXRhF+XA&#10;GkSvZdSP41HUaMgNaC6sxdtVG6TzgF8UgrunorDCEZlRfJsLJ4Rz689oPmPTHTBTVrx7BvuHV9Ss&#10;Ulj0ArVijpE9VL9B1RUHbXXhelzXkS6KiovQA3aTxO+62ZTMiNALkmPNhSb7/2D54+EZSJVntB+P&#10;B5N4nCR9ShSrcVYvyB5TOynIwPPUGDvF9I15hs6zaPqmjwXU/hvbIcfA7enCrTg6wvEyjQc4L0o4&#10;hsaT4QhtRImuPzZg3Reha+KNjAIWD4yyw4N1beo5xdeyWlb5upIyOLDbLiWQA/NjTkbjSdqh/5Im&#10;FWmw0WGKxf+Oka7vks+rNqlkuWiRhzF+zsBtydDCTRFsSCqPLYL4uqd76lqyvLXV+QlJB92q0Rq+&#10;rrDnB2bdMwOUH9KEK+We8CikxifrzqKk1PDjT/c+H1WBUUoalHNG7fc9A0GJ/KpQL5MkTb3+g5OO&#10;7vwo4DaybSPDcR8jal8vNVKZ4PIaHkyf7+TZLEDXb7h5C18VQ0xxrJ3R7dlcunbJcHO5WCxCEire&#10;MPegNoZ7aM+Sn+jr8Y2B6cbuUC+P+ix8Nn03/TYXSb/y2Dm4H2EW3S77Bbz1Q9b1H2f+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AKjSn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820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6585777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400F0D6" id="Rectangle 3" o:spid="_x0000_s1026" style="position:absolute;margin-left:225.05pt;margin-top:1.3pt;width:31.75pt;height:62.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i3VAIAALkEAAAOAAAAZHJzL2Uyb0RvYy54bWysVE2P2jAQvVfqf7B8LwE24UuEFQVRVUK7&#10;aNlqz8ZxSCTHdseGQH99x0746LbqoSoHM+MZ3njevGH6eKokOQqwpVYp7XW6lAjFdVaqfUq/va4+&#10;jSixjqmMSa1ESs/C0sfZxw/T2kxEXxdaZgIIgig7qU1KC+fMJIosL0TFbEcboTCYa6iYQxf2UQas&#10;RvRKRv1udxDVGjIDmgtr8XbZBOks4Oe54O45z61wRKYU3+bCCeHc+TOaTdlkD8wUJW+fwf7hFRUr&#10;FRa9Qi2ZY+QA5W9QVclBW527DtdVpPO85CL0gN30uu+62RbMiNALkmPNlSb7/2D503EDpMxwdskg&#10;GSXD4TChRLEKZ/WC7DG1l4I8eJ5qYyeYvjUbaD2Lpm/6lEPlv7Edcgrcnq/cipMjHC/j7gPOixKO&#10;oeE4GaCNKNHtxwas+yJ0RbyRUsDigVF2XFvXpF5SfC2rZZmtSimDA/vdQgI5Mj/m3mA4jlv0X9Kk&#10;InVK+0mMxf+OEa9Gvc/LJqlgmWiQky5+LsBNydDCXRFsSCqPLYL42qd76hqyvLXT2RlJB92o0Rq+&#10;KrHnNbNuwwDlhzThSrlnPHKp8cm6tSgpNPz4073PR1VglJIa5ZxS+/3AQFAivyrUy7gXx17/wYkH&#10;Iz8KuI/smkgy7GNEHaqFRip7uLyGB9PnO3kxc9DVG27e3FfFEFMca6d0dzEXrlky3Fwu5vOQhIo3&#10;zK3V1nAP7VnyE309vTEw7dgd6uVJX4TPJu+m3+Qi6TceWwf3I8yi3WW/gPd+yLr948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Drdi3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62</w:t>
    </w:r>
    <w:r>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035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38210721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8DE9A5D" id="Rectangle 3" o:spid="_x0000_s1026" style="position:absolute;margin-left:225.05pt;margin-top:1.3pt;width:31.75pt;height:6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zvVQIAALkEAAAOAAAAZHJzL2Uyb0RvYy54bWysVNtu2zAMfR+wfxD0vvoS59IgTpGlyDCg&#10;aIumQ58VWY4NyJJGKXGyrx8lO5d1wx6G5UEhReZQPDzM7O7QSLIXYGutcprcxJQIxXVRq21Ov72u&#10;Pk0osY6pgkmtRE6PwtK7+ccPs9ZMRaorLQsBBEGUnbYmp5VzZhpFlleiYfZGG6EwWGpomEMXtlEB&#10;rEX0RkZpHI+iVkNhQHNhLd7ed0E6D/hlKbh7KksrHJE5xbe5cEI4N/6M5jM23QIzVc37Z7B/eEXD&#10;aoVFz1D3zDGyg/o3qKbmoK0u3Q3XTaTLsuYi9IDdJPG7btYVMyL0guRYc6bJ/j9Y/rh/BlIXOLvB&#10;JE3icZqklCjW4KxekD2mtlKQgeepNXaK6WvzDL1n0fRNH0po/De2Qw6B2+OZW3FwhONlFg9wXpRw&#10;DI1vhyO0ESW6/NiAdV+Ebog3cgpYPDDK9g/WdamnFF/LalkXq1rK4MB2s5RA9syPORmNb7Me/Zc0&#10;qUib03SYYfG/Y2SrSfL5vkuqWCE65GGMnxNwVzK0cFUEG5LKY4sgvv7pnrqOLG9tdHFE0kF3arSG&#10;r2rs+YFZ98wA5Yc04Uq5JzxKqfHJurcoqTT8+NO9z0dVYJSSFuWcU/t9x0BQIr8q1MttkmVe/8HJ&#10;RhM/CriObLrIcJxiRO2apUYqE1xew4Pp8508mSXo5g03b+GrYogpjrVzujmZS9ctGW4uF4tFSELF&#10;G+Ye1NpwD+1Z8hN9PbwxMP3YHerlUZ+Ez6bvpt/lIukXHnsH9yPMot9lv4DXfsi6/OPMfwIAAP//&#10;AwBQSwMEFAAGAAgAAAAhAOs2CvvfAAAACQEAAA8AAABkcnMvZG93bnJldi54bWxMj8FOwzAMhu9I&#10;vENkJC6IpS1sbKXpNCZxRNrKJjhmrWkqEqdqsq17e8wJbrb+T78/F8vRWXHCIXSeFKSTBARS7ZuO&#10;WgW799f7OYgQNTXaekIFFwywLK+vCp03/kxbPFWxFVxCIdcKTIx9LmWoDTodJr5H4uzLD05HXodW&#10;NoM+c7mzMkuSmXS6I75gdI9rg/V3dXQKFnak/cfqZXNn3ugSP7fzyqxrpW5vxtUziIhj/IPhV5/V&#10;oWSngz9SE4RV8DhNUkYVZDMQnE/TBx4ODGZPC5BlIf9/UP4AAAD//wMAUEsBAi0AFAAGAAgAAAAh&#10;ALaDOJL+AAAA4QEAABMAAAAAAAAAAAAAAAAAAAAAAFtDb250ZW50X1R5cGVzXS54bWxQSwECLQAU&#10;AAYACAAAACEAOP0h/9YAAACUAQAACwAAAAAAAAAAAAAAAAAvAQAAX3JlbHMvLnJlbHNQSwECLQAU&#10;AAYACAAAACEApw6c71UCAAC5BAAADgAAAAAAAAAAAAAAAAAuAgAAZHJzL2Uyb0RvYy54bWxQSwEC&#10;LQAUAAYACAAAACEA6zYK+98AAAAJAQAADwAAAAAAAAAAAAAAAACv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w:t>
    </w:r>
    <w:r>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923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2965814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17DB599" id="Rectangle 3" o:spid="_x0000_s1026" style="position:absolute;margin-left:225.05pt;margin-top:1.3pt;width:31.75pt;height:62.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qRUwIAALkEAAAOAAAAZHJzL2Uyb0RvYy54bWysVN2P2jAMf5+0/yHK+yhw5auinBiIaRK6&#10;Q8dN9xzSlFZKk8wJFPbXz0nLx27THqb1IbVj92f7Z7vTx1MlyVGALbVKaa/TpUQorrNS7VP67XX1&#10;aUyJdUxlTGolUnoWlj7OPn6Y1iYRfV1omQkgCKJsUpuUFs6ZJIosL0TFbEcbodCYa6iYQxX2UQas&#10;RvRKRv1udxjVGjIDmgtr8XbZGOks4Oe54O45z61wRKYUc3PhhHDu/BnNpizZAzNFyds02D9kUbFS&#10;YdAr1JI5Rg5Q/gZVlRy01bnrcF1FOs9LLkINWE2v+66abcGMCLUgOdZcabL/D5Y/HTdAygx7F/cn&#10;w8EYX5QoVmGvXpA9pvZSkAfPU21sgu5bs4FWsyj6ok85VP6N5ZBT4PZ85VacHOF4GXcfsF+UcDSN&#10;JoMhyogS3T42YN0XoSvihZQCBg+MsuPausb14uJjWS3LbFVKGRTY7xYSyJH5NveGo0ncov/iJhWp&#10;U9ofxBj87xjxatz7vGycCpaJBnnQxecC3IQMJdwFwYKk8tgiDF+buqeuIctLO52dkXTQzTRaw1cl&#10;1rxm1m0Y4PghTbhS7hmPXGpMWbcSJYWGH3+69/44FWilpMZxTqn9fmAgKJFfFc7LpBfHfv6DEg/H&#10;vhVwb9k1lsGojxZ1qBYaqezh8hoeRO/v5EXMQVdvuHlzHxVNTHGMndLdRVy4Zslwc7mYz4MTTrxh&#10;bq22hntoz5Lv6OvpjYFp2+5wXp70ZfBZ8q77jS+SfuOxVXA/Qi/aXfYLeK8Hr9sfZ/YT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Fm4apF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63</w:t>
    </w:r>
    <w:r>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025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58928513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D4554FC" id="Rectangle 3" o:spid="_x0000_s1026" style="position:absolute;margin-left:225.05pt;margin-top:1.3pt;width:31.75pt;height:62.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rMVAIAALgEAAAOAAAAZHJzL2Uyb0RvYy54bWysVN9v2jAQfp+0/8Hy+wihCQVEqLpWTJNQ&#10;W5VOfTaOQyL5186GwP76nZ1AWTftYRoP5s53fOf77jvmNwclyV6Aa4wuaDoYUiI0N2WjtwX99rL8&#10;NKHEeaZLJo0WBT0KR28WHz/MWzsTI1MbWQogCKLdrLUFrb23syRxvBaKuYGxQmOwMqCYRxe2SQms&#10;RXQlk9FwOE5aA6UFw4VzeHvfBeki4leV4P6xqpzwRBYU3+bjCfHchDNZzNlsC8zWDe+fwf7hFYo1&#10;Goueoe6ZZ2QHzW9QquFgnKn8gBuVmKpquIg9YDfp8F0365pZEXtBcpw90+T+Hyx/2D8BacqC5pPp&#10;aJKnVzklmikc1TOSx/RWCnIVaGqtm2H22j5B7zk0Q8+HClT4xm7IIVJ7PFMrDp5wvMyGVzguSjiG&#10;rqf5GG1ESd5+bMH5L8IoEoyCAhaPhLL9yvku9ZQSajkjm3LZSBkd2G7uJJA9C1NOx9fTrEf/JU1q&#10;0hZ0lGdY/O8Y2XKSfr7vkmpWig45H+LnBNyVjC1cFMGGpA7YImqvf3qgriMrWBtTHpFzMJ0YneXL&#10;BnteMeefGKD6kCbcKP+IRyUNPtn0FiW1gR9/ug/5KAqMUtKimgvqvu8YCErkV41ymaZZFuQfnWw8&#10;CaOAy8imi+TXI4zonbozSGWKu2t5NEO+lyezAqNecfFuQ1UMMc2xdkE3J/POdzuGi8vF7W1MQsFb&#10;5ld6bXmADiyFib4cXhnYfuwe9fJgTrpns3fT73KR9DceewfXI86iX+Wwf5d+zHr7w1n8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aQRrM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128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35741186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4E2A56E" id="Rectangle 3" o:spid="_x0000_s1026" style="position:absolute;margin-left:225.05pt;margin-top:1.3pt;width:31.75pt;height:62.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XkUwIAALg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iyl/cEo&#10;iePxcEiJYhWO6gXJY2ovBel7mmpjp5i9NRtoPYum7/mUQ+W/sRtyCtSer9SKkyMcL5NuH8dFCcfQ&#10;aDIYoo0o0e3HBqz7InRFvJFSwOKBUHZ8tK5JvaT4WlbLMluXUgYH9rulBHJkfsrxcDRJWvRf0qQi&#10;dUp7gwSL/x0jWY/jz6smqWCZaJAHXfxcgJuSoYW7ItiQVB5bBO21T/fUNWR5a6ezM3IOuhGjNXxd&#10;Ys+PzLoNA1Qf0oQb5Z7xyKXGJ+vWoqTQ8ONP9z4fRYFRSmpUc0rt9wMDQYn8qlAukzhJvPyDkwzH&#10;fhRwH9k1kcGohxF1qJYaqYx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KQGheR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230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69969033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64B3D00" id="Rectangle 3" o:spid="_x0000_s1026" style="position:absolute;margin-left:225.05pt;margin-top:1.3pt;width:31.75pt;height:62.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MhVAIAALgEAAAOAAAAZHJzL2Uyb0RvYy54bWysVFFv2jAQfp+0/2D5fSRASAlqqBiIaRJq&#10;Udupz8ZxSCTH9s6GwH79zk6gXTftYRoP5s53fOf77jtu706NJEcBttYqp8NBTIlQXBe12uf02/P6&#10;05QS65gqmNRK5PQsLL2bf/xw25qZGOlKy0IAQRBlZ63JaeWcmUWR5ZVomB1oIxQGSw0Nc+jCPiqA&#10;tYjeyGgUx2nUaigMaC6sxdtVF6TzgF+WgruHsrTCEZlTfJsLJ4Rz589ofstme2Cmqnn/DPYPr2hY&#10;rbDoFWrFHCMHqH+DamoO2urSDbhuIl2WNRehB+xmGL/r5qliRoRekBxrrjTZ/wfL749bIHWR0zTL&#10;0iwej1NKFGtwVI9IHlN7KcjY09QaO8PsJ7OF3rNo+p5PJTT+G7shp0Dt+UqtODnC8TKJxzguSjiG&#10;brJJijaiRK8/NmDdF6Eb4o2cAhYPhLLjxrou9ZLia1kt62JdSxkc2O+WEsiR+SkP05ss6dF/SZOK&#10;tDkdTRIs/neMZD0dfl51SRUrRIc8ifFzAe5KhhbeFMGGpPLYImivf7qnriPLWztdnJFz0J0YreHr&#10;GnveMOu2DFB9SBNulHvAo5Qan6x7i5JKw48/3ft8FAVGKWlRzTm13w8MBCXyq0K5ZMMk8fIPTpJO&#10;/SjgbWTXRSY3I4yoQ7PUSOUQd9fwYPp8Jy9mCbp5wcVb+KoYYopj7ZzuLubSdTuGi8vFYhGSUPCG&#10;uY16MtxDe5b8RJ9PLwxMP3aHernXF92z2bvpd7lI+iuPvYPrEWbRr7Lfv7d+yHr9w5n/B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MH1Mh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332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7868144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36A0A9" id="Rectangle 3" o:spid="_x0000_s1026" style="position:absolute;margin-left:225.05pt;margin-top:1.3pt;width:31.75pt;height:62.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fXDUwIAALk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xiN&#10;h+NeHPcoUazCWb0ge0ztpSAPnqfa2ATTt2YDrWfR9E2fcqj8N7ZDToHb85VbcXKE42XcfcB5UcIx&#10;NJoMhmgjSnT7sQHrvghdEW+kFLB4YJQd19Y1qZcUX8tqWWarUsrgwH63kECOzI+5NxxN4hb9lzSp&#10;SJ3S/iDG4n/HiFfj3udlk1SwTDTIgy5+LsBNydDCXRFsSCqPLYL42qd76hqyvLXT2RlJB92o0Rq+&#10;KrHnNbNuwwDlhzThSrlnPHKp8cm6tSgpNPz4073PR1VglJIa5ZxS+/3AQFAivyrUywQH6/UfnHg4&#10;9qOA+8iuiQxGfYyoQ7XQSCVKAV8XTJ/v5MXMQVdvuHlzXxVDTHGsndLdxVy4Zslwc7mYz0MSKt4w&#10;t1Zbwz20Z8lP9PX0xsC0Y3eolyd9ET5L3k2/yUXSbzy2Du5HmEW7y34B7/2QdfvHmf0E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LfR9cN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435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30504752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7269466" id="Rectangle 3" o:spid="_x0000_s1026" style="position:absolute;margin-left:225.05pt;margin-top:1.3pt;width:31.75pt;height:62.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MLUwIAALg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ktpPx7E&#10;yWjQ61OiWIWjekHymNpLQfqeptrYKWZvzQZaz6Lpez7lUPlv7IacArXnK7Xi5AjHyyTu47go4Rga&#10;TQZDtBEluv3YgHVfhK6IN1IKWDwQyo6P1jWplxRfy2pZZutSyuDAfreUQI7MT7k7HE2SFv2XNKlI&#10;ndLeIMHif8dI1uPu51WTVLBMNMiDGD8X4KZkaOGuCDYklccWQXvt0z11DVne2unsjJyDbsRoDV+X&#10;2PMjs27DANWHNOFGuWc8cqnxybq1KCk0/PjTvc9HUWCUkhrVnFL7/cBAUCK/KpTLpJskXv7BSYZj&#10;Pwq4j+yayGDUw4g6VEuNVHZ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Gc3Uwt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5376"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17828372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D0CBEC" id="Rectangle 3" o:spid="_x0000_s1026" style="position:absolute;margin-left:348.05pt;margin-top:1.1pt;width:31.75pt;height:62.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Fm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F4/G&#10;vXF/1IspUazCWb0ge0ztpSB9z1Nt7BTTt2YDrWfR9E2fcqj8N7ZDToHb85VbcXKE42XS7eO8KOEY&#10;Gk0GQ7QRJbr92IB1X4SuiDdSClg8MMqOj9Y1qZcUX8tqWWbrUsrgwH63lECOzI85Ho4mSYv+S5pU&#10;pE5pb5Bg8b9jJOtx/HnVJBUsEw3yoIufC3BTMrRwVwQbkspjiyC+9umeuoYsb+10dkbSQTdqtIav&#10;S+z5kVm3YYDyQ5pwpdwzHrnU+GTdWpQUGn786d7noyowSkmNck6p/X5gICiRXxXqZRInidd/cJLh&#10;2I8C7iO7JjIY9TCiDtVSI5UoBXxdMH2+kxczB1294eYtfFUMMcWxdkp3F3PpmiXDzeVisQhJqHjD&#10;3KPaGu6hPUt+oq+nNwamHbtDvTzpi/DZ9N30m1wk/cZj6+B+hFm0u+wX8N4PWbd/nPlPAAAA//8D&#10;AFBLAwQUAAYACAAAACEArAmSMN8AAAAJAQAADwAAAGRycy9kb3ducmV2LnhtbEyPQUvDQBCF74L/&#10;YRnBi9hNA02bmE2pBY+CjYoet9kxG8zOhuy2Tf+901M9Du/jvW/K9eR6ccQxdJ4UzGcJCKTGm45a&#10;BR/vL48rECFqMrr3hArOGGBd3d6UujD+RDs81rEVXEKh0ApsjEMhZWgsOh1mfkDi7MePTkc+x1aa&#10;UZ+43PUyTZJMOt0RL1g94NZi81sfnIK8n+jza/P89mBf6Ry/d6vabhul7u+mzROIiFO8wnDRZ3Wo&#10;2GnvD2SC6BVkeTZnVEGaguB8ucgzEHsG0+UCZFXK/x9UfwAAAP//AwBQSwECLQAUAAYACAAAACEA&#10;toM4kv4AAADhAQAAEwAAAAAAAAAAAAAAAAAAAAAAW0NvbnRlbnRfVHlwZXNdLnhtbFBLAQItABQA&#10;BgAIAAAAIQA4/SH/1gAAAJQBAAALAAAAAAAAAAAAAAAAAC8BAABfcmVscy8ucmVsc1BLAQItABQA&#10;BgAIAAAAIQDP9MFmVAIAALkEAAAOAAAAAAAAAAAAAAAAAC4CAABkcnMvZTJvRG9jLnhtbFBLAQIt&#10;ABQABgAIAAAAIQCsCZIw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640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9634254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B93B84A" id="Rectangle 3" o:spid="_x0000_s1026" style="position:absolute;margin-left:225.05pt;margin-top:1.3pt;width:31.75pt;height:62.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waUwIAALk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TOcXTwZ&#10;DeL+MMaJKVbhrF6QPab2UpCB56k2NsH0rdlA61k0fdOnHCr/je2QU+D2fOVWnBzheBl3BzgvSjiG&#10;HibDEdqIEt1+bMC6L0JXxBspBSweGGXHtXVN6iXF17JaltmqlDI4sN8tJJAj82PujR4mcYv+S5pU&#10;pE4ptojF/44Rr8a9z8smqWCZaJCHXfxcgJuSoYW7ItiQVB5bBPG1T/fUNWR5a6ezM5IOulGjNXxV&#10;Ys9rZt2GAcoPacKVcs945FLjk3VrUVJo+PGne5+PqsAoJTXKOaX2+4GBoER+VaiXSS+Ovf6DE4/G&#10;fhRwH9k1keFDHyPqUC00UtnD5TU8mD7fyYuZg67ecPPmviqGmOJYO6W7i7lwzZLh5nIxn4ckVLxh&#10;bq22hntoz5Kf6OvpjYFpx+5QL0/6InyWvJt+k4uk33hsHdyPMIt2l/0C3vsh6/aPM/s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LpknBp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691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75883148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43FE5FA" id="Rectangle 3" o:spid="_x0000_s1026" style="position:absolute;margin-left:225.05pt;margin-top:1.3pt;width:31.75pt;height:6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ac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NxqM&#10;x/04GfcoUazCWb0ge0ztpSB9z1Nt7BTTt2YDrWfR9E2fcqj8N7ZDToHb85VbcXKE42XS7eO8KOEY&#10;Gk0GQ7QRJbr92IB1X4SuiDdSClg8MMqOj9Y1qZcUX8tqWWbrUsrgwH63lECOzI85Ho4mSYv+S5pU&#10;pE5pb5Bg8b9jJOtx/HnVJBUsEw3yoIufC3BTMrRwVwQbkspjiyC+9umeuoYsb+10dkbSQTdqtIav&#10;S+z5kVm3YYDyQ5pwpdwzHrnU+GTdWpQUGn786d7noyowSkmNck6p/X5gICiRXxXqZRInidd/cJLh&#10;2I8C7iO7JjIY9TCiDtVSI5UxLq/hwfT5Tl7MHHT1hpu38FUxxBTH2indXcyla5YMN5eLxSIkoeIN&#10;c49qa7iH9iz5ib6e3hiYduwO9fKkL8Jn03fTb3KR9BuPrYP7EWbR7rJfwHs/ZN3+ce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z8uac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7936"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33038940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D5CF8B4" id="Rectangle 3" o:spid="_x0000_s1026" style="position:absolute;margin-left:348.05pt;margin-top:1.1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t9UwIAALkEAAAOAAAAZHJzL2Uyb0RvYy54bWysVE2P2jAQvVfqf7B8LwkQWECEFQVRVUK7&#10;aNlqz8ZxSCTHdseGQH99x0746LbqoSoHM+MZ3njevGH6eKokOQqwpVYp7XZiSoTiOivVPqXfXlef&#10;RpRYx1TGpFYipWdh6ePs44dpbSaipwstMwEEQZSd1CalhXNmEkWWF6JitqONUBjMNVTMoQv7KANW&#10;I3olo14cD6NaQ2ZAc2Et3i6bIJ0F/DwX3D3nuRWOyJTi21w4IZw7f0azKZvsgZmi5O0z2D+8omKl&#10;wqJXqCVzjByg/A2qKjloq3PX4bqKdJ6XXIQesJtu/K6bbcGMCL0gOdZcabL/D5Y/HTdAygxn1+/H&#10;/dE4iZEmxSqc1Quyx9ReCtL3PNXGTjB9azbQehZN3/Qph8p/YzvkFLg9X7kVJ0c4XiZxH+dFCcfQ&#10;w3gwRBtRotuPDVj3ReiKeCOlgMUDo+y4tq5JvaT4WlbLMluVUgYH9ruFBHJkfszd4cM4adF/SZOK&#10;1CntDXyPf8dIVqPu52WTVLBMNMiDGD8X4KZkaOGuCDYklccWQXzt0z11DVne2unsjKSDbtRoDV+V&#10;2POaWbdhgPJDmnCl3DMeudT4ZN1alBQafvzp3uejKjBKSY1yTqn9fmAgKJFfFepl3E0Sr//gJMOR&#10;HwXcR3ZNZPDQw4g6VAuNVHZxeQ0Pps938mLmoKs33Ly5r4ohpjjWTunuYi5cs2S4uVzM5yEJFW+Y&#10;W6ut4R7as+Qn+np6Y2DasTvUy5O+CJ9N3k2/yUXSbzy2Du5HmEW7y34B7/2QdfvHmf0EAAD//wMA&#10;UEsDBBQABgAIAAAAIQCsCZIw3wAAAAkBAAAPAAAAZHJzL2Rvd25yZXYueG1sTI9BS8NAEIXvgv9h&#10;GcGL2E0DTZuYTakFj4KNih632TEbzM6G7LZN/73TUz0O7+O9b8r15HpxxDF0nhTMZwkIpMabjloF&#10;H+8vjysQIWoyuveECs4YYF3d3pS6MP5EOzzWsRVcQqHQCmyMQyFlaCw6HWZ+QOLsx49ORz7HVppR&#10;n7jc9TJNkkw63REvWD3g1mLzWx+cgryf6PNr8/z2YF/pHL93q9puG6Xu76bNE4iIU7zCcNFndajY&#10;ae8PZILoFWR5NmdUQZqC4Hy5yDMQewbT5QJkVcr/H1R/AAAA//8DAFBLAQItABQABgAIAAAAIQC2&#10;gziS/gAAAOEBAAATAAAAAAAAAAAAAAAAAAAAAABbQ29udGVudF9UeXBlc10ueG1sUEsBAi0AFAAG&#10;AAgAAAAhADj9If/WAAAAlAEAAAsAAAAAAAAAAAAAAAAALwEAAF9yZWxzLy5yZWxzUEsBAi0AFAAG&#10;AAgAAAAhAOtLu31TAgAAuQQAAA4AAAAAAAAAAAAAAAAALgIAAGRycy9lMm9Eb2MueG1sUEsBAi0A&#10;FAAGAAgAAAAhAKwJkjD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748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10436572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1C5AF59" id="Rectangle 3" o:spid="_x0000_s1026" style="position:absolute;margin-left:225.05pt;margin-top:1.3pt;width:31.75pt;height:6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VJVAIAALkEAAAOAAAAZHJzL2Uyb0RvYy54bWysVN9v2jAQfp+0/8Hy+5oEAqVRQ8VATJOq&#10;FpVOfTaOQyL5184uofvrd3ZCy7ppD9N4MHe+4zvfd99xfXNUkhwEuNbokmYXKSVCc1O1el/Sb4/r&#10;TzNKnGe6YtJoUdIX4ejN/OOH684WYmQaIysBBEG0Kzpb0sZ7WySJ441QzF0YKzQGawOKeXRhn1TA&#10;OkRXMhml6TTpDFQWDBfO4e2qD9J5xK9rwf19XTvhiSwpvs3HE+K5C2cyv2bFHphtWj48g/3DKxRr&#10;NRZ9hVoxz8gztL9BqZaDcab2F9yoxNR1y0XsAbvJ0nfdbBtmRewFyXH2lSb3/2D53WEDpK1wdlma&#10;j6eTy1FOiWYKZ/WA7DG9l4KMA0+ddQWmb+0GBs+hGZo+1qDCN7ZDjpHbl1duxdETjpd5OsZ5UcIx&#10;dHk1maKNKMnbjy04/0UYRYJRUsDikVF2uHW+Tz2lhFrOyLZat1JGB/a7pQRyYGHM2fTyKh/Qf0mT&#10;mnQlHU1yLP53jHw9yz6v+qSGVaJHnqT4OQH3JWMLZ0WwIakDtojiG54eqOvJCtbOVC9IOphejc7y&#10;dYs93zLnNwxQfkgTrpS/x6OWBp9sBouSxsCPP92HfFQFRinpUM4ldd+fGQhK5FeNernK8jzoPzr5&#10;dBZGAeeRXR/B+WNEP6ulQSozXF7LoxnyvTyZNRj1hJu3CFUxxDTH2iXdncyl75cMN5eLxSImoeIt&#10;87d6a3mADiyFiT4enxjYYewe9XJnTsJnxbvp97lI+huPg4P7EWcx7HJYwHM/Zr3948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HH4VJ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w:t>
    </w:r>
    <w:r>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4080"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C71936" id="Rectangle 3" o:spid="_x0000_s1026" style="position:absolute;margin-left:348.05pt;margin-top:1.1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n3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E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FzKKfdNAgAAsA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74</w:t>
    </w:r>
    <w:r>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5104"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6A1920E" id="Rectangle 3" o:spid="_x0000_s1026" style="position:absolute;margin-left:348.05pt;margin-top:1.1pt;width:31.75pt;height:6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eO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h/Qo&#10;VuGMXpA1pvZSkAfPT21sgmlbs4HWs2j6Zk85VP4b2yCnwOn5yqk4OcLxMu4+4Jwo4RgaTQZDtBEl&#10;uv3YgHVfhK6IN1IKWDwwyY5r65rUS4qvZbUss1UpZXBgv1tIIEfmx9sbjiZxi/5LmlSkTml/EGPx&#10;v2PEq3Hv87JJKlgmGuRBFz8X4KZkaOGuCDYklccWQXTt0z11DVne2unsjGSDblRoDV+V2POaWbdh&#10;gLJDmnCV3DMeudT4ZN1alBQafvzp3uejGjBKSY0yTqn9fmAgKJFfFepk0otjr/vgxMOxHwXcR3ZN&#10;ZDDqY0QdqoVGKnu4tIYH0+c7eTFz0NUbbtzcV8UQUxxrp3R3MReuWS7cWC7m85CESjfMrdXWcA/t&#10;WfITfT29MTDt2B3q5UlfBM+Sd9NvcpH0G4+tg3sRZtHusF+8ez9k3f5pZj8B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BXpl45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6128"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168915" id="Rectangle 3" o:spid="_x0000_s1026" style="position:absolute;margin-left:348.05pt;margin-top:1.1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Q6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16N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olSwNcF0+c7eTFz0NUbbtzcV8UQUxxrp3R3MReuWS7cWC7m85CESjfMrdXWcA/t&#10;WfITfT29MTDt2B3q5UlfBM+Sd9NvcpH0G4+tg3sRZtHusF+8ez9k3f5pZj8B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AkfBDp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896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13560900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D349593" id="Rectangle 3" o:spid="_x0000_s1026" style="position:absolute;margin-left:225.05pt;margin-top:1.3pt;width:31.75pt;height:62.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HdVQIAALkEAAAOAAAAZHJzL2Uyb0RvYy54bWysVN9v2jAQfp+0/8Hy+0gCgULUUDEQ0yTU&#10;orZTn43jkEiO7Z0Ngf31OzuhdN20h2l5cO58l/vx3Xe5vTs1khwF2FqrnCaDmBKhuC5qtc/pt+f1&#10;pykl1jFVMKmVyOlZWHo3//jhtjWZGOpKy0IAwSDKZq3JaeWcyaLI8ko0zA60EQqNpYaGOVRhHxXA&#10;WozeyGgYx5Oo1VAY0FxYi7erzkjnIX5ZCu4eytIKR2ROsTYXTgjnzp/R/JZle2CmqnlfBvuHKhpW&#10;K0z6GmrFHCMHqH8L1dQctNWlG3DdRLosay5CD9hNEr/r5qliRoReEBxrXmGy/y8svz9ugdRFTofJ&#10;aDyJZ3GcUKJYg7N6RPSY2ktBRh6n1tgM3Z/MFnrNouibPpXQ+De2Q04B2/MrtuLkCMfLNB7hvCjh&#10;aLqZYaaAfXT92IB1X4RuiBdyCpg8IMqOG+swIbpeXHwuq2VdrGspgwL73VICOTI/5mRyM0t9xfjJ&#10;L25SkRYbHaeY/O8x0vU0+bzqnCpWiC7yOMbnErhL+T4JppTKxxaBfH3pHroOLC/tdHFG0EF3bLSG&#10;r2vsecOs2zJA+iFMuFLuAY9SaixZ9xIllYYff7r3/sgKtFLSIp1zar8fGAhK5FeFfJklaer5H5R0&#10;MvWjgLeWXWcZ3wzRog7NUiOUSAWsLoje38mLWIJuXnDzFj4rmpjimDunu4u4dN2S4eZysVgEJ2S8&#10;YW6jngz3oT1KfqLPpxcGph+7Q77c6wvxWfZu+p0vgn7FsVdwP8Is+l32C/hWD17XP878JwAAAP//&#10;AwBQSwMEFAAGAAgAAAAhAOs2CvvfAAAACQEAAA8AAABkcnMvZG93bnJldi54bWxMj8FOwzAMhu9I&#10;vENkJC6IpS1sbKXpNCZxRNrKJjhmrWkqEqdqsq17e8wJbrb+T78/F8vRWXHCIXSeFKSTBARS7ZuO&#10;WgW799f7OYgQNTXaekIFFwywLK+vCp03/kxbPFWxFVxCIdcKTIx9LmWoDTodJr5H4uzLD05HXodW&#10;NoM+c7mzMkuSmXS6I75gdI9rg/V3dXQKFnak/cfqZXNn3ugSP7fzyqxrpW5vxtUziIhj/IPhV5/V&#10;oWSngz9SE4RV8DhNUkYVZDMQnE/TBx4ODGZPC5BlIf9/UP4AAAD//wMAUEsBAi0AFAAGAAgAAAAh&#10;ALaDOJL+AAAA4QEAABMAAAAAAAAAAAAAAAAAAAAAAFtDb250ZW50X1R5cGVzXS54bWxQSwECLQAU&#10;AAYACAAAACEAOP0h/9YAAACUAQAACwAAAAAAAAAAAAAAAAAvAQAAX3JlbHMvLnJlbHNQSwECLQAU&#10;AAYACAAAACEADtzh3VUCAAC5BAAADgAAAAAAAAAAAAAAAAAuAgAAZHJzL2Uyb0RvYy54bWxQSwEC&#10;LQAUAAYACAAAACEA6zYK+98AAAAJAQAADwAAAAAAAAAAAAAAAACv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9984"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69178540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46DA7BF" id="Rectangle 3" o:spid="_x0000_s1026" style="position:absolute;margin-left:348.05pt;margin-top:1.1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7DVwIAALkEAAAOAAAAZHJzL2Uyb0RvYy54bWysVE1v2zAMvQ/YfxB0X22nzpcRp8haZBgQ&#10;tEXboWdFlmMD+hqlxsl+/SjZadNup2E5KKT48kQ+kllcHZQkewGuNbqk2UVKidDcVK3elfTH0/rL&#10;jBLnma6YNFqU9CgcvVp+/rTobCFGpjGyEkCQRLuisyVtvLdFkjjeCMXchbFCY7A2oJhHF3ZJBaxD&#10;diWTUZpOks5AZcFw4Rze3vRBuoz8dS24v6trJzyRJcXcfDwhnttwJssFK3bAbNPyIQ32D1ko1mp8&#10;9JXqhnlGXqD9g0q1HIwztb/gRiWmrlsuYg1YTZZ+qOaxYVbEWlAcZ19lcv+Plt/u74G0FfZuMs+m&#10;s3GejinRTGGvHlA9pndSkMugU2ddgfBHew+D59AMRR9qUOEbyyGHqO3xVVtx8ITjZZ5eYr8o4Ria&#10;zscTtJElefuxBee/CaNIMEoK+HhUlO03zvfQEyS85Yxsq3UrZXRgt72WQPYstDmbTOf5wP4OJjXp&#10;SjrCGtNI/S7ozjny9Sz7etODGlaJnnmc4udE3MNjCWc8WJDUISURh29IPUjXixWsramOKDqYfhqd&#10;5esWa94w5+8Z4PihTLhS/g6PWhpM2QwWJY2BX3+7D3icCoxS0uE4l9T9fGEgKJHfNc7LPMvzMP/R&#10;ySez0Ao4j2z7yHg6woh+UdcGpcxweS2PZsB7eTJrMOoZN28VXsUQ0xzfLun2ZF77fslwc7lYrSII&#10;J94yv9GPlgfqoFLo6NPhmYEd2u5xXm7NafBZ8aH7PRZFf9NxcHA/Yi+GXQ4LeO5H1Ns/zvI3AAAA&#10;//8DAFBLAwQUAAYACAAAACEArAmSMN8AAAAJAQAADwAAAGRycy9kb3ducmV2LnhtbEyPQUvDQBCF&#10;74L/YRnBi9hNA02bmE2pBY+CjYoet9kxG8zOhuy2Tf+901M9Du/jvW/K9eR6ccQxdJ4UzGcJCKTG&#10;m45aBR/vL48rECFqMrr3hArOGGBd3d6UujD+RDs81rEVXEKh0ApsjEMhZWgsOh1mfkDi7MePTkc+&#10;x1aaUZ+43PUyTZJMOt0RL1g94NZi81sfnIK8n+jza/P89mBf6Ry/d6vabhul7u+mzROIiFO8wnDR&#10;Z3Wo2GnvD2SC6BVkeTZnVEGaguB8ucgzEHsG0+UCZFXK/x9UfwAAAP//AwBQSwECLQAUAAYACAAA&#10;ACEAtoM4kv4AAADhAQAAEwAAAAAAAAAAAAAAAAAAAAAAW0NvbnRlbnRfVHlwZXNdLnhtbFBLAQIt&#10;ABQABgAIAAAAIQA4/SH/1gAAAJQBAAALAAAAAAAAAAAAAAAAAC8BAABfcmVscy8ucmVsc1BLAQIt&#10;ABQABgAIAAAAIQCs2J7DVwIAALkEAAAOAAAAAAAAAAAAAAAAAC4CAABkcnMvZTJvRG9jLnhtbFBL&#10;AQItABQABgAIAAAAIQCsCZIw3wAAAAkBAAAPAAAAAAAAAAAAAAAAALE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78</w:t>
    </w:r>
    <w:r>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100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0893185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3C70470" id="Rectangle 3" o:spid="_x0000_s1026" style="position:absolute;margin-left:225.05pt;margin-top:1.3pt;width:31.75pt;height:62.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9nVAIAALkEAAAOAAAAZHJzL2Uyb0RvYy54bWysVN9v2jAQfp+0/8Hy+0hCAwVEqLpWTJNQ&#10;W5VOfTaOQyL5186GwP76nZ1AWTftYRoP5s53fOf77jvmNwclyV6Aa4wuaDZIKRGam7LR24J+e1l+&#10;mlDiPNMlk0aLgh6FozeLjx/mrZ2JoamNLAUQBNFu1tqC1t7bWZI4XgvF3MBYoTFYGVDMowvbpATW&#10;IrqSyTBNx0lroLRguHAOb++7IF1E/KoS3D9WlROeyILi23w8IZ6bcCaLOZttgdm64f0z2D+8QrFG&#10;Y9Ez1D3zjOyg+Q1KNRyMM5UfcKMSU1UNF7EH7CZL33WzrpkVsRckx9kzTe7/wfKH/ROQpsTZDdPJ&#10;9CqbjJAmzRTO6hnZY3orBbkKPLXWzTB9bZ+g9xyaoelDBSp8YzvkELk9nrkVB084XubpFc6LEo6h&#10;6+lojDaiJG8/tuD8F2EUCUZBAYtHRtl+5XyXekoJtZyRTblspIwObDd3EsiehTFn4+tp3qP/kiY1&#10;aQs6HOVY/O8Y+XKSfb7vkmpWig55lOLnBNyVjC1cFMGGpA7YIoqvf3qgriMrWBtTHpF0MJ0aneXL&#10;BnteMeefGKD8kCZcKf+IRyUNPtn0FiW1gR9/ug/5qAqMUtKinAvqvu8YCErkV416mWZ5HvQfnXw8&#10;CaOAy8imi4yuhxjRO3VnkMoMl9fyaIZ8L09mBUa94ubdhqoYYppj7YJuTuad75YMN5eL29uYhIq3&#10;zK/02vIAHVgKE305vDKw/dg96uXBnITPZu+m3+Ui6W889g7uR5xFv8thAS/9mPX2j7P4C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rEo9n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80</w:t>
    </w:r>
    <w:r>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715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77C6AB9" id="Rectangle 3" o:spid="_x0000_s1026" style="position:absolute;margin-left:225.05pt;margin-top:1.3pt;width:31.75pt;height:6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E8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16d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GwDwTxNAgAAsQ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78</w:t>
    </w:r>
    <w:r>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2032"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87997984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E7D5CA" id="Rectangle 3" o:spid="_x0000_s1026" style="position:absolute;margin-left:348.05pt;margin-top:1.1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J+VAIAALgEAAAOAAAAZHJzL2Uyb0RvYy54bWysVE2P2jAQvVfqf7B8LwE2fAQRVhREVQnt&#10;omWrPRvHIZEc2x0bAv31HTvho9uqh6oczIxneON584bp46mS5CjAllqltNfpUiIU11mp9in99rr6&#10;NKbEOqYyJrUSKT0LSx9nHz9MazMRfV1omQkgCKLspDYpLZwzkyiyvBAVsx1thMJgrqFiDl3YRxmw&#10;GtErGfW73WFUa8gMaC6sxdtlE6SzgJ/ngrvnPLfCEZlSfJsLJ4Rz589oNmWTPTBTlLx9BvuHV1Ss&#10;VFj0CrVkjpEDlL9BVSUHbXXuOlxXkc7zkovQA3bT677rZlswI0IvSI41V5rs/4PlT8cNkDJL6XiU&#10;JKNkHA8pUazCUb0geUztpSAPnqba2Almb80GWs+i6Xs+5VD5b+yGnAK15yu14uQIx8u4+4DjooRj&#10;aJQMhmgjSnT7sQHrvghdEW+kFLB4IJQd19Y1qZcUX8tqWWarUsrgwH63kECOzE+5NxwlcYv+S5pU&#10;pE5pfxBj8b9jxKtx7/OySSpYJhrkQRc/F+CmZGjhrgg2JJXHFkF77dM9dQ1Z3trp7Iycg27EaA1f&#10;ldjzmlm3YYDqQ5pwo9wzHrnU+GTdWpQUGn786d7noygwSkmNak6p/X5gICiRXxXKJenFsZd/cOLh&#10;2I8C7iO7JjIY9TGiDtVCI5U93F3Dg+nznbyYOejqDRdv7qtiiCmOtVO6u5gL1+wYLi4X83lIQsEb&#10;5tZqa7iH9iz5ib6e3hiYduwO9fKkL7pnk3fTb3KR9BuPrYPrEWbRrrLfv3s/ZN3+cGY/AQAA//8D&#10;AFBLAwQUAAYACAAAACEArAmSMN8AAAAJAQAADwAAAGRycy9kb3ducmV2LnhtbEyPQUvDQBCF74L/&#10;YRnBi9hNA02bmE2pBY+CjYoet9kxG8zOhuy2Tf+901M9Du/jvW/K9eR6ccQxdJ4UzGcJCKTGm45a&#10;BR/vL48rECFqMrr3hArOGGBd3d6UujD+RDs81rEVXEKh0ApsjEMhZWgsOh1mfkDi7MePTkc+x1aa&#10;UZ+43PUyTZJMOt0RL1g94NZi81sfnIK8n+jza/P89mBf6Ry/d6vabhul7u+mzROIiFO8wnDRZ3Wo&#10;2GnvD2SC6BVkeTZnVEGaguB8ucgzEHsG0+UCZFXK/x9UfwAAAP//AwBQSwECLQAUAAYACAAAACEA&#10;toM4kv4AAADhAQAAEwAAAAAAAAAAAAAAAAAAAAAAW0NvbnRlbnRfVHlwZXNdLnhtbFBLAQItABQA&#10;BgAIAAAAIQA4/SH/1gAAAJQBAAALAAAAAAAAAAAAAAAAAC8BAABfcmVscy8ucmVsc1BLAQItABQA&#10;BgAIAAAAIQDo3pJ+VAIAALgEAAAOAAAAAAAAAAAAAAAAAC4CAABkcnMvZTJvRG9jLnhtbFBLAQIt&#10;ABQABgAIAAAAIQCsCZIw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81</w:t>
    </w:r>
    <w:r>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8176"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3819D4" id="Rectangle 3" o:spid="_x0000_s1026" style="position:absolute;margin-left:348.05pt;margin-top:1.1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iF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6B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LrN2IV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82</w:t>
    </w:r>
    <w:r>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9200"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BE6A17" id="Rectangle 3" o:spid="_x0000_s1026" style="position:absolute;margin-left:348.05pt;margin-top:1.1pt;width:31.75pt;height:6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2D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6R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N/RHYN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84</w:t>
    </w:r>
    <w:r>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953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0288412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0203ED8" id="Rectangle 3" o:spid="_x0000_s1026" style="position:absolute;margin-left:225.05pt;margin-top:1.3pt;width:31.75pt;height:6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smVAIAALgEAAAOAAAAZHJzL2Uyb0RvYy54bWysVE2P2jAQvVfqf7B87yZhw6cIK8qKqhLa&#10;RctWezaOQyI5tjs2BPrrO3bCR7dVD1U5mBnP8Mbz5g3Th2MtyUGArbTKaHIXUyIU13mldhn99rr8&#10;NKLEOqZyJrUSGT0JSx9mHz9MGzMRPV1qmQsgCKLspDEZLZ0zkyiyvBQ1s3faCIXBQkPNHLqwi3Jg&#10;DaLXMurF8SBqNOQGNBfW4u1jG6SzgF8UgrvnorDCEZlRfJsLJ4Rz689oNmWTHTBTVrx7BvuHV9Ss&#10;Ulj0AvXIHCN7qH6DqisO2urC3XFdR7ooKi5CD9hNEr/rZlMyI0IvSI41F5rs/4PlT4c1kCrP6Cju&#10;jUZp0utToliNo3pB8pjaSUHuPU2NsRPM3pg1dJ5F0/d8LKD239gNOQZqTxdqxdERjpdpfI/jooRj&#10;aDjuD9BGlOj6YwPWfRG6Jt7IKGDxQCg7rKxrU88pvpbVssqXlZTBgd12IYEcmJ9yMhiO0w79lzSp&#10;SJPRXj/F4n/HSJej5PNjm1SyXLTI/Rg/Z+C2ZGjhpgg2JJXHFkF73dM9dS1Z3trq/IScg27FaA1f&#10;Vtjzilm3ZoDqQ5pwo9wzHoXU+GTdWZSUGn786d7noygwSkmDas6o/b5nICiRXxXKZZykqZd/cNLB&#10;yI8CbiPbNtIf9jCi9vVCI5UJ7q7hwfT5Tp7NAnT9hos391UxxBTH2hndns2Fa3cMF5eL+TwkoeAN&#10;cyu1MdxDe5b8RF+PbwxMN3aHennSZ92zybvpt7lI+pXHzsH1CLPoVtnv360fsq5/OLOf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pXJsm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0224"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C135565" id="Rectangle 3" o:spid="_x0000_s1026" style="position:absolute;margin-left:348.05pt;margin-top:1.1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43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6J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CsCZIw3wAAAAkBAAAPAAAAZHJzL2Rvd25yZXYueG1sTI9BS8NAEIXvgv9hGcGL2E0D&#10;TZuYTakFj4KNih632TEbzM6G7LZN/73TUz0O7+O9b8r15HpxxDF0nhTMZwkIpMabjloFH+8vjysQ&#10;IWoyuveECs4YYF3d3pS6MP5EOzzWsRVcQqHQCmyMQyFlaCw6HWZ+QOLsx49ORz7HVppRn7jc9TJN&#10;kkw63REvWD3g1mLzWx+cgryf6PNr8/z2YF/pHL93q9puG6Xu76bNE4iIU7zCcNFndajYae8PZILo&#10;FWR5NmdUQZqC4Hy5yDMQewbT5QJkVcr/H1R/AAAA//8DAFBLAQItABQABgAIAAAAIQC2gziS/gAA&#10;AOEBAAATAAAAAAAAAAAAAAAAAAAAAABbQ29udGVudF9UeXBlc10ueG1sUEsBAi0AFAAGAAgAAAAh&#10;ADj9If/WAAAAlAEAAAsAAAAAAAAAAAAAAAAALwEAAF9yZWxzLy5yZWxzUEsBAi0AFAAGAAgAAAAh&#10;AMMnjjdNAgAAsQQAAA4AAAAAAAAAAAAAAAAALgIAAGRycy9lMm9Eb2MueG1sUEsBAi0AFAAGAAgA&#10;AAAhAKwJkjD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86</w:t>
    </w:r>
    <w:r>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523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93902257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E7965BE" id="Rectangle 3" o:spid="_x0000_s1026" style="position:absolute;margin-left:225.05pt;margin-top:1.3pt;width:31.75pt;height:6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LMVAIAALk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sPZTfqT&#10;uNcbjJAmxSqc1Quyx9ReCtL3PNXGTjF9azbQehZN3/Qph8p/YzvkFLg9X7kVJ0c4XiZxH+dFCcfQ&#10;aDIYoo0o0e3HBqz7InRFvJFSwOKBUXZ8tK5JvaT4WlbLMluXUgYH9rulBHJkfszd4WiStOi/pElF&#10;6pT2BgkW/ztGsh53P6+apIJlokEexPi5ADclQwt3RbAhqTy2COJrn+6pa8jy1k5nZyQddKNGa/i6&#10;xJ4fmXUbBig/pAlXyj3jkUuNT9atRUmh4cef7n0+qgKjlNQo55Ta7wcGghL5VaFeJt0k8foPTjIc&#10;+1HAfWTXRAajHkbUoVpqpLKLy2t4MH2+kxczB1294eYtfFUMMcWxdkp3F3PpmiXDzeVisQhJqHjD&#10;3KPaGu6hPUt+oq+nNwamHbtDvTzpi/DZ9N30m1wk/cZj6+B+hFm0u+wX8N4PWbd/nP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Aa9LM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87</w:t>
    </w:r>
    <w:r>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suppressLineNumbers/>
      <w:spacing w:line="14" w:lineRule="exact"/>
      <w:contextualSpacing/>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8304" behindDoc="1" locked="0" layoutInCell="1" allowOverlap="1">
              <wp:simplePos x="0" y="0"/>
              <wp:positionH relativeFrom="column">
                <wp:posOffset>2945600</wp:posOffset>
              </wp:positionH>
              <wp:positionV relativeFrom="paragraph">
                <wp:posOffset>-7344</wp:posOffset>
              </wp:positionV>
              <wp:extent cx="403200" cy="795600"/>
              <wp:effectExtent l="0" t="0" r="16510" b="24130"/>
              <wp:wrapNone/>
              <wp:docPr id="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4A4F2A" id="Rectangle 3" o:spid="_x0000_s1026" style="position:absolute;margin-left:231.95pt;margin-top:-.6pt;width:31.75pt;height:6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FTTA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R4li&#10;FY7oBUljai8FefD01MYmmLU1G2g9i6bv9ZRD5b+xC3IKlJ6vlIqTIxwv4+4DjokSjqHRZDBEG1Gi&#10;248NWPdF6Ip4I6WAxQOR7Li2rkm9pPhaVssyW5VSBgf2u4UEcmR+ur3haBK36L+kSUXqlPYHMRb/&#10;O0a8Gvc+L5ukgmWiQR508XMBbkqGFu6KYENSeWwRNNc+3VPXkOWtnc7OyDXoRoTW8FWJPa+ZdRsG&#10;qDqkCTfJPeORS41P1q1FSaHhx5/ufT6KAaOU1KjilNrvBwaCEvlVoUwmvTj2sg9OPBz7UcB9ZNdE&#10;BqM+RtShWmikEqWArwumz3fyYuagqzdcuLmviiGmONZO6e5iLlyzW7iwXMznIQmFbphbq63hHtqz&#10;5Cf6enpjYNqxO9TLk77onSXvpt/kIuk3HlsH1yLMol1hv3f3fsi6/dHMfgIAAP//AwBQSwMEFAAG&#10;AAgAAAAhAOMhyzXgAAAACgEAAA8AAABkcnMvZG93bnJldi54bWxMj8FOwzAQRO9I/IO1SFxQ6ySE&#10;0oY4VanEEYkGEBzdZIkj7HUUu2369ywnOK7maeZtuZ6cFUccQ+9JQTpPQCA1vu2pU/D2+jRbgghR&#10;U6utJ1RwxgDr6vKi1EXrT7TDYx07wSUUCq3AxDgUUobGoNNh7gckzr786HTkc+xkO+oTlzsrsyRZ&#10;SKd74gWjB9wabL7rg1OwshO9f2weX27MM53j525Zm22j1PXVtHkAEXGKfzD86rM6VOy09wdqg7AK&#10;8sXtilEFszQDwcBddp+D2DOZ5SnIqpT/X6h+AAAA//8DAFBLAQItABQABgAIAAAAIQC2gziS/gAA&#10;AOEBAAATAAAAAAAAAAAAAAAAAAAAAABbQ29udGVudF9UeXBlc10ueG1sUEsBAi0AFAAGAAgAAAAh&#10;ADj9If/WAAAAlAEAAAsAAAAAAAAAAAAAAAAALwEAAF9yZWxzLy5yZWxzUEsBAi0AFAAGAAgAAAAh&#10;AHtp4VNMAgAAsAQAAA4AAAAAAAAAAAAAAAAALgIAAGRycy9lMm9Eb2MueG1sUEsBAi0AFAAGAAgA&#10;AAAhAOMhyzXgAAAACgEAAA8AAAAAAAAAAAAAAAAApg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88</w:t>
    </w:r>
    <w:r>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
      <w:pBdr>
        <w:top w:val="nil"/>
        <w:left w:val="nil"/>
        <w:bottom w:val="nil"/>
        <w:right w:val="nil"/>
        <w:between w:val="nil"/>
        <w:bar w:val="nil"/>
      </w:pBdr>
      <w:spacing w:line="276" w:lineRule="auto"/>
      <w:jc w:val="center"/>
      <w:rPr>
        <w:rFonts w:ascii="Arial" w:hAnsi="Arial"/>
        <w:sz w:val="16"/>
        <w:szCs w:val="16"/>
        <w:bdr w:val="nil"/>
      </w:rPr>
    </w:pPr>
    <w:r>
      <w:rPr>
        <w:rFonts w:ascii="Arial" w:hAnsi="Arial"/>
        <w:sz w:val="16"/>
        <w:bdr w:val="nil"/>
      </w:rPr>
      <w:t>Придружаващите бележки съставляват неразделна част от финансовите отчети.</w:t>
    </w:r>
  </w:p>
  <w:p>
    <w:pPr>
      <w:pStyle w:val="Normal4"/>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bdr w:val="nil"/>
      </w:rPr>
      <w:t xml:space="preserve">Страница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1</w:t>
    </w:r>
    <w:r>
      <w:rPr>
        <w:rFonts w:ascii="Arial" w:hAnsi="Arial"/>
        <w:sz w:val="16"/>
        <w:szCs w:val="16"/>
        <w:bdr w:val="nil"/>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1856" behindDoc="1" locked="0" layoutInCell="1" allowOverlap="1">
              <wp:simplePos x="0" y="0"/>
              <wp:positionH relativeFrom="column">
                <wp:posOffset>2945600</wp:posOffset>
              </wp:positionH>
              <wp:positionV relativeFrom="paragraph">
                <wp:posOffset>-7344</wp:posOffset>
              </wp:positionV>
              <wp:extent cx="403200" cy="795600"/>
              <wp:effectExtent l="0" t="0" r="16510" b="24130"/>
              <wp:wrapNone/>
              <wp:docPr id="1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A7A6BFB" id="Rectangle 3" o:spid="_x0000_s1026" style="position:absolute;margin-left:231.95pt;margin-top:-.6pt;width:31.75pt;height:6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KITgIAALE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TOc3YAS&#10;xSqc0QuyxtReCjLw/NTGJpi2NRtoPYumb/aUQ+W/sQ1yCpyer5yKkyMcL+PuAOdECcfQw2Q4QhtR&#10;otuPDVj3ReiKeCOlgMUDk+y4tq5JvaT4WlbLMluVUgYH9ruFBHJkfry90cMkbtF/SZOK1CntD2Ms&#10;/neMeDXufV42SQXLRIM87OLnAtyUDC3cFcGGpPLYIoiufbqnriHLWzudnZFs0I0KreGrEnteM+s2&#10;DFB2SBOuknvGI5can6xbi5JCw48/3ft8VANGKalRxim13w8MBCXyq0KdTHpx7HUfnHg09qOA+8iu&#10;iQwf+hhRh2qhkcoeLq3hwfT5Tl7MHHT1hhs391UxxBTH2indXcyFa5YLN5aL+TwkodINc2u1NdxD&#10;e5b8RF9PbwxMO3aHennSF8Gz5N30m1wk/cZj6+BehFm0O+wX794PWbd/mtlPAAAA//8DAFBLAwQU&#10;AAYACAAAACEA4yHLNeAAAAAKAQAADwAAAGRycy9kb3ducmV2LnhtbEyPwU7DMBBE70j8g7VIXFDr&#10;JITShjhVqcQRiQYQHN1kiSPsdRS7bfr3LCc4ruZp5m25npwVRxxD70lBOk9AIDW+7alT8Pb6NFuC&#10;CFFTq60nVHDGAOvq8qLURetPtMNjHTvBJRQKrcDEOBRShsag02HuByTOvvzodORz7GQ76hOXOyuz&#10;JFlIp3viBaMH3BpsvuuDU7CyE71/bB5fbswznePnblmbbaPU9dW0eQARcYp/MPzqszpU7LT3B2qD&#10;sAryxe2KUQWzNAPBwF12n4PYM5nlKciqlP9fqH4AAAD//wMAUEsBAi0AFAAGAAgAAAAhALaDOJL+&#10;AAAA4QEAABMAAAAAAAAAAAAAAAAAAAAAAFtDb250ZW50X1R5cGVzXS54bWxQSwECLQAUAAYACAAA&#10;ACEAOP0h/9YAAACUAQAACwAAAAAAAAAAAAAAAAAvAQAAX3JlbHMvLnJlbHNQSwECLQAUAAYACAAA&#10;ACEAcPVSiE4CAACxBAAADgAAAAAAAAAAAAAAAAAuAgAAZHJzL2Uyb0RvYy54bWxQSwECLQAUAAYA&#10;CAAAACEA4yHLNeAAAAAKAQAADwAAAAAAAAAAAAAAAACoBAAAZHJzL2Rvd25yZXYueG1sUEsFBgAA&#10;AAAEAAQA8wAAALU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92</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0"/>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bdr w:val="nil"/>
      </w:rPr>
      <w:t xml:space="preserve">Страница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5168" behindDoc="1" locked="0" layoutInCell="1" allowOverlap="1">
              <wp:simplePos x="0" y="0"/>
              <wp:positionH relativeFrom="column">
                <wp:posOffset>2945600</wp:posOffset>
              </wp:positionH>
              <wp:positionV relativeFrom="paragraph">
                <wp:posOffset>-7344</wp:posOffset>
              </wp:positionV>
              <wp:extent cx="403200" cy="795600"/>
              <wp:effectExtent l="0" t="0" r="16510" b="24130"/>
              <wp:wrapNone/>
              <wp:docPr id="1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BBF84D3" id="Rectangle 3" o:spid="_x0000_s1026" style="position:absolute;margin-left:231.95pt;margin-top:-.6pt;width:31.75pt;height:6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sx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F1Oi&#10;WIUzekHWmNpLQR48P7WxCaZtzQZaz6Lpmz3lUPlvbIOcAqfnK6fi5AjHy7j7gHOihGNoNBkM0UaU&#10;6PZjA9Z9Eboi3kgpYPHAJDuurWtSLym+ltWyzFallMGB/W4hgRyZH29vOJrELfovaVKROqX9QYzF&#10;/44Rr8a9z8smqWCZaJAHXfxcgJuSoYW7ItiQVB5bBNG1T/fUNWR5a6ezM5INulGhNXxVYs9rZt2G&#10;AcoOacJVcs945FLjk3VrUVJo+PGne5+PasAoJTXKOKX2+4GBoER+VaiTSS+Ove6DEw/HfhRwH9k1&#10;kcGojxF1qBYaqezh0hoeTJ/v5MXMQVdvuHFzXxVDTHGsndLdxVy4ZrlwY7mYz0MSKt0wt1Zbwz20&#10;Z8lP9PX0xsC0Y3eolyd9ETxL3k2/yUXSbzy2Du5FmEW7w37x7v2Qdfunmf0EAAD//wMAUEsDBBQA&#10;BgAIAAAAIQDjIcs14AAAAAoBAAAPAAAAZHJzL2Rvd25yZXYueG1sTI/BTsMwEETvSPyDtUhcUOsk&#10;hNKGOFWpxBGJBhAc3WSJI+x1FLtt+vcsJziu5mnmbbmenBVHHEPvSUE6T0AgNb7tqVPw9vo0W4II&#10;UVOrrSdUcMYA6+ryotRF60+0w2MdO8ElFAqtwMQ4FFKGxqDTYe4HJM6+/Oh05HPsZDvqE5c7K7Mk&#10;WUine+IFowfcGmy+64NTsLITvX9sHl9uzDOd4+duWZtto9T11bR5ABFxin8w/OqzOlTstPcHaoOw&#10;CvLF7YpRBbM0A8HAXXafg9gzmeUpyKqU/1+ofgAAAP//AwBQSwECLQAUAAYACAAAACEAtoM4kv4A&#10;AADhAQAAEwAAAAAAAAAAAAAAAAAAAAAAW0NvbnRlbnRfVHlwZXNdLnhtbFBLAQItABQABgAIAAAA&#10;IQA4/SH/1gAAAJQBAAALAAAAAAAAAAAAAAAAAC8BAABfcmVscy8ucmVsc1BLAQItABQABgAIAAAA&#10;IQCmO0sxTQIAALEEAAAOAAAAAAAAAAAAAAAAAC4CAABkcnMvZTJvRG9jLnhtbFBLAQItABQABgAI&#10;AAAAIQDjIcs14AAAAAoBAAAPAAAAAAAAAAAAAAAAAKc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104</w:t>
    </w:r>
    <w:r>
      <w:rPr>
        <w:rFonts w:ascii="Verdana" w:hAnsi="Verdana"/>
        <w:b/>
        <w:noProof/>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8"/>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1"/>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bdr w:val="nil"/>
      </w:rPr>
      <w:t xml:space="preserve">Страница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1376" behindDoc="1" locked="0" layoutInCell="1" allowOverlap="1">
              <wp:simplePos x="0" y="0"/>
              <wp:positionH relativeFrom="column">
                <wp:posOffset>4098069</wp:posOffset>
              </wp:positionH>
              <wp:positionV relativeFrom="paragraph">
                <wp:posOffset>-6985</wp:posOffset>
              </wp:positionV>
              <wp:extent cx="403200" cy="795600"/>
              <wp:effectExtent l="0" t="0" r="16510" b="24130"/>
              <wp:wrapNone/>
              <wp:docPr id="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3B18E18" id="Rectangle 3" o:spid="_x0000_s1026" style="position:absolute;margin-left:322.7pt;margin-top:-.55pt;width:31.75pt;height:6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RVTA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fUoU&#10;q3BEL0gaU3spyIOnpzY2wayt2UDrWTR9r6ccKv+NXZBToPR8pVScHOF4GXcfcEyUcAyNJoMh2ogS&#10;3X5swLovQlfEGykFLB6IZMe1dU3qJcXXslqW2aqUMjiw3y0kkCPz0+0NR5O4Rf8lTSpSY3+DGIv/&#10;HSNejXufl01SwTLRIA+6+LkANyVDC3dFsCGpPLYImmuf7qlryPLWTmdn5Bp0I0Jr+KrEntfMug0D&#10;VB3ShJvknvHIpcYn69aipNDw40/3Ph/FgFFKalRxSu33AwNBifyqUCaTXhx72QcnHo79KOA+smsi&#10;g1EfI+pQLTRS2cOdNTyYPt/Ji5mDrt5w4ea+KoaY4lg7pbuLuXDNbuHCcjGfhyQUumFurbaGe2jP&#10;kp/o6+mNgWnH7lAvT/qid5a8m36Ti6TfeGwdXIswi3aF/d7d+yHr9kcz+wkAAP//AwBQSwMEFAAG&#10;AAgAAAAhAEfga9HgAAAACgEAAA8AAABkcnMvZG93bnJldi54bWxMj8FOwzAQRO9I/IO1SFxQ6yQK&#10;JQ1xqlKJIxINVOXoxkscYa+j2G3Tv8ecynE1TzNvq9VkDTvh6HtHAtJ5AgypdaqnTsDnx+usAOaD&#10;JCWNIxRwQQ+r+vamkqVyZ9riqQkdiyXkSylAhzCUnPtWo5V+7gakmH270coQz7HjapTnWG4Nz5Jk&#10;wa3sKS5oOeBGY/vTHK2ApZlot1+/vD/oN7qEr23R6E0rxP3dtH4GFnAKVxj+9KM61NHp4I6kPDMC&#10;FvljHlEBszQFFoGnpFgCO0QyyzPgdcX/v1D/AgAA//8DAFBLAQItABQABgAIAAAAIQC2gziS/gAA&#10;AOEBAAATAAAAAAAAAAAAAAAAAAAAAABbQ29udGVudF9UeXBlc10ueG1sUEsBAi0AFAAGAAgAAAAh&#10;ADj9If/WAAAAlAEAAAsAAAAAAAAAAAAAAAAALwEAAF9yZWxzLy5yZWxzUEsBAi0AFAAGAAgAAAAh&#10;AB51JFVMAgAAsAQAAA4AAAAAAAAAAAAAAAAALgIAAGRycy9lMm9Eb2MueG1sUEsBAi0AFAAGAAgA&#10;AAAhAEfga9HgAAAACgEAAA8AAAAAAAAAAAAAAAAApg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105</w:t>
    </w:r>
    <w:r>
      <w:rPr>
        <w:rFonts w:ascii="Verdana" w:hAnsi="Verdana"/>
        <w:b/>
        <w:noProof/>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9"/>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5"/>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bdr w:val="nil"/>
      </w:rPr>
      <w:t xml:space="preserve">Страница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2400" behindDoc="1" locked="0" layoutInCell="1" allowOverlap="1">
              <wp:simplePos x="0" y="0"/>
              <wp:positionH relativeFrom="column">
                <wp:posOffset>3016278</wp:posOffset>
              </wp:positionH>
              <wp:positionV relativeFrom="paragraph">
                <wp:posOffset>-6985</wp:posOffset>
              </wp:positionV>
              <wp:extent cx="403200" cy="795600"/>
              <wp:effectExtent l="0" t="0" r="16510" b="24130"/>
              <wp:wrapNone/>
              <wp:docPr id="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6ED4BC" id="Rectangle 3" o:spid="_x0000_s1026" style="position:absolute;margin-left:237.5pt;margin-top:-.55pt;width:31.75pt;height:6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5Y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MSWK&#10;VTiiFySNqb0U5MHTUxubYNbWbKD1LJq+11MOlf/GLsgpUHq+UipOjnC8jLsPOCZKOIZGk8EQbUSJ&#10;bj82YN0XoSvijZQCFg9EsuPauib1kuJrWS3LbFVKGRzY7xYSyJH56faGo0ncov+SJhWpU9ofxFj8&#10;7xjxatz7vGySCpaJBnnQxc8FuCkZWrgrgg1J5bFF0Fz7dE9dQ5a3djo7I9egGxFaw1cl9rxm1m0Y&#10;oOqQJtwk94xHLjU+WbcWJYWGH3+69/koBoxSUqOKU2q/HxgISuRXhTKZ9OLYyz448XDsRwH3kV0T&#10;GYz6GFGHaqGRyh7urOHB9PlOXswcdPWGCzf3VTHEFMfaKd1dzIVrdgsXlov5PCSh0A1za7U13EN7&#10;lvxEX09vDEw7dod6edIXvbPk3fSbXCT9xmPr4FqEWbQr7Pfu3g9Ztz+a2U8AAAD//wMAUEsDBBQA&#10;BgAIAAAAIQCFZ16g4AAAAAoBAAAPAAAAZHJzL2Rvd25yZXYueG1sTI/BTsMwEETvSPyDtUhcUOsk&#10;NBBCnKpU4ojUhlZwdGMTR9jrKHbb9O9ZTnBc7dPMm2o5OctOegy9RwHpPAGmsfWqx07A7v11VgAL&#10;UaKS1qMWcNEBlvX1VSVL5c+41acmdoxCMJRSgIlxKDkPrdFOhrkfNNLvy49ORjrHjqtRnincWZ4l&#10;yQN3skdqMHLQa6Pb7+boBDzZCfcfq5fNnXnDS/zcFo1Zt0Lc3kyrZ2BRT/EPhl99UoeanA7+iCow&#10;K2DxmNOWKGCWpsAIyO+LHNiByGyRAa8r/n9C/QMAAP//AwBQSwECLQAUAAYACAAAACEAtoM4kv4A&#10;AADhAQAAEwAAAAAAAAAAAAAAAAAAAAAAW0NvbnRlbnRfVHlwZXNdLnhtbFBLAQItABQABgAIAAAA&#10;IQA4/SH/1gAAAJQBAAALAAAAAAAAAAAAAAAAAC8BAABfcmVscy8ucmVsc1BLAQItABQABgAIAAAA&#10;IQDUTa5YTQIAALAEAAAOAAAAAAAAAAAAAAAAAC4CAABkcnMvZTJvRG9jLnhtbFBLAQItABQABgAI&#10;AAAAIQCFZ16g4AAAAAoBAAAPAAAAAAAAAAAAAAAAAKc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128</w:t>
    </w:r>
    <w:r>
      <w:rPr>
        <w:rFonts w:ascii="Verdana" w:hAnsi="Verdana"/>
        <w:b/>
        <w:noProof/>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9"/>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bdr w:val="nil"/>
      </w:rPr>
      <w:t xml:space="preserve">Страница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4688" behindDoc="1" locked="0" layoutInCell="1" allowOverlap="1">
              <wp:simplePos x="0" y="0"/>
              <wp:positionH relativeFrom="column">
                <wp:posOffset>4097627</wp:posOffset>
              </wp:positionH>
              <wp:positionV relativeFrom="paragraph">
                <wp:posOffset>-14936</wp:posOffset>
              </wp:positionV>
              <wp:extent cx="403200" cy="795600"/>
              <wp:effectExtent l="0" t="0" r="16510" b="24130"/>
              <wp:wrapNone/>
              <wp:docPr id="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5CB29E7" id="Rectangle 3" o:spid="_x0000_s1026" style="position:absolute;margin-left:322.65pt;margin-top:-1.2pt;width:31.75pt;height:6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3s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A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ACj0GB4AAAAAoBAAAPAAAAZHJzL2Rvd25yZXYueG1sTI/BTsMwEETvSPyDtUhcUOsQ&#10;SpuGOFWpxBGpDVRwdJMljrDXUey26d+znOC42qeZN8VqdFaccAidJwX30wQEUu2bjloF728vkwxE&#10;iJoabT2hggsGWJXXV4XOG3+mHZ6q2AoOoZBrBSbGPpcy1AadDlPfI/Hvyw9ORz6HVjaDPnO4szJN&#10;krl0uiNuMLrHjcH6uzo6BUs70v5j/by9M690iZ+7rDKbWqnbm3H9BCLiGP9g+NVndSjZ6eCP1ARh&#10;Fcxnjw+MKpikMxAMLJKMtxyYTNMlyLKQ/yeUPwAAAP//AwBQSwECLQAUAAYACAAAACEAtoM4kv4A&#10;AADhAQAAEwAAAAAAAAAAAAAAAAAAAAAAW0NvbnRlbnRfVHlwZXNdLnhtbFBLAQItABQABgAIAAAA&#10;IQA4/SH/1gAAAJQBAAALAAAAAAAAAAAAAAAAAC8BAABfcmVscy8ucmVsc1BLAQItABQABgAIAAAA&#10;IQDIuz3sTQIAALAEAAAOAAAAAAAAAAAAAAAAAC4CAABkcnMvZTJvRG9jLnhtbFBLAQItABQABgAI&#10;AAAAIQACj0GB4AAAAAoBAAAPAAAAAAAAAAAAAAAAAKc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130</w:t>
    </w:r>
    <w:r>
      <w:rPr>
        <w:rFonts w:ascii="Verdana" w:hAnsi="Verdana"/>
        <w:b/>
        <w:noProof/>
        <w:color w:val="FFFFFF"/>
        <w:sz w:val="18"/>
        <w:szCs w:val="18"/>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9"/>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rPr>
    </w:pPr>
    <w:r>
      <w:rPr>
        <w:rFonts w:ascii="Arial" w:hAnsi="Arial"/>
        <w:sz w:val="16"/>
        <w:bdr w:val="nil"/>
      </w:rPr>
      <w:t xml:space="preserve">Страница </w:t>
    </w:r>
    <w:r>
      <w:rPr>
        <w:rFonts w:ascii="Arial" w:eastAsia="Calibri" w:hAnsi="Arial" w:cs="Arial"/>
        <w:sz w:val="16"/>
        <w:szCs w:val="16"/>
        <w:bdr w:val="nil"/>
      </w:rPr>
      <w:fldChar w:fldCharType="begin"/>
    </w:r>
    <w:r>
      <w:rPr>
        <w:rFonts w:ascii="Arial" w:eastAsia="Calibri" w:hAnsi="Arial" w:cs="Arial"/>
        <w:sz w:val="16"/>
        <w:szCs w:val="16"/>
        <w:bdr w:val="nil"/>
      </w:rPr>
      <w:instrText xml:space="preserve"> PAGE  \* Arabic  \* MERGEFORMAT </w:instrText>
    </w:r>
    <w:r>
      <w:rPr>
        <w:rFonts w:ascii="Arial" w:eastAsia="Calibri" w:hAnsi="Arial" w:cs="Arial"/>
        <w:sz w:val="16"/>
        <w:szCs w:val="16"/>
        <w:bdr w:val="nil"/>
      </w:rPr>
      <w:fldChar w:fldCharType="separate"/>
    </w:r>
    <w:r>
      <w:rPr>
        <w:rFonts w:ascii="Arial" w:eastAsia="Calibri" w:hAnsi="Arial" w:cs="Arial"/>
        <w:noProof/>
        <w:sz w:val="16"/>
        <w:szCs w:val="16"/>
        <w:bdr w:val="nil"/>
      </w:rPr>
      <w:t>46</w:t>
    </w:r>
    <w:r>
      <w:rPr>
        <w:rFonts w:ascii="Arial" w:eastAsia="Calibri" w:hAnsi="Arial" w:cs="Arial"/>
        <w:sz w:val="16"/>
        <w:szCs w:val="16"/>
        <w:bdr w:val="nil"/>
      </w:rPr>
      <w:fldChar w:fldCharType="end"/>
    </w:r>
  </w:p>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7520" behindDoc="1" locked="0" layoutInCell="1" allowOverlap="1">
              <wp:simplePos x="0" y="0"/>
              <wp:positionH relativeFrom="column">
                <wp:posOffset>2882697</wp:posOffset>
              </wp:positionH>
              <wp:positionV relativeFrom="paragraph">
                <wp:posOffset>-7290</wp:posOffset>
              </wp:positionV>
              <wp:extent cx="403200" cy="795600"/>
              <wp:effectExtent l="0" t="0" r="16510" b="24130"/>
              <wp:wrapNone/>
              <wp:docPr id="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2B943CD" id="Rectangle 3" o:spid="_x0000_s1026" style="position:absolute;margin-left:227pt;margin-top:-.55pt;width:31.75pt;height:6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q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Q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DT4B4p4AAAAAoBAAAPAAAAZHJzL2Rvd25yZXYueG1sTI/BTsMwEETvSPyDtUhcUOsk&#10;SqCEOFWpxBGJBhAc3WSJI+x1FLtt+vcsJziu9mnmTbWenRVHnMLgSUG6TEAgtb4bqFfw9vq0WIEI&#10;UVOnrSdUcMYA6/ryotJl50+0w2MTe8EhFEqtwMQ4llKG1qDTYelHJP59+cnpyOfUy27SJw53VmZJ&#10;ciudHogbjB5xa7D9bg5Owb2d6f1j8/hyY57pHD93q8ZsW6Wur+bNA4iIc/yD4Vef1aFmp70/UBeE&#10;VZAXOW+JChZpCoKBIr0rQOyZzPIMZF3J/xPqHwAAAP//AwBQSwECLQAUAAYACAAAACEAtoM4kv4A&#10;AADhAQAAEwAAAAAAAAAAAAAAAAAAAAAAW0NvbnRlbnRfVHlwZXNdLnhtbFBLAQItABQABgAIAAAA&#10;IQA4/SH/1gAAAJQBAAALAAAAAAAAAAAAAAAAAC8BAABfcmVscy8ucmVsc1BLAQItABQABgAIAAAA&#10;IQCtp/jqTQIAALAEAAAOAAAAAAAAAAAAAAAAAC4CAABkcnMvZTJvRG9jLnhtbFBLAQItABQABgAI&#10;AAAAIQDT4B4p4AAAAAoBAAAPAAAAAAAAAAAAAAAAAKc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145</w:t>
    </w:r>
    <w:r>
      <w:rPr>
        <w:rFonts w:ascii="Verdana" w:hAnsi="Verdana"/>
        <w:b/>
        <w:noProof/>
        <w:color w:val="FFFFFF"/>
        <w:sz w:val="18"/>
        <w:szCs w:val="18"/>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056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82471687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FA3F29" id="Rectangle 3" o:spid="_x0000_s1026" style="position:absolute;margin-left:225.05pt;margin-top:1.3pt;width:31.75pt;height:6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MsVAIAALkEAAAOAAAAZHJzL2Uyb0RvYy54bWysVE2P2jAQvVfqf7B8LyFs+BRhRUFUldAu&#10;Wrbas3EcEsmx3bEh0F/fsRM+uq16qMrBzHiGN543b5g+nipJjgJsqVVK406XEqG4zkq1T+m319Wn&#10;ESXWMZUxqZVI6VlY+jj7+GFam4no6ULLTABBEGUntUlp4ZyZRJHlhaiY7WgjFAZzDRVz6MI+yoDV&#10;iF7JqNftDqJaQ2ZAc2Et3i6bIJ0F/DwX3D3nuRWOyJTi21w4IZw7f0azKZvsgZmi5O0z2D+8omKl&#10;wqJXqCVzjByg/A2qKjloq3PX4bqKdJ6XXIQesJu4+66bbcGMCL0gOdZcabL/D5Y/HTdAygxnN+ol&#10;w3gwGg4oUazCWb0ge0ztpSAPnqfa2Ammb80GWs+i6Zs+5VD5b2yHnAK35yu34uQIx8uk+4DzooRj&#10;aDjuD9BGlOj2YwPWfRG6It5IKWDxwCg7rq1rUi8pvpbVssxWpZTBgf1uIYEcmR9zPBiOkxb9lzSp&#10;SJ3SXj/B4n/HSFaj+POySSpYJhrkfhc/F+CmZGjhrgg2JJXHFkF87dM9dQ1Z3trp7Iykg27UaA1f&#10;ldjzmlm3YYDyQ5pwpdwzHrnU+GTdWpQUGn786d7noyowSkmNck6p/X5gICiRXxXqZRwnidd/cJLB&#10;yI8C7iO7JtIf9jCiDtVCI5UxLq/hwfT5Tl7MHHT1hps391UxxBTH2indXcyFa5YMN5eL+TwkoeIN&#10;c2u1NdxDe5b8RF9PbwxMO3aHennSF+GzybvpN7lI+o3H1sH9CLNod9kv4L0fsm7/OLOf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lw9Ms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w:t>
    </w:r>
    <w:r>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158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5985213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717FF74" id="Rectangle 3" o:spid="_x0000_s1026" style="position:absolute;margin-left:225.05pt;margin-top:1.3pt;width:31.75pt;height:6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DNVAIAALgEAAAOAAAAZHJzL2Uyb0RvYy54bWysVE2P2jAQvVfqf7B8LyEQWECEFQVRVUK7&#10;aNlqz8ZxSCTHdseGQH99x0746LbqoSoHM+MZ3njevGH6eKokOQqwpVYpjTtdSoTiOivVPqXfXlef&#10;RpRYx1TGpFYipWdh6ePs44dpbSaipwstMwEEQZSd1CalhXNmEkWWF6JitqONUBjMNVTMoQv7KANW&#10;I3olo163O4xqDZkBzYW1eLtsgnQW8PNccPec51Y4IlOKb3PhhHDu/BnNpmyyB2aKkrfPYP/wioqV&#10;CoteoZbMMXKA8jeoquSgrc5dh+sq0nlechF6wG7i7rtutgUzIvSC5Fhzpcn+P1j+dNwAKbOUjgfj&#10;0aAX9/uUKFbhqF6QPKb2UpC+p6k2doLZW7OB1rNo+p5POVT+G7shp0Dt+UqtODnC8TLp9nFclHAM&#10;PYwHQ7QRJbr92IB1X4SuiDdSClg8EMqOa+ua1EuKr2W1LLNVKWVwYL9bSCBH5qccDx/GSYv+S5pU&#10;pE5pb5Bg8b9jJKtR/HnZJBUsEw3yoIufC3BTMrRwVwQbkspji6C99umeuoYsb+10dkbOQTditIav&#10;Sux5zazbMED1IU24Ue4Zj1xqfLJuLUoKDT/+dO/zURQYpaRGNafUfj8wEJTIrwrlMo6TxMs/OMlw&#10;5EcB95FdExk89DCiDtVCI5Ux7q7hwfT5Tl7MHHT1hos391UxxBTH2indXcyFa3YMF5eL+TwkoeAN&#10;c2u1NdxDe5b8RF9PbwxMO3aHennSF92zybvpN7lI+o3H1sH1CLNoV9nv370fsm5/OLOf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RZbDN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260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2538448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0FD18EF" id="Rectangle 3" o:spid="_x0000_s1026" style="position:absolute;margin-left:225.05pt;margin-top:1.3pt;width:31.75pt;height:6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8QcVAIAALg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TvrD&#10;wTiOx31KFKtwVC9IHlN7KcjA01Qbm2D21myg9SyavudTDpX/xm7IKVB7vlIrTo5wvIy7AxwXJRxD&#10;D5PhCG1EiW4/NmDdF6Er4o2UAhYPhLLj2rom9ZLia1kty2xVShkc2O8WEsiR+Sn3Rg+TuEX/JU0q&#10;Uqe0P4yx+N8x4tW493nZJBUsEw3ysIufC3BTMrRwVwQbkspji6C99umeuoYsb+10dkbOQTditIav&#10;Sux5zazbMED1IU24Ue4Zj1xqfLJuLUoKDT/+dO/zURQYpaRGNafUfj8wEJTIrwrlMunFsZd/cOLR&#10;2I8C7iO7JjJ86GNEHaqFRip7uLuGB9PnO3kxc9DVGy7e3FfFEFMca6d0dzEXrtkxXFwu5vOQhII3&#10;zK3V1nAP7VnyE309vTEw7dgd6uVJX3TPknfTb3KR9BuPrYPrEWbRrrLfv3s/ZN3+cG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6o8Qc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3632"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207754373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0543122" id="Rectangle 3" o:spid="_x0000_s1026" style="position:absolute;margin-left:348.05pt;margin-top:1.1pt;width:31.75pt;height:6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yqVAIAALk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ktpLx6N&#10;Bkl/1B9QoliFs3pB9pjaS0H6nqfa2Cmmb80GWs+i6Zs+5VD5b2yHnAK35yu34uQIx8sk7uO8KOEY&#10;Gk0GQ7QRJbr92IB1X4SuiDdSClg8MMqOj9Y1qZcUX8tqWWbrUsrgwH63lECOzI+5OxxNkhb9lzSp&#10;SI2NDhIs/neMZD3ufl41SQXLRIM8iPFzAW5KhhbuimBDUnlsEcTXPt1T15DlrZ3Ozkg66EaN1vB1&#10;iT0/Mus2DFB+SBOulHvGI5can6xbi5JCw48/3ft8VAVGKalRzim13w8MBCXyq0K9TLpJ4vUfnGQ4&#10;9qOA+8iuiQxGPYyoQ7XUSGUXl9fwYPp8Jy9mDrp6w81b+KoYYopj7ZTuLubSNUuGm8vFYhGSUPGG&#10;uUe1NdxDe5b8RF9PbwxMO3aHennSF+Gz6bvpN7lI+o3H1sH9CLNod9kv4L0fsm7/OPOfAAAA//8D&#10;AFBLAwQUAAYACAAAACEArAmSMN8AAAAJAQAADwAAAGRycy9kb3ducmV2LnhtbEyPQUvDQBCF74L/&#10;YRnBi9hNA02bmE2pBY+CjYoet9kxG8zOhuy2Tf+901M9Du/jvW/K9eR6ccQxdJ4UzGcJCKTGm45a&#10;BR/vL48rECFqMrr3hArOGGBd3d6UujD+RDs81rEVXEKh0ApsjEMhZWgsOh1mfkDi7MePTkc+x1aa&#10;UZ+43PUyTZJMOt0RL1g94NZi81sfnIK8n+jza/P89mBf6Ry/d6vabhul7u+mzROIiFO8wnDRZ3Wo&#10;2GnvD2SC6BVkeTZnVEGaguB8ucgzEHsG0+UCZFXK/x9UfwAAAP//AwBQSwECLQAUAAYACAAAACEA&#10;toM4kv4AAADhAQAAEwAAAAAAAAAAAAAAAAAAAAAAW0NvbnRlbnRfVHlwZXNdLnhtbFBLAQItABQA&#10;BgAIAAAAIQA4/SH/1gAAAJQBAAALAAAAAAAAAAAAAAAAAC8BAABfcmVscy8ucmVsc1BLAQItABQA&#10;BgAIAAAAIQC12EyqVAIAALkEAAAOAAAAAAAAAAAAAAAAAC4CAABkcnMvZTJvRG9jLnhtbFBLAQIt&#10;ABQABgAIAAAAIQCsCZIw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4656"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40109776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8B957AA" id="Rectangle 3" o:spid="_x0000_s1026" style="position:absolute;margin-left:348.05pt;margin-top:1.1pt;width:31.75pt;height:6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C6UwIAALg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Mdaf&#10;jEbDISWKVTiqFySPqb0U5MHTVBubYPbWbKD1LJq+51MOlf/GbsgpUHu+UitOjnC8jLsPOC5KOIZG&#10;k8EQbUSJbj82YN0XoSvijZQCFg+EsuPauib1kuJrWS3LbFVKGRzY7xYSyJH5KfeGo0ncov+SJhWp&#10;U9ofxFj87xjxatz7vGySCpaJBnnQxc8FuCkZWrgrgg1J5bFF0F77dE9dQ5a3djo7I+egGzFaw1cl&#10;9rxm1m0YoPqQJtwo94xHLjU+WbcWJYWGH3+69/koCoxSUqOaU2q/HxgISuRXhXKZ9OLYyz848XDs&#10;RwH3kV0TGYz6GFGHaqGRyh7uruHB9PlOXswcdPWGizf3VTHEFMfaKd1dzIVrdgwXl4v5PCSh4A1z&#10;a7U13EN7lvxEX09vDEw7dod6edIX3bPk3fSbXCT9xmPr4HqEWbSr7Pfv3g9Ztz+c2U8AAAD//wMA&#10;UEsDBBQABgAIAAAAIQCsCZIw3wAAAAkBAAAPAAAAZHJzL2Rvd25yZXYueG1sTI9BS8NAEIXvgv9h&#10;GcGL2E0DTZuYTakFj4KNih632TEbzM6G7LZN/73TUz0O7+O9b8r15HpxxDF0nhTMZwkIpMabjloF&#10;H+8vjysQIWoyuveECs4YYF3d3pS6MP5EOzzWsRVcQqHQCmyMQyFlaCw6HWZ+QOLsx49ORz7HVppR&#10;n7jc9TJNkkw63REvWD3g1mLzWx+cgryf6PNr8/z2YF/pHL93q9puG6Xu76bNE4iIU7zCcNFndajY&#10;ae8PZILoFWR5NmdUQZqC4Hy5yDMQewbT5QJkVcr/H1R/AAAA//8DAFBLAQItABQABgAIAAAAIQC2&#10;gziS/gAAAOEBAAATAAAAAAAAAAAAAAAAAAAAAABbQ29udGVudF9UeXBlc10ueG1sUEsBAi0AFAAG&#10;AAgAAAAhADj9If/WAAAAlAEAAAsAAAAAAAAAAAAAAAAALwEAAF9yZWxzLy5yZWxzUEsBAi0AFAAG&#10;AAgAAAAhABIlYLpTAgAAuAQAAA4AAAAAAAAAAAAAAAAALgIAAGRycy9lMm9Eb2MueG1sUEsBAi0A&#10;FAAGAAgAAAAhAKwJkjD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5680"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64039957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8E4EF99" id="Rectangle 3" o:spid="_x0000_s1026" style="position:absolute;margin-left:348.05pt;margin-top:1.1pt;width:31.75pt;height:6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yiUwIAALkEAAAOAAAAZHJzL2Uyb0RvYy54bWysVE2P2jAQvVfqf7B8LwE2fAQRVhREVQnt&#10;omWrPRvHIZEc2x0bAv31HTvho9uqh6oczIxneON584bp46mS5CjAllqltNfpUiIU11mp9in99rr6&#10;NKbEOqYyJrUSKT0LSx9nHz9MazMRfV1omQkgCKLspDYpLZwzkyiyvBAVsx1thMJgrqFiDl3YRxmw&#10;GtErGfW73WFUa8gMaC6sxdtlE6SzgJ/ngrvnPLfCEZlSfJsLJ4Rz589oNmWTPTBTlLx9BvuHV1Ss&#10;VFj0CrVkjpEDlL9BVSUHbXXuOlxXkc7zkovQA3bT677rZlswI0IvSI41V5rs/4PlT8cNkDLD2Q3j&#10;7kOSDEYJJYpVOKsXZI+pvRTkwfNUGzvB9K3ZQOtZNH3Tpxwq/43tkFPg9nzlVpwc4XiJ4DgvSjiG&#10;RslgiDaiRLcfG7Dui9AV8UZKAYsHRtlxbV2TeknxtayWZbYqpQwO7HcLCeTI/Jh7w1ESt+i/pElF&#10;6pT2BzEW/ztGvBr3Pi+bpIJlokEedPFzAW5KhhbuimBDUnlsEcTXPt1T15DlrZ3Ozkg66EaN1vBV&#10;iT2vmXUbBig/pAlXyj3jkUuNT9atRUmh4cef7n0+qgKjlNQo55Ta7wcGghL5VaFekl4ce/0HJx6O&#10;/SjgPrJrIoNRHyPqUC00UtnD5TU8mD7fyYuZg67ecPPmviqGmOJYO6W7i7lwzZLh5nIxn4ckVLxh&#10;bq22hntoz5Kf6OvpjYFpx+5QL0/6Inw2eTf9JhdJv/HYOrgfYRbtLvsFvPdD1u0fZ/YTAAD//wMA&#10;UEsDBBQABgAIAAAAIQCsCZIw3wAAAAkBAAAPAAAAZHJzL2Rvd25yZXYueG1sTI9BS8NAEIXvgv9h&#10;GcGL2E0DTZuYTakFj4KNih632TEbzM6G7LZN/73TUz0O7+O9b8r15HpxxDF0nhTMZwkIpMabjloF&#10;H+8vjysQIWoyuveECs4YYF3d3pS6MP5EOzzWsRVcQqHQCmyMQyFlaCw6HWZ+QOLsx49ORz7HVppR&#10;n7jc9TJNkkw63REvWD3g1mLzWx+cgryf6PNr8/z2YF/pHL93q9puG6Xu76bNE4iIU7zCcNFndajY&#10;ae8PZILoFWR5NmdUQZqC4Hy5yDMQewbT5QJkVcr/H1R/AAAA//8DAFBLAQItABQABgAIAAAAIQC2&#10;gziS/gAAAOEBAAATAAAAAAAAAAAAAAAAAAAAAABbQ29udGVudF9UeXBlc10ueG1sUEsBAi0AFAAG&#10;AAgAAAAhADj9If/WAAAAlAEAAAsAAAAAAAAAAAAAAAAALwEAAF9yZWxzLy5yZWxzUEsBAi0AFAAG&#10;AAgAAAAhAE5bnKJTAgAAuQQAAA4AAAAAAAAAAAAAAAAALgIAAGRycy9lMm9Eb2MueG1sUEsBAi0A&#10;FAAGAAgAAAAhAKwJkjD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6704"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26214145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3E2CAD" id="Rectangle 3" o:spid="_x0000_s1026" style="position:absolute;margin-left:348.05pt;margin-top:1.1pt;width:31.75pt;height:6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mKUwIAALgEAAAOAAAAZHJzL2Uyb0RvYy54bWysVE2P2jAQvVfqf7B8LyFs+BRhRUFUldAu&#10;Wrbas3EcEsmx3bEh0F/fsRM+uq16qMrBzHiGN543b5g+nipJjgJsqVVK406XEqG4zkq1T+m319Wn&#10;ESXWMZUxqZVI6VlY+jj7+GFam4no6ULLTABBEGUntUlp4ZyZRJHlhaiY7WgjFAZzDRVz6MI+yoDV&#10;iF7JqNftDqJaQ2ZAc2Et3i6bIJ0F/DwX3D3nuRWOyJTi21w4IZw7f0azKZvsgZmi5O0z2D+8omKl&#10;wqJXqCVzjByg/A2qKjloq3PX4bqKdJ6XXIQesJu4+66bbcGMCL0gOdZcabL/D5Y/HTdAyiylvUEv&#10;TuKk36dEsQpH9YLkMbWXgjx4mmpjJ5i9NRtoPYum7/mUQ+W/sRtyCtSer9SKkyMcL5PuA46LEo6h&#10;4bg/QBtRotuPDVj3ReiKeCOlgMUDoey4tq5JvaT4WlbLMluVUgYH9ruFBHJkfsrxYDhOWvRf0qQi&#10;NfbZT7D43zGS1Sj+vGySCpaJBrnfxc8FuCkZWrgrgg1J5bFF0F77dE9dQ5a3djo7I+egGzFaw1cl&#10;9rxm1m0YoPqQJtwo94xHLjU+WbcWJYWGH3+69/koCoxSUqOaU2q/HxgISuRXhXIZx0ni5R+cZDDy&#10;o4D7yK6J9Ic9jKhDtdBIZYy7a3gwfb6TFzMHXb3h4s19VQwxxbF2SncXc+GaHcPF5WI+D0koeMPc&#10;Wm0N99CeJT/R19MbA9OO3aFenvRF92zybvpNLpJ+47F1cD3CLNpV9vt374es2x/O7CcAAAD//wMA&#10;UEsDBBQABgAIAAAAIQCsCZIw3wAAAAkBAAAPAAAAZHJzL2Rvd25yZXYueG1sTI9BS8NAEIXvgv9h&#10;GcGL2E0DTZuYTakFj4KNih632TEbzM6G7LZN/73TUz0O7+O9b8r15HpxxDF0nhTMZwkIpMabjloF&#10;H+8vjysQIWoyuveECs4YYF3d3pS6MP5EOzzWsRVcQqHQCmyMQyFlaCw6HWZ+QOLsx49ORz7HVppR&#10;n7jc9TJNkkw63REvWD3g1mLzWx+cgryf6PNr8/z2YF/pHL93q9puG6Xu76bNE4iIU7zCcNFndajY&#10;ae8PZILoFWR5NmdUQZqC4Hy5yDMQewbT5QJkVcr/H1R/AAAA//8DAFBLAQItABQABgAIAAAAIQC2&#10;gziS/gAAAOEBAAATAAAAAAAAAAAAAAAAAAAAAABbQ29udGVudF9UeXBlc10ueG1sUEsBAi0AFAAG&#10;AAgAAAAhADj9If/WAAAAlAEAAAsAAAAAAAAAAAAAAAAALwEAAF9yZWxzLy5yZWxzUEsBAi0AFAAG&#10;AAgAAAAhAIHk+YpTAgAAuAQAAA4AAAAAAAAAAAAAAAAALgIAAGRycy9lMm9Eb2MueG1sUEsBAi0A&#10;FAAGAAgAAAAhAKwJkjD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772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1436570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91A3C89" id="Rectangle 3" o:spid="_x0000_s1026" style="position:absolute;margin-left:225.05pt;margin-top:1.3pt;width:31.75pt;height:6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j3VQIAALkEAAAOAAAAZHJzL2Uyb0RvYy54bWysVN9v2jAQfp+0/8Hy+0hCw6+IUDEQ06Sq&#10;RW2nPhvHIZEc2zsbAvvrd3ZCy7ppD9N4MHe+4zvfd98xvz01khwF2FqrnCaDmBKhuC5qtc/pt+fN&#10;pykl1jFVMKmVyOlZWHq7+Phh3ppMDHWlZSGAIIiyWWtyWjlnsiiyvBINswNthMJgqaFhDl3YRwWw&#10;FtEbGQ3jeBy1GgoDmgtr8XbdBeki4Jel4O6hLK1wROYU3+bCCeHc+TNazFm2B2aqmvfPYP/wiobV&#10;Cou+Qq2ZY+QA9W9QTc1BW126AddNpMuy5iL0gN0k8btunipmROgFybHmlSb7/2D5/XELpC5wdsMk&#10;vRmPJvGEEsUanNUjssfUXgpy43lqjc0w/clsofcsmr7pUwmN/8Z2yClwe37lVpwc4XiZxjc4L0o4&#10;hiaz0RhtRInefmzAui9CN8QbOQUsHhhlxzvrutRLiq9ltayLTS1lcGC/W0kgR+bHnIwns7RH/yVN&#10;KtLmdDhKsfjfMdLNNPm87pIqVogOeRTj5wLclQwtXBXBhqTy2CKIr3+6p64jy1s7XZyRdNCdGq3h&#10;mxp7vmPWbRmg/JAmXCn3gEcpNT5Z9xYllYYff7r3+agKjFLSopxzar8fGAhK5FeFepklaer1H5x0&#10;PPWjgOvIrouMJkOMqEOz0khlgstreDB9vpMXswTdvODmLX1VDDHFsXZOdxdz5bolw83lYrkMSah4&#10;w9ydejLcQ3uW/ESfTy8MTD92h3q51xfhs+zd9LtcJP2Nx97B/Qiz6HfZL+C1H7Le/nEWPwEAAP//&#10;AwBQSwMEFAAGAAgAAAAhAOs2CvvfAAAACQEAAA8AAABkcnMvZG93bnJldi54bWxMj8FOwzAMhu9I&#10;vENkJC6IpS1sbKXpNCZxRNrKJjhmrWkqEqdqsq17e8wJbrb+T78/F8vRWXHCIXSeFKSTBARS7ZuO&#10;WgW799f7OYgQNTXaekIFFwywLK+vCp03/kxbPFWxFVxCIdcKTIx9LmWoDTodJr5H4uzLD05HXodW&#10;NoM+c7mzMkuSmXS6I75gdI9rg/V3dXQKFnak/cfqZXNn3ugSP7fzyqxrpW5vxtUziIhj/IPhV5/V&#10;oWSngz9SE4RV8DhNUkYVZDMQnE/TBx4ODGZPC5BlIf9/UP4AAAD//wMAUEsBAi0AFAAGAAgAAAAh&#10;ALaDOJL+AAAA4QEAABMAAAAAAAAAAAAAAAAAAAAAAFtDb250ZW50X1R5cGVzXS54bWxQSwECLQAU&#10;AAYACAAAACEAOP0h/9YAAACUAQAACwAAAAAAAAAAAAAAAAAvAQAAX3JlbHMvLnJlbHNQSwECLQAU&#10;AAYACAAAACEAoTY491UCAAC5BAAADgAAAAAAAAAAAAAAAAAuAgAAZHJzL2Uyb0RvYy54bWxQSwEC&#10;LQAUAAYACAAAACEA6zYK+98AAAAJAQAADwAAAAAAAAAAAAAAAACv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305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 name="Rectangle 7"/>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E328C64" id="Rectangle 7" o:spid="_x0000_s1026" style="position:absolute;margin-left:225.05pt;margin-top:1.3pt;width:31.75pt;height:62.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TSTQIAALAEAAAOAAAAZHJzL2Uyb0RvYy54bWysVE2P2jAQvVfqf7B8Lwk0fEWEFQVRVVrt&#10;orLVno3jkEiO7Y4Ngf76jp3w0W3VQ1UOZsYzvPG8ecPs4VRLchRgK60y2u/FlAjFdV6pfUa/vaw/&#10;TCixjqmcSa1ERs/C0of5+3ezxqRioEstcwEEQZRNG5PR0jmTRpHlpaiZ7WkjFAYLDTVz6MI+yoE1&#10;iF7LaBDHo6jRkBvQXFiLt6s2SOcBvygEd89FYYUjMqP4NhdOCOfOn9F8xtI9MFNWvHsG+4dX1KxS&#10;WPQKtWKOkQNUv0HVFQdtdeF6XNeRLoqKi9ADdtOP33SzLZkRoRckx5orTfb/wfKn4wZIlWd0TIli&#10;NY7oK5LG1F4KMvb0NMammLU1G+g8i6bv9VRA7b+xC3IKlJ6vlIqTIxwvk/gjjokSjqHxdDhCG1Gi&#10;248NWPdZ6Jp4I6OAxQOR7PhoXZt6SfG1rJZVvq6kDA7sd0sJ5Mj8dPuj8TTp0H9Jk4o0GR0MEyz+&#10;d4xkPel/WrVJJctFizyM8XMBbkuGFu6KYENSeWwRNNc93VPXkuWtnc7PyDXoVoTW8HWFPT8y6zYM&#10;UHVIE26Se8ajkBqfrDuLklLDjz/d+3wUA0YpaVDFGbXfDwwEJfKLQplM+0niZR+cZDTxo4D7yK6N&#10;DMcDjKhDvdRIZR931vBg+nwnL2YBun7FhVv4qhhiimPtjO4u5tK1u4ULy8ViEZJQ6Ia5R7U13EN7&#10;lvxEX06vDEw3dod6edIXvbP0zfTbXCT9xmPn4FqEWXQr7Pfu3g9Ztz+a+U8A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IG/pNJNAgAAsA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742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8D37116" id="Rectangle 3" o:spid="_x0000_s1026" style="position:absolute;margin-left:225.05pt;margin-top:1.3pt;width:31.75pt;height:62.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pD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OCjF&#10;KhzRC5LG1F4K8uDpqY1NMGtrNtB6Fk3f6ymHyn9jF+QUKD1fKRUnRzhext0HHBMlHEOjyWCINqJE&#10;tx8bsO6L0BXxRkoBiwci2XFtXZN6SfG1rJZltiqlDA7sdwsJ5Mj8dHvD0SRu0X9Jk4rUKe0PYiz+&#10;d4x4Ne59XjZJBctEgzzo4ucC3JQMLdwVwYak8tgiaK59uqeuIctbO52dkWvQjQit4asSe14z6zYM&#10;UHVIE26Se8YjlxqfrFuLkkLDjz/d+3wUA0YpqVHFKbXfDwwEJfKrQplMenHsZR+ceDj2o4D7yK6J&#10;DEZ9jKhDtdBIZQ931vBg+nwnL2YOunrDhZv7qhhiimPtlO4u5sI1u4ULy8V8HpJQ6Ia5tdoa7qE9&#10;S36ir6c3BqYdu0O9POmL3lnybvpNLpJ+47F1cC3CLNoV9nt374es2x/N7CcA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EA8ukNNAgAAsA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24</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803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8346336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83FED3" id="Rectangle 3" o:spid="_x0000_s1026" style="position:absolute;margin-left:225.05pt;margin-top:1.3pt;width:31.75pt;height:62.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I5VAIAALg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TsaD&#10;eDQYjGJKFKtwVC9IHlN7KcjA01Qbm2D21myg9SyavudTDpX/xm7IKVB7vlIrTo5wvIy7AxwXJRxD&#10;D5PhCG1EiW4/NmDdF6Er4o2UAhYPhLLj2rom9ZLia1kty2xVShkc2O8WEsiR+Sn3Rg+TuEX/JU0q&#10;Uqe0P4yx+N8x4tW493nZJBUsEw3ysIufC3BTMrRwVwQbkspji6C99umeuoYsb+10dkbOQTditIav&#10;Sux5zazbMED1IU24Ue4Zj1xqfLJuLUoKDT/+dO/zURQYpaRGNafUfj8wEJTIrwrlMunFsZd/cOLR&#10;2I8C7iO7JjJ86GNEHaqFRip7uLuGB9PnO3kxc9DVGy7e3FfFEFMca6d0dzEXrtkxXFwu5vOQhII3&#10;zK3V1nAP7VnyE309vTEw7dgd6uVJX3TPknfTb3KR9BuPrYPrEWbRrrLfv3s/ZN3+cG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6XdI5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24</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905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5530751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84C584" id="Rectangle 3" o:spid="_x0000_s1026" style="position:absolute;margin-left:225.05pt;margin-top:1.3pt;width:31.75pt;height:62.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D+VAIAALgEAAAOAAAAZHJzL2Uyb0RvYy54bWysVN9v2jAQfp+0/8Hy+0hCE36JUHVFTJOq&#10;FpVOfTaOQyI5tnc2BPbX7+yEwrppD9N4MHe+4zvfd98xvz02khwE2FqrnCaDmBKhuC5qtcvpt5fV&#10;pwkl1jFVMKmVyOlJWHq7+Phh3pqZGOpKy0IAQRBlZ63JaeWcmUWR5ZVomB1oIxQGSw0Nc+jCLiqA&#10;tYjeyGgYx6Oo1VAY0FxYi7fLLkgXAb8sBXdPZWmFIzKn+DYXTgjn1p/RYs5mO2Cmqnn/DPYPr2hY&#10;rbDoG9SSOUb2UP8G1dQctNWlG3DdRLosay5CD9hNEr/rZlMxI0IvSI41bzTZ/wfLHw9rIHWR03GW&#10;3cTjLEGWFGtwVM9IHlM7KciNp6k1dobZG7OG3rNo+p6PJTT+G7shx0Dt6Y1acXSE42Ua3+C4KOEY&#10;Gk+zEdqIEl1+bMC6L0I3xBs5BSweCGWHB+u61HOKr2W1rItVLWVwYLe9l0AOzE85GY2naY/+S5pU&#10;pM3pMEux+N8x0tUk+bzskipWiA45i/FzBu5KhhauimBDUnlsEbTXP91T15Hlra0uTsg56E6M1vBV&#10;jT0/MOvWDFB9SBNulHvCo5Qan6x7i5JKw48/3ft8FAVGKWlRzTm13/cMBCXyq0K5TJM09fIPTjqa&#10;+FHAdWTbRbLxECNq39xrpDLB3TU8mD7fybNZgm5ecfHufFUMMcWxdk63Z/PedTuGi8vF3V1IQsEb&#10;5h7UxnAP7VnyE305vjIw/dgd6uVRn3XPZu+m3+Ui6RceewfXI8yiX2W/f9d+yLr84S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dkMD+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008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9154595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599382" id="Rectangle 3" o:spid="_x0000_s1026" style="position:absolute;margin-left:225.05pt;margin-top:1.3pt;width:31.75pt;height:62.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x7VAIAALgEAAAOAAAAZHJzL2Uyb0RvYy54bWysVN9v2jAQfp+0/8Hy+wihCT+ihqoDMU1C&#10;LSqd+mwch0RybO9sCOyv39kJpeumPUzjwdz5ju98333H7d2pkeQowNZa5TQeDCkRiuuiVvucfnte&#10;fZpSYh1TBZNaiZyehaV3848fbluTiZGutCwEEARRNmtNTivnTBZFlleiYXagjVAYLDU0zKEL+6gA&#10;1iJ6I6PRcDiOWg2FAc2FtXi77IJ0HvDLUnD3WJZWOCJzim9z4YRw7vwZzW9Ztgdmqpr3z2D/8IqG&#10;1QqLvkItmWPkAPVvUE3NQVtdugHXTaTLsuYi9IDdxMN33WwrZkToBcmx5pUm+/9g+cNxA6QucjqZ&#10;xWmSzlIcmGINjuoJyWNqLwW58TS1xmaYvTUb6D2Lpu/5VELjv7EbcgrUnl+pFSdHOF4mwxscFyUc&#10;Q5NZOkYbUaLrjw1Y90Xohngjp4DFA6HsuLauS72k+FpWy7pY1VIGB/a7hQRyZH7K8XgyS3r0X9Kk&#10;Im1OR2mCxf+Okaym8edll1SxQnTI6RA/F+CuZGjhTRFsSCqPLYL2+qd76jqyvLXTxRk5B92J0Rq+&#10;qrHnNbNuwwDVhzThRrlHPEqp8cm6tyipNPz4073PR1FglJIW1ZxT+/3AQFAivyqUyyxOEi//4CTj&#10;qR8FvI3sukg6GWFEHZqFRipj3F3Dg+nznbyYJejmBRfv3lfFEFMca+d0dzEXrtsxXFwu7u9DEgre&#10;MLdWW8M9tGfJT/T59MLA9GN3qJcHfdE9y95Nv8tF0q889g6uR5hFv8p+/976Iev6hzP/C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G34x7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212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1900786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AF34E17" id="Rectangle 3" o:spid="_x0000_s1026" style="position:absolute;margin-left:225.05pt;margin-top:1.3pt;width:31.75pt;height:62.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RVAIAALkEAAAOAAAAZHJzL2Uyb0RvYy54bWysVE1v2zAMvQ/YfxB0X22nzpdRp8haZBgQ&#10;tEHboWdFlmMD+hqlxsl+/SjZSbtu2GFYDgopMo/i42Ourg9Kkr0A1xpd0uwipURobqpW70r67Wn1&#10;aUaJ80xXTBotSnoUjl4vPn646mwhRqYxshJAEES7orMlbby3RZI43gjF3IWxQmOwNqCYRxd2SQWs&#10;Q3Qlk1GaTpLOQGXBcOEc3t72QbqI+HUtuL+vayc8kSXFt/l4Qjy34UwWV6zYAbNNy4dnsH94hWKt&#10;xqJnqFvmGXmB9jco1XIwztT+ghuVmLpuuYg9YDdZ+q6bx4ZZEXtBcpw90+T+Hyy/22+AtBXObpTN&#10;03Q6m4wo0UzhrB6QPaZ3UpDLwFNnXYHpj3YDg+fQDE0falDhG9shh8jt8cytOHjC8TJPL3FelHAM&#10;TefjCdqIkrz+2ILzX4RRJBglBSweGWX7tfN96ikl1HJGttWqlTI6sNveSCB7FsacTabzfED/JU1q&#10;0pV0NM6x+N8x8tUs+3zbJzWsEj3yOMXPCbgvGVt4UwQbkjpgiyi+4emBup6sYG1NdUTSwfRqdJav&#10;Wux5zZzfMED5IU24Uv4ej1oafLIZLEoaAz/+dB/yURUYpaRDOZfUfX9hICiRXzXqZZ7ledB/dPLJ&#10;LIwC3ka2fWQ8HWFEv6gbg1RmuLyWRzPke3kyazDqGTdvGapiiGmOtUu6PZk3vl8y3FwulsuYhIq3&#10;zK/1o+UBOrAUJvp0eGZgh7F71MudOQmfFe+m3+ci6a88Dg7uR5zFsMthAd/6Mev1H2fx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z5C+R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315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1017549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258A8C0" id="Rectangle 3" o:spid="_x0000_s1026" style="position:absolute;margin-left:225.05pt;margin-top:1.3pt;width:31.75pt;height:62.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FOVAIAALgEAAAOAAAAZHJzL2Uyb0RvYy54bWysVN9v2jAQfp+0/8Hy+0hCw6+IUHVFTJOq&#10;FpVOfTaOQyI5tnc2BPbX7+yEwrppD9N4MHe+4zvfd98xvz02khwE2FqrnCaDmBKhuC5qtcvpt5fV&#10;pykl1jFVMKmVyOlJWHq7+Phh3ppMDHWlZSGAIIiyWWtyWjlnsiiyvBINswNthMJgqaFhDl3YRQWw&#10;FtEbGQ3jeBy1GgoDmgtr8XbZBeki4Jel4O6pLK1wROYU3+bCCeHc+jNazFm2A2aqmvfPYP/wiobV&#10;Cou+QS2ZY2QP9W9QTc1BW126AddNpMuy5iL0gN0k8btuNhUzIvSC5FjzRpP9f7D88bAGUhc5nSVx&#10;MhmlsxtKFGtwVM9IHlM7KciNp6k1NsPsjVlD71k0fc/HEhr/jd2QY6D29EatODrC8TKNb3BclHAM&#10;TWajMdqIEl1+bMC6L0I3xBs5BSweCGWHB+u61HOKr2W1rItVLWVwYLe9l0AOzE85GU9maY/+S5pU&#10;pM3pcJRi8b9jpKtp8nnZJVWsEB3yKMbPGbgrGVq4KoINSeWxRdBe/3RPXUeWt7a6OCHnoDsxWsNX&#10;Nfb8wKxbM0D1IU24Ue4Jj1JqfLLuLUoqDT/+dO/zURQYpaRFNefUft8zEJTIrwrlMkvS1Ms/OOl4&#10;6kcB15FtFxlNhhhR++ZeI5UJ7q7hwfT5Tp7NEnTziot356tiiCmOtXO6PZv3rtsxXFwu7u5CEgre&#10;MPegNoZ7aM+Sn+jL8ZWB6cfuUC+P+qx7lr2bfpeLpF947B1cjzCLfpX9/l37Ievyh7P4C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A2XCFO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417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79513592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BA41E4F" id="Rectangle 3" o:spid="_x0000_s1026" style="position:absolute;margin-left:225.05pt;margin-top:1.3pt;width:31.75pt;height:62.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HxUwIAALkEAAAOAAAAZHJzL2Uyb0RvYy54bWysVE2P2jAQvVfqf7B8LyEQWECEFQVRVUK7&#10;aNlqz8ZxSCTHdseGQH99x0746LbqoSoHM+MZ3njevGH6eKokOQqwpVYpjTtdSoTiOivVPqXfXlef&#10;RpRYx1TGpFYipWdh6ePs44dpbSaipwstMwEEQZSd1CalhXNmEkWWF6JitqONUBjMNVTMoQv7KANW&#10;I3olo163O4xqDZkBzYW1eLtsgnQW8PNccPec51Y4IlOKb3PhhHDu/BnNpmyyB2aKkrfPYP/wioqV&#10;CoteoZbMMXKA8jeoquSgrc5dh+sq0nlechF6wG7i7rtutgUzIvSC5Fhzpcn+P1j+dNwAKTOc3cN4&#10;EPcH416PEsUqnNULssfUXgrS9zzVxk4wfWs20HoWTd/0KYfKf2M75BS4PV+5FSdHOF4m3T7OixKO&#10;Iaw0RBtRotuPDVj3ReiKeCOlgMUDo+y4tq5JvaT4WlbLMluVUgYH9ruFBHJkfszx8GGctOi/pElF&#10;6pT2BgkW/ztGshrFn5dNUsEy0SAPuvi5ADclQwt3RbAhqTy2COJrn+6pa8jy1k5nZyQddKNGa/iq&#10;xJ7XzLoNA5Qf0oQr5Z7xyKXGJ+vWoqTQ8ONP9z4fVYFRSmqUc0rt9wMDQYn8qlAv4zhJvP6DkwxH&#10;fhRwH9k1kcFDDyPqUC00Uhnj8hoeTJ/v5MXMQVdvuHlzXxVDTHGsndLdxVy4Zslwc7mYz0MSKt4w&#10;t1Zbwz20Z8lP9PX0xsC0Y3eolyd9ET6bvJt+k4uk33hsHdyPMIt2l/0C3vsh6/aPM/s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CJk0fF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520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33006186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4A3919D" id="Rectangle 3" o:spid="_x0000_s1026" style="position:absolute;margin-left:225.05pt;margin-top:1.3pt;width:31.75pt;height:6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mfUwIAALkEAAAOAAAAZHJzL2Uyb0RvYy54bWysVE2P2jAQvVfqf7B8LyEQWECEFQVRVUK7&#10;aNlqz8ZxSCTHdseGQH99x0746LbqoSoHM+MZ3njevGH6eKokOQqwpVYpjTtdSoTiOivVPqXfXlef&#10;RpRYx1TGpFYipWdh6ePs44dpbSaipwstMwEEQZSd1CalhXNmEkWWF6JitqONUBjMNVTMoQv7KANW&#10;I3olo163O4xqDZkBzYW1eLtsgnQW8PNccPec51Y4IlOKb3PhhHDu/BnNpmyyB2aKkrfPYP/wioqV&#10;CoteoZbMMXKA8jeoquSgrc5dh+sq0nlechF6wG7i7rtutgUzIvSC5Fhzpcn+P1j+dNwAKTOcXb+P&#10;fMajYUyJYhXO6gXZY2ovBel7nmpjJ5i+NRtoPYumb/qUQ+W/sR1yCtyer9yKkyMcL5NuH+dFCcfQ&#10;w3gwRBtRotuPDVj3ReiKeCOlgMUDo+y4tq5JvaT4WlbLMluVUgYH9ruFBHJkfszx8GGctOi/pElF&#10;6pT2BgkW/ztGshrFn5dNUsEy0SAPuvi5ADclQwt3RbAhqTy2COJrn+6pa8jy1k5nZyQddKNGa/iq&#10;xJ7XzLoNA5Qf0oQr5Z7xyKXGJ+vWoqTQ8ONP9z4fVYFRSmqUc0rt9wMDQYn8qlAv4zhJvP6DkwxH&#10;fhRwH9k1kcFDDyPqUC00UolSwNcF0+c7eTFz0NUbbt7cV8UQUxxrp3R3MReuWTLcXC7m85CEijfM&#10;rdXWcA/tWfITfT29MTDt2B3q5UlfhM8m76bf5CLpNx5bB/cjzKLdZb+A937Iuv3jzH4C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KDnGZ9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27</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622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3215382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1906D3E" id="Rectangle 3" o:spid="_x0000_s1026" style="position:absolute;margin-left:225.05pt;margin-top:1.3pt;width:31.75pt;height:6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fVVAIAALkEAAAOAAAAZHJzL2Uyb0RvYy54bWysVG2P2jAM/j5p/yHK91FeCgcV5cRATJPQ&#10;HTpuus8hTWmlNMmcQGG/fk5aXnab9mFapQY7No/tx3anj6dKkqMAW2qV0l6nS4lQXGel2qf02+vq&#10;05gS65jKmNRKpPQsLH2cffwwrU0i+rrQMhNAEETZpDYpLZwzSRRZXoiK2Y42QqEx11AxhyrsowxY&#10;jeiVjPrd7iiqNWQGNBfW4u2yMdJZwM9zwd1znlvhiEwp5ubCCeHc+TOaTVmyB2aKkrdpsH/IomKl&#10;wqBXqCVzjByg/A2qKjloq3PX4bqKdJ6XXIQasJpe910124IZEWpBcqy50mT/Hyx/Om6AlBn2bjjo&#10;4zvux5QoVmGvXpA9pvZSkIHnqTY2Qfet2UCrWRR90accKv+L5ZBT4PZ85VacHOF4GXcH2C9KOJoe&#10;JsMRyogS3f5swLovQlfECykFDB4YZce1dY3rxcXHslqW2aqUMiiw3y0kkCPzbe6NHiZxi/6Lm1Sk&#10;Tml/GGPwv2PEq3Hv87JxKlgmGuRhF58LcBMylHAXBAuSymOLMHxt6p66hiwv7XR2RtJBN9NoDV+V&#10;WPOaWbdhgOOHNOFKuWc8cqkxZd1KlBQafvzp3vvjVKCVkhrHOaX2+4GBoER+VTgvk14c+/kPSjwa&#10;+1bAvWXXWIYPfbSoQ7XQSGUPl9fwIHp/Jy9iDrp6w82b+6hoYopj7JTuLuLCNUuGm8vFfB6ccOIN&#10;c2u1NdxDe5Z8R19PbwxM23aH8/KkL4PPknfdb3yR9BuPrYL7EXrR7rJfwHs9eN2+OLOf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lflfV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31</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724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98990116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E04F816" id="Rectangle 3" o:spid="_x0000_s1026" style="position:absolute;margin-left:225.05pt;margin-top:1.3pt;width:31.75pt;height:62.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TfVAIAALkEAAAOAAAAZHJzL2Uyb0RvYy54bWysVE1v2zAMvQ/YfxB0X22nzifiFFmKDAOC&#10;tmg69KzIcmxAX6PUON2vHyU7adYNOwzLQSFF5lF8fMz85qgkOQhwjdEFza5SSoTmpmz0vqDfntaf&#10;JpQ4z3TJpNGioK/C0ZvFxw/z1s7EwNRGlgIIgmg3a21Ba+/tLEkcr4Vi7spYoTFYGVDMowv7pATW&#10;IrqSySBNR0lroLRguHAOb2+7IF1E/KoS3N9XlROeyILi23w8IZ67cCaLOZvtgdm64f0z2D+8QrFG&#10;Y9Ez1C3zjLxA8xuUajgYZyp/xY1KTFU1XMQesJssfdfNtmZWxF6QHGfPNLn/B8vvDg9AmhJnN51M&#10;p2mWjXJKNFM4q0dkj+m9FOQ68NRaN8P0rX2A3nNohqaPFajwje2QY+T29cytOHrC8TJPr3FelHAM&#10;jafDEdqIkrz92ILzX4RRJBgFBSweGWWHjfNd6ikl1HJGNuW6kTI6sN+tJJADC2PORuNp3qP/kiY1&#10;aQs6GOZY/O8Y+XqSfb7tkmpWig55mOLnBNyVjC1cFMGGpA7YIoqvf3qgriMrWDtTviLpYDo1OsvX&#10;Dfa8Yc4/MED5IU24Uv4ej0oafLLpLUpqAz/+dB/yURUYpaRFORfUfX9hICiRXzXqZZrledB/dPLR&#10;JIwCLiO7LjIcDzCiX9TKIJUZLq/l0Qz5Xp7MCox6xs1bhqoYYppj7YLuTubKd0uGm8vFchmTUPGW&#10;+Y3eWh6gA0thok/HZwa2H7tHvdyZk/DZ7N30u1wk/Y3H3sH9iLPodzks4KUfs97+cRY/AQ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CgAtTf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30</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625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0143017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B48325F" id="Rectangle 3" o:spid="_x0000_s1026" style="position:absolute;margin-left:225.05pt;margin-top:1.3pt;width:31.75pt;height:6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jUwIAALgEAAAOAAAAZHJzL2Uyb0RvYy54bWysVE1v2zAMvQ/YfxB0X2ynzifiFFmCDAOK&#10;Nmg79KzIcmxAX6PUON2vHyU7bdYNOwzLQSFF5lF8fMzi+qQkOQpwjdEFzQYpJUJzUzb6UNBvj9tP&#10;U0qcZ7pk0mhR0Bfh6PXy44dFa+diaGojSwEEQbSbt7agtfd2niSO10IxNzBWaAxWBhTz6MIhKYG1&#10;iK5kMkzTcdIaKC0YLpzD200XpMuIX1WC+7uqcsITWVB8m48nxHMfzmS5YPMDMFs3vH8G+4dXKNZo&#10;LPoKtWGekWdofoNSDQfjTOUH3KjEVFXDRewBu8nSd9081MyK2AuS4+wrTe7/wfLb4w5IUxZ0kmb5&#10;VZpNcGCaKRzVPZLH9EEKchVoaq2bY/aD3UHvOTRDz6cKVPjGbsgpUvvySq04ecLxMk+vcFyUcAxN&#10;ZqMx2oiSvP3YgvNfhFEkGAUFLB4JZccb57vUc0qo5Yxsym0jZXTgsF9LIEcWppyNJ7O8R/8lTWrS&#10;FnQ4yrH43zHy7TT7vOmSalaKDnmU4ucM3JWMLVwUwYakDtgiaq9/eqCuIytYe1O+IOdgOjE6y7cN&#10;9nzDnN8xQPUhTbhR/g6PShp8suktSmoDP/50H/JRFBilpEU1F9R9f2YgKJFfNcplluV5kH908vE0&#10;jAIuI/suMpoMMaKf1doglRnuruXRDPlens0KjHrCxVuFqhhimmPtgu7P5tp3O4aLy8VqFZNQ8Jb5&#10;G/1geYAOLIWJPp6eGNh+7B71cmvOumfzd9PvcpH0Nx57B9cjzqJf5bB/l37MevvDWf4E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IFj/SN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w:t>
    </w:r>
    <w:r>
      <w:rPr>
        <w:rFonts w:ascii="Verdana" w:hAnsi="Verdana"/>
        <w:b/>
        <w:noProof/>
        <w:color w:val="FFFFFF"/>
        <w:sz w:val="18"/>
        <w:szCs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827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7392058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AB1BEF0" id="Rectangle 3" o:spid="_x0000_s1026" style="position:absolute;margin-left:225.05pt;margin-top:1.3pt;width:31.75pt;height:6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yCVAIAALkEAAAOAAAAZHJzL2Uyb0RvYy54bWysVE2P2jAQvVfqf7B8LwkQPkVYURBVpdUu&#10;Wrbas3EcEsmx3bEh0F/fsRM+uq16qMrBzHiGN543b5g9nCpJjgJsqVVKu52YEqG4zkq1T+m31/Wn&#10;MSXWMZUxqZVI6VlY+jD/+GFWm6no6ULLTABBEGWntUlp4ZyZRpHlhaiY7WgjFAZzDRVz6MI+yoDV&#10;iF7JqBfHw6jWkBnQXFiLt6smSOcBP88Fd895boUjMqX4NhdOCOfOn9F8xqZ7YKYoefsM9g+vqFip&#10;sOgVasUcIwcof4OqSg7a6tx1uK4ineclF6EH7KYbv+tmWzAjQi9IjjVXmuz/g+VPxw2QMsPZJaP+&#10;pBcPxjgxxSqc1Quyx9ReCtL3PNXGTjF9azbQehZN3/Qph8p/YzvkFLg9X7kVJ0c4XiZxH+dFCcfQ&#10;aDIYoo0o0e3HBqz7InRFvJFSwOKBUXZ8tK5JvaT4WlbLMluXUgYH9rulBHJkfszd4WiStOi/pElF&#10;6pT2BgkW/ztGsh53P6+apIJlokEexPi5ADclQwt3RbAhqTy2COJrn+6pa8jy1k5nZyQddKNGa/i6&#10;xJ4fmXUbBig/pAlXyj3jkUuNT9atRUmh4cef7n0+qgKjlNQo55Ta7wcGghL5VaFeJt0k8foPTjIc&#10;+1HAfWTXRAajHkbUoVpqpLKLy2t4MH2+kxczB1294eYtfFUMMcWxdkp3F3PpmiXDzeVisQhJqHjD&#10;3KPaGu6hPUt+oq+nNwamHbtDvTzpi/DZ9N30m1wk/cZj6+B+hFm0u+wX8N4PWbd/nPlPAA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DemoyC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929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3845131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891DDC3" id="Rectangle 3" o:spid="_x0000_s1026" style="position:absolute;margin-left:225.05pt;margin-top:1.3pt;width:31.75pt;height:62.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3MUwIAALg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iylo/44&#10;GcT9eECJYhWO6gXJY2ovBel7mmpjp5i9NRtoPYum7/mUQ+W/sRtyCtSer9SKkyMcL5NuH8dFCcfQ&#10;aDIYoo0o0e3HBqz7InRFvJFSwOKBUHZ8tK5JvaT4WlbLMluXUgYH9rulBHJkfsrxcDRJWvRf0qQi&#10;dUp7gwSL/x0jWY/jz6smqWCZaJAHXfxcgJuSoYW7ItiQVB5bBO21T/fUNWR5a6ezM3IOuhGjNXxd&#10;Ys+PzLoNA1Qf0oQb5Z7xyKXGJ+vWoqTQ8ONP9z4fRYFRSmpUc0rt9wMDQYn8qlAukzhJvPyDkwzH&#10;fhRwH9k1kcGohxF1qJYaqYx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JBTDcx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32</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032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5770287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024A865" id="Rectangle 3" o:spid="_x0000_s1026" style="position:absolute;margin-left:225.05pt;margin-top:1.3pt;width:31.75pt;height:6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0SUwIAALgEAAAOAAAAZHJzL2Uyb0RvYy54bWysVE2P2jAQvVfqf7B8Lwls+BRhRUFUldAu&#10;Wrbas3EcEsmx3bEh0F/fsRM+uq16qMrBzHiGN543b5g+nipJjgJsqVVKu52YEqG4zkq1T+m319Wn&#10;ESXWMZUxqZVI6VlY+jj7+GFam4no6ULLTABBEGUntUlp4ZyZRJHlhaiY7WgjFAZzDRVz6MI+yoDV&#10;iF7JqBfHg6jWkBnQXFiLt8smSGcBP88Fd895boUjMqX4NhdOCOfOn9FsyiZ7YKYoefsM9g+vqFip&#10;sOgVaskcIwcof4OqSg7a6tx1uK4ineclF6EH7KYbv+tmWzAjQi9IjjVXmuz/g+VPxw2QMkvpqD8c&#10;xr3RcEyJYhWO6gXJY2ovBXnwNNXGTjB7azbQehZN3/Mph8p/YzfkFKg9X6kVJ0c4XibxA46LEo6h&#10;4bg/QBtRotuPDVj3ReiKeCOlgMUDoey4tq5JvaT4WlbLMluVUgYH9ruFBHJkfsrdwXCctOi/pElF&#10;6pT2+gkW/ztGshp1Py+bpIJlokHux/i5ADclQwt3RbAhqTy2CNprn+6pa8jy1k5nZ+QcdCNGa/iq&#10;xJ7XzLoNA1Qf0oQb5Z7xyKXGJ+vWoqTQ8ONP9z4fRYFRSmpUc0rt9wMDQYn8qlAu426SePkHJxmM&#10;/CjgPrJrIv1hDyPqUC00UtnF3TU8mD7fyYuZg67ecPHmviqGmOJYO6W7i7lwzY7h4nIxn4ckFLxh&#10;bq22hntoz5Kf6OvpjYFpx+5QL0/6ons2eTf9JhdJv/HYOrgeYRbtKvv9u/dD1u0PZ/YT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IxJvRJ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31</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134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7943515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A3EAA47" id="Rectangle 3" o:spid="_x0000_s1026" style="position:absolute;margin-left:225.05pt;margin-top:1.3pt;width:31.75pt;height:6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GUwIAALkEAAAOAAAAZHJzL2Uyb0RvYy54bWysVE2P2jAQvVfqf7B8LyEQWECEFQVRVUK7&#10;aNlqz8ZxSCTHdseGQH99x0746LbqoSoHM+MZ3njevGH6eKokOQqwpVYpjTtdSoTiOivVPqXfXlef&#10;RpRYx1TGpFYipWdh6ePs44dpbSaipwstMwEEQZSd1CalhXNmEkWWF6JitqONUBjMNVTMoQv7KANW&#10;I3olo163O4xqDZkBzYW1eLtsgnQW8PNccPec51Y4IlOKb3PhhHDu/BnNpmyyB2aKkrfPYP/wioqV&#10;CoteoZbMMXKA8jeoquSgrc5dh+sq0nlechF6wG7i7rtutgUzIvSC5Fhzpcn+P1j+dNwAKTOcXfIw&#10;TvqDeNCnRLEKZ/WC7DG1l4L0PU+1sRNM35oNtJ5F0zd9yqHy39gOOQVuz1duxckRjpdJt4/zooRj&#10;6GE8GKKNKNHtxwas+yJ0RbyRUsDigVF2XFvXpF5SfC2rZZmtSimDA/vdQgI5Mj/meIidtOi/pElF&#10;6pT2BgkW/ztGshrFn5dNUsEy0SAPuvi5ADclQwt3RbAhqTy2COJrn+6pa8jy1k5nZyQddKNGa/iq&#10;xJ7XzLoNA5Qf0oQr5Z7xyKXGJ+vWoqTQ8ONP9z4fVYFRSmqUc0rt9wMDQYn8qlAv4zhJvP6DkwxH&#10;fhRwH9k1kcFDDyPqUC00Uhnj8hoeTJ/v5MXMQVdvuHlzXxVDTHGsndLdxVy4Zslwc7mYz0MSKt4w&#10;t1Zbwz20Z8lP9PX0xsC0Y3eolyd9ET6bvJt+k4uk33hsHdyPMIt2l/0C3vsh6/aPM/s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LZ0n4ZTAgAAuQ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33</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236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43129709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C93B91B" id="Rectangle 3" o:spid="_x0000_s1026" style="position:absolute;margin-left:225.05pt;margin-top:1.3pt;width:31.75pt;height:62.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CKVAIAALgEAAAOAAAAZHJzL2Uyb0RvYy54bWysVE1v2zAMvQ/YfxB0X2wnzpcRp+gaZBhQ&#10;tEXboWdFlmMD+hqlxul+/SjZSbtu2GFYDgopMo/i42NWF0clyUGAa40uaTZKKRGam6rV+5J+e9x+&#10;WlDiPNMVk0aLkr4IRy/WHz+sOluIsWmMrAQQBNGu6GxJG+9tkSSON0IxNzJWaAzWBhTz6MI+qYB1&#10;iK5kMk7TWdIZqCwYLpzD200fpOuIX9eC+9u6dsITWVJ8m48nxHMXzmS9YsUemG1aPjyD/cMrFGs1&#10;Fj1DbZhn5Bna36BUy8E4U/sRNyoxdd1yEXvAbrL0XTcPDbMi9oLkOHumyf0/WH5zuAPSViXNJ9l4&#10;OU+XE0o0UziqeySP6b0UZBJo6qwrMPvB3sHgOTRDz8caVPjGbsgxUvtyplYcPeF4macTHBclHEPz&#10;5XSGNqIkrz+24PwXYRQJRkkBi0dC2eHa+T71lBJqOSPbattKGR3Y764kkAMLU85m82U+oP+SJjXp&#10;Sjqe5lj87xj5dpF93vRJDatEjzxN8XMC7kvGFt4UwYakDtgiam94eqCuJytYO1O9IOdgejE6y7ct&#10;9nzNnL9jgOpDmnCj/C0etTT4ZDNYlDQGfvzpPuSjKDBKSYdqLqn7/sxAUCK/apTLMsvzIP/o5LNF&#10;GAW8jez6yHQ+xoh+VlcGqcxwdy2PZsj38mTWYNQTLt5lqIohpjnWLunuZF75fsdwcbm4vIxJKHjL&#10;/LV+sDxAB5bCRB+PTwzsMHaPerkxJ92z4t30+1wk/ZXHwcH1iLMYVjns31s/Zr3+4ax/Ag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iAvCKVAIAALg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34</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339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84093061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0F4C793" id="Rectangle 3" o:spid="_x0000_s1026" style="position:absolute;margin-left:225.05pt;margin-top:1.3pt;width:31.75pt;height:62.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jJVAIAALkEAAAOAAAAZHJzL2Uyb0RvYy54bWysVFFv2jAQfp+0/2D5fSSBQCFqqBiIaRJq&#10;Udupz8ZxSCTH9s6GwH79zk4oXTftYRoP5s53fOf77jtu706NJEcBttYqp8kgpkQorota7XP67Xn9&#10;aUqJdUwVTGolcnoWlt7NP364bU0mhrrSshBAEETZrDU5rZwzWRRZXomG2YE2QmGw1NAwhy7sowJY&#10;i+iNjIZxPIlaDYUBzYW1eLvqgnQe8MtScPdQllY4InOKb3PhhHDu/BnNb1m2B2aqmvfPYP/wiobV&#10;Cou+Qq2YY+QA9W9QTc1BW126AddNpMuy5iL0gN0k8btunipmROgFybHmlSb7/2D5/XELpC5wdtM0&#10;no3iSTKjRLEGZ/WI7DG1l4KMPE+tsRmmP5kt9J5F0zd9KqHx39gOOQVuz6/cipMjHC/TeITzooRj&#10;6GY2nqCNKNH1xwas+yJ0Q7yRU8DigVF23FjXpV5SfC2rZV2saymDA/vdUgI5Mj/mZHIzS3v0X9Kk&#10;Im1Oh+MUi/8dI11Pk8+rLqliheiQxzF+LsBdydDCmyLYkFQeWwTx9U/31HVkeWunizOSDrpTozV8&#10;XWPPG2bdlgHKD2nClXIPeJRS45N1b1FSafjxp3ufj6rAKCUtyjmn9vuBgaBEflWol1mSpl7/wUkn&#10;Uz8KeBvZdZHxzRAj6tAsNVKZ4PIaHkyf7+TFLEE3L7h5C18VQ0xxrJ3T3cVcum7JcHO5WCxCEire&#10;MLdRT4Z7aM+Sn+jz6YWB6cfuUC/3+iJ8lr2bfpeLpF957B3cjzCLfpf9Ar71Q9b1H2f+EwAA//8D&#10;AFBLAwQUAAYACAAAACEA6zYK+98AAAAJAQAADwAAAGRycy9kb3ducmV2LnhtbEyPwU7DMAyG70i8&#10;Q2QkLoilLWxspek0JnFE2somOGataSoSp2qyrXt7zAlutv5Pvz8Xy9FZccIhdJ4UpJMEBFLtm45a&#10;Bbv31/s5iBA1Ndp6QgUXDLAsr68KnTf+TFs8VbEVXEIh1wpMjH0uZagNOh0mvkfi7MsPTkdeh1Y2&#10;gz5zubMyS5KZdLojvmB0j2uD9Xd1dAoWdqT9x+plc2fe6BI/t/PKrGulbm/G1TOIiGP8g+FXn9Wh&#10;ZKeDP1IThFXwOE1SRhVkMxCcT9MHHg4MZk8LkGUh/39Q/gAAAP//AwBQSwECLQAUAAYACAAAACEA&#10;toM4kv4AAADhAQAAEwAAAAAAAAAAAAAAAAAAAAAAW0NvbnRlbnRfVHlwZXNdLnhtbFBLAQItABQA&#10;BgAIAAAAIQA4/SH/1gAAAJQBAAALAAAAAAAAAAAAAAAAAC8BAABfcmVscy8ucmVsc1BLAQItABQA&#10;BgAIAAAAIQBhyvjJVAIAALkEAAAOAAAAAAAAAAAAAAAAAC4CAABkcnMvZTJvRG9jLnhtbFBLAQIt&#10;ABQABgAIAAAAIQDrNgr73wAAAAkBAAAPAAAAAAAAAAAAAAAAAK4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35</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441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1711263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A3A8911" id="Rectangle 3" o:spid="_x0000_s1026" style="position:absolute;margin-left:225.05pt;margin-top:1.3pt;width:31.75pt;height:6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Y2UwIAALg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iylk3gU&#10;x71hf0iJYhWO6gXJY2ovBel7mmpjp5i9NRtoPYum7/mUQ+W/sRtyCtSer9SKkyMcL5NuH8dFCcfQ&#10;aDIYoo0o0e3HBqz7InRFvJFSwOKBUHZ8tK5JvaT4WlbLMluXUgYH9rulBHJkfsrxcDRJWvRf0qQi&#10;dUp7gwSL/x0jWY/jz6smqWCZaJAHXfxcgJuSoYW7ItiQVB5bBO21T/fUNWR5a6ezM3IOuhGjNXxd&#10;Ys+PzLoNA1Qf0oQb5Z7xyKXGJ+vWoqTQ8ONP9z4fRYFRSmpUc0rt9wMDQYn8qlAukzhJvPyDkwzH&#10;fhRwH9k1kcGohxF1qJYaqYxxdw0Pps938mLmoKs3XLyFr4ohpjjWTunuYi5ds2O4uFwsFiEJBW+Y&#10;e1Rbwz20Z8lP9PX0xsC0Y3eolyd90T2bvpt+k4uk33hsHVyPMIt2lf3+3fsh6/aHM/8JAAD//wMA&#10;UEsDBBQABgAIAAAAIQDrNgr73wAAAAkBAAAPAAAAZHJzL2Rvd25yZXYueG1sTI/BTsMwDIbvSLxD&#10;ZCQuiKUtbGyl6TQmcUTayiY4Zq1pKhKnarKte3vMCW62/k+/PxfL0VlxwiF0nhSkkwQEUu2bjloF&#10;u/fX+zmIEDU12npCBRcMsCyvrwqdN/5MWzxVsRVcQiHXCkyMfS5lqA06HSa+R+Lsyw9OR16HVjaD&#10;PnO5szJLkpl0uiO+YHSPa4P1d3V0ChZ2pP3H6mVzZ97oEj+388qsa6Vub8bVM4iIY/yD4Vef1aFk&#10;p4M/UhOEVfA4TVJGFWQzEJxP0wceDgxmTwuQZSH/f1D+AAAA//8DAFBLAQItABQABgAIAAAAIQC2&#10;gziS/gAAAOEBAAATAAAAAAAAAAAAAAAAAAAAAABbQ29udGVudF9UeXBlc10ueG1sUEsBAi0AFAAG&#10;AAgAAAAhADj9If/WAAAAlAEAAAsAAAAAAAAAAAAAAAAALwEAAF9yZWxzLy5yZWxzUEsBAi0AFAAG&#10;AAgAAAAhAKM4FjZTAgAAuAQAAA4AAAAAAAAAAAAAAAAALgIAAGRycy9lMm9Eb2MueG1sUEsBAi0A&#10;FAAGAAgAAAAhAOs2CvvfAAAACQEAAA8AAAAAAAAAAAAAAAAArQQAAGRycy9kb3ducmV2LnhtbFBL&#10;BQYAAAAABAAEAPMAAAC5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p/>
  </w:footnote>
  <w:footnote w:type="continuationSeparator" w:id="0">
    <w:p>
      <w:r>
        <w:continuationSeparator/>
      </w:r>
    </w:p>
    <w:p/>
  </w:footnote>
  <w:footnote w:id="1">
    <w:p>
      <w:pPr>
        <w:pStyle w:val="Default"/>
        <w:rPr>
          <w:rFonts w:ascii="Verdana" w:eastAsia="Times New Roman" w:hAnsi="Verdana" w:cs="EUAlbertina"/>
          <w:sz w:val="16"/>
          <w:szCs w:val="16"/>
          <w:lang w:eastAsia="en-GB"/>
        </w:rPr>
      </w:pPr>
      <w:r>
        <w:rPr>
          <w:rStyle w:val="FootnoteReference"/>
          <w:rFonts w:ascii="Verdana" w:hAnsi="Verdana"/>
          <w:sz w:val="14"/>
        </w:rPr>
        <w:footnoteRef/>
      </w:r>
      <w:r>
        <w:rPr>
          <w:rFonts w:ascii="Verdana" w:hAnsi="Verdana"/>
          <w:sz w:val="14"/>
        </w:rPr>
        <w:t xml:space="preserve"> </w:t>
      </w:r>
      <w:r>
        <w:rPr>
          <w:rFonts w:ascii="Verdana" w:hAnsi="Verdana"/>
          <w:noProof/>
          <w:color w:val="auto"/>
          <w:sz w:val="14"/>
        </w:rPr>
        <w:t>ОВ L 210, 6.8.2013 г., стр. 1.</w:t>
      </w:r>
    </w:p>
  </w:footnote>
  <w:footnote w:id="2">
    <w:p>
      <w:pPr>
        <w:pStyle w:val="Default"/>
        <w:rPr>
          <w:sz w:val="16"/>
          <w:szCs w:val="16"/>
        </w:rPr>
      </w:pPr>
      <w:r>
        <w:rPr>
          <w:rStyle w:val="FootnoteReference"/>
          <w:rFonts w:ascii="Verdana" w:hAnsi="Verdana"/>
          <w:sz w:val="16"/>
        </w:rPr>
        <w:footnoteRef/>
      </w:r>
      <w:r>
        <w:rPr>
          <w:rStyle w:val="FootnoteReference"/>
          <w:rFonts w:ascii="Verdana" w:hAnsi="Verdana"/>
          <w:sz w:val="16"/>
        </w:rPr>
        <w:t xml:space="preserve"> </w:t>
      </w:r>
      <w:r>
        <w:rPr>
          <w:rStyle w:val="FootnoteReference"/>
          <w:rFonts w:ascii="Verdana" w:hAnsi="Verdana"/>
          <w:sz w:val="16"/>
          <w:vertAlign w:val="baseline"/>
        </w:rPr>
        <w:t>Регламент</w:t>
      </w:r>
      <w:r>
        <w:rPr>
          <w:rStyle w:val="FootnoteReference"/>
          <w:rFonts w:ascii="Verdana" w:hAnsi="Verdana"/>
          <w:sz w:val="16"/>
        </w:rPr>
        <w:t xml:space="preserve"> </w:t>
      </w:r>
      <w:r>
        <w:rPr>
          <w:rFonts w:ascii="Verdana" w:hAnsi="Verdana"/>
          <w:sz w:val="16"/>
        </w:rPr>
        <w:t>(ЕС) 2018/1877</w:t>
      </w:r>
      <w:r>
        <w:rPr>
          <w:rStyle w:val="FootnoteReference"/>
          <w:rFonts w:ascii="Verdana" w:hAnsi="Verdana"/>
          <w:sz w:val="16"/>
          <w:vertAlign w:val="baseline"/>
        </w:rPr>
        <w:t xml:space="preserve"> на Съвета от 26 ноември 2018 г. относно финансовия регламент, приложим за 11-ия Европейски фонд за развитие, и за отмяна на Регламент (ЕС) 2015/323</w:t>
      </w:r>
    </w:p>
  </w:footnote>
  <w:footnote w:id="3">
    <w:p>
      <w:pPr>
        <w:pStyle w:val="Text8pNormalLeft"/>
        <w:jc w:val="both"/>
        <w:rPr>
          <w:sz w:val="14"/>
          <w:szCs w:val="14"/>
        </w:rPr>
      </w:pPr>
      <w:r>
        <w:rPr>
          <w:rStyle w:val="FootnoteReference"/>
          <w:sz w:val="14"/>
        </w:rPr>
        <w:footnoteRef/>
      </w:r>
      <w:r>
        <w:rPr>
          <w:sz w:val="14"/>
        </w:rPr>
        <w:t xml:space="preserve"> В съответствие с член 53 от Финансовия регламент, приложим за 11-ия Европейски фонд за развитие, касовата наличност е представена в счетоводния баланс на 11-ия ЕФР. Естеството на различните банкови сметки е посочено в глава 5 — Управление на финансовия риск.</w:t>
      </w:r>
    </w:p>
  </w:footnote>
  <w:footnote w:id="4">
    <w:p>
      <w:pPr>
        <w:pStyle w:val="FootnoteText"/>
      </w:pPr>
      <w:r>
        <w:rPr>
          <w:rStyle w:val="FootnoteReference"/>
        </w:rPr>
        <w:footnoteRef/>
      </w:r>
      <w:r>
        <w:t xml:space="preserve"> Регламент (ЕС, Евратом) 2018/1046 на Европейския парламент и на Съвета от 18 юли 2018 г. за финансовите правила, приложими за общия бюджет на Съюза,</w:t>
      </w:r>
    </w:p>
  </w:footnote>
  <w:footnote w:id="5">
    <w:p>
      <w:pPr>
        <w:pStyle w:val="FootnoteText"/>
      </w:pPr>
      <w:r>
        <w:rPr>
          <w:rStyle w:val="FootnoteReference"/>
        </w:rPr>
        <w:footnoteRef/>
      </w:r>
      <w:r>
        <w:t xml:space="preserve"> Регламент (ЕС) 2018/1877 на Съвета от 26 ноември 2018 г. относно финансовия регламент, приложим за 11-ия Европейски фонд за развитие, и за отмяна на Регламент (ЕС) 2015/323.</w:t>
      </w:r>
    </w:p>
  </w:footnote>
  <w:footnote w:id="6">
    <w:p>
      <w:pPr>
        <w:pStyle w:val="FootnoteText"/>
      </w:pPr>
      <w:r>
        <w:rPr>
          <w:rStyle w:val="FootnoteReference"/>
        </w:rPr>
        <w:footnoteRef/>
      </w:r>
      <w:r>
        <w:t xml:space="preserve"> Регламент (ЕС, Евратом) 2018/1046 на Европейския парламент и на Съвета от 18 юли 2018 г. за финансовите правила, приложими за общия бюджет на Съюза.</w:t>
      </w:r>
    </w:p>
  </w:footnote>
  <w:footnote w:id="7">
    <w:p>
      <w:pPr>
        <w:pStyle w:val="FootnoteText"/>
      </w:pPr>
      <w:r>
        <w:rPr>
          <w:rStyle w:val="FootnoteReference"/>
        </w:rPr>
        <w:footnoteRef/>
      </w:r>
      <w:r>
        <w:t xml:space="preserve"> Регламент (ЕС) 2018/1877 на Съвета от 26 ноември 2018 г. относно финансовия регламент, приложим за 11-ия Европейски фонд за развитие, и за отмяна на Регламент (ЕС) 2015/323.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
      <w:pBdr>
        <w:top w:val="nil"/>
        <w:left w:val="nil"/>
        <w:bottom w:val="nil"/>
        <w:right w:val="nil"/>
        <w:between w:val="nil"/>
        <w:bar w:val="nil"/>
      </w:pBdr>
      <w:spacing w:after="200" w:line="276" w:lineRule="auto"/>
      <w:rPr>
        <w:sz w:val="22"/>
        <w:szCs w:val="22"/>
        <w:bdr w:val="nil"/>
      </w:rP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
      <w:pBdr>
        <w:top w:val="nil"/>
        <w:left w:val="nil"/>
        <w:bottom w:val="nil"/>
        <w:right w:val="nil"/>
        <w:between w:val="nil"/>
        <w:bar w:val="nil"/>
      </w:pBdr>
      <w:jc w:val="center"/>
      <w:rPr>
        <w:rFonts w:ascii="Arial" w:hAnsi="Arial"/>
        <w:b/>
        <w:bdr w:val="nil"/>
      </w:rPr>
    </w:pPr>
    <w:r>
      <w:rPr>
        <w:rFonts w:ascii="Arial" w:hAnsi="Arial"/>
        <w:b/>
        <w:bdr w:val="nil"/>
      </w:rPr>
      <w:t>ИНВЕСТИЦИОНЕН МЕХАНИЗЪМ</w:t>
    </w:r>
  </w:p>
  <w:p>
    <w:pPr>
      <w:pStyle w:val="Header1"/>
      <w:pBdr>
        <w:top w:val="nil"/>
        <w:left w:val="nil"/>
        <w:bottom w:val="nil"/>
        <w:right w:val="nil"/>
        <w:between w:val="nil"/>
        <w:bar w:val="nil"/>
      </w:pBdr>
      <w:jc w:val="center"/>
      <w:rPr>
        <w:rFonts w:ascii="Arial" w:hAnsi="Arial"/>
        <w:b/>
        <w:bdr w:val="nil"/>
      </w:rP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фонд за развитие за 2018 г.</w:t>
    </w:r>
  </w:p>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00"/>
      <w:pBdr>
        <w:top w:val="nil"/>
        <w:left w:val="nil"/>
        <w:bottom w:val="nil"/>
        <w:right w:val="nil"/>
        <w:between w:val="nil"/>
        <w:bar w:val="nil"/>
      </w:pBdr>
      <w:jc w:val="center"/>
      <w:rPr>
        <w:rFonts w:ascii="Arial" w:hAnsi="Arial"/>
        <w:b/>
        <w:bdr w:val="nil"/>
      </w:rPr>
    </w:pPr>
    <w:r>
      <w:rPr>
        <w:rFonts w:ascii="Arial" w:hAnsi="Arial"/>
        <w:b/>
        <w:bdr w:val="nil"/>
      </w:rPr>
      <w:t>ИНВЕСТИЦИОНЕН МЕХАНИЗЪМ</w:t>
    </w:r>
  </w:p>
  <w:p>
    <w:pPr>
      <w:pStyle w:val="Header100"/>
      <w:pBdr>
        <w:top w:val="nil"/>
        <w:left w:val="nil"/>
        <w:bottom w:val="nil"/>
        <w:right w:val="nil"/>
        <w:between w:val="nil"/>
        <w:bar w:val="nil"/>
      </w:pBdr>
      <w:jc w:val="center"/>
      <w:rPr>
        <w:rFonts w:ascii="Arial" w:hAnsi="Arial"/>
        <w:b/>
        <w:bdr w:val="nil"/>
      </w:rP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8"/>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300"/>
      <w:pBdr>
        <w:top w:val="nil"/>
        <w:left w:val="nil"/>
        <w:bottom w:val="nil"/>
        <w:right w:val="nil"/>
        <w:between w:val="nil"/>
        <w:bar w:val="nil"/>
      </w:pBdr>
      <w:jc w:val="center"/>
      <w:rPr>
        <w:rFonts w:ascii="Arial" w:hAnsi="Arial"/>
        <w:b/>
        <w:bdr w:val="nil"/>
      </w:rPr>
    </w:pPr>
    <w:r>
      <w:rPr>
        <w:rFonts w:ascii="Arial" w:hAnsi="Arial"/>
        <w:b/>
        <w:bdr w:val="nil"/>
      </w:rPr>
      <w:t>ИНВЕСТИЦИОНЕН МЕХАНИЗЪМ</w:t>
    </w:r>
  </w:p>
  <w:p>
    <w:pPr>
      <w:pStyle w:val="Header300"/>
      <w:pBdr>
        <w:top w:val="nil"/>
        <w:left w:val="nil"/>
        <w:bottom w:val="nil"/>
        <w:right w:val="nil"/>
        <w:between w:val="nil"/>
        <w:bar w:val="nil"/>
      </w:pBdr>
      <w:jc w:val="center"/>
      <w:rPr>
        <w:rFonts w:ascii="Arial" w:hAnsi="Arial"/>
        <w:b/>
        <w:bdr w:val="nil"/>
      </w:rP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9"/>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50"/>
      <w:pBdr>
        <w:top w:val="nil"/>
        <w:left w:val="nil"/>
        <w:bottom w:val="nil"/>
        <w:right w:val="nil"/>
        <w:between w:val="nil"/>
        <w:bar w:val="nil"/>
      </w:pBdr>
      <w:jc w:val="center"/>
      <w:rPr>
        <w:rFonts w:ascii="Arial" w:hAnsi="Arial"/>
        <w:b/>
        <w:bdr w:val="nil"/>
      </w:rPr>
    </w:pPr>
    <w:r>
      <w:rPr>
        <w:rFonts w:ascii="Arial" w:hAnsi="Arial"/>
        <w:b/>
        <w:bdr w:val="nil"/>
      </w:rPr>
      <w:t>ИНВЕСТИЦИОНЕН МЕХАНИЗЪМ</w:t>
    </w:r>
  </w:p>
  <w:p>
    <w:pPr>
      <w:pStyle w:val="Header50"/>
      <w:pBdr>
        <w:top w:val="nil"/>
        <w:left w:val="nil"/>
        <w:bottom w:val="nil"/>
        <w:right w:val="nil"/>
        <w:between w:val="nil"/>
        <w:bar w:val="nil"/>
      </w:pBdr>
      <w:jc w:val="center"/>
      <w:rPr>
        <w:rFonts w:ascii="Arial" w:hAnsi="Arial"/>
        <w:b/>
        <w:bdr w:val="nil"/>
      </w:rP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9"/>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
      <w:pBdr>
        <w:top w:val="nil"/>
        <w:left w:val="nil"/>
        <w:bottom w:val="nil"/>
        <w:right w:val="nil"/>
        <w:between w:val="nil"/>
        <w:bar w:val="nil"/>
      </w:pBdr>
      <w:jc w:val="center"/>
      <w:rPr>
        <w:rFonts w:ascii="Arial" w:hAnsi="Arial"/>
        <w:b/>
        <w:bdr w:val="nil"/>
      </w:rPr>
    </w:pPr>
    <w:r>
      <w:rPr>
        <w:rFonts w:ascii="Arial" w:hAnsi="Arial"/>
        <w:b/>
        <w:bdr w:val="nil"/>
      </w:rPr>
      <w:t>ИНВЕСТИЦИОНЕН МЕХАНИЗЪМ</w:t>
    </w:r>
  </w:p>
  <w:p>
    <w:pPr>
      <w:pStyle w:val="Header1"/>
      <w:pBdr>
        <w:top w:val="nil"/>
        <w:left w:val="nil"/>
        <w:bottom w:val="nil"/>
        <w:right w:val="nil"/>
        <w:between w:val="nil"/>
        <w:bar w:val="nil"/>
      </w:pBdr>
      <w:jc w:val="center"/>
      <w:rPr>
        <w:rFonts w:ascii="Arial" w:hAnsi="Arial"/>
        <w:b/>
        <w:bdr w:val="nil"/>
      </w:rP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27"/>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ИНВЕСТИЦИОНЕН МЕХАНИЗЪМ</w:t>
    </w:r>
  </w:p>
  <w:p>
    <w:pPr>
      <w:pStyle w:val="Header27"/>
      <w:pBdr>
        <w:top w:val="nil"/>
        <w:left w:val="nil"/>
        <w:bottom w:val="nil"/>
        <w:right w:val="nil"/>
        <w:between w:val="nil"/>
        <w:bar w:val="nil"/>
      </w:pBdr>
      <w:suppressAutoHyphens w:val="0"/>
      <w:jc w:val="center"/>
      <w:rPr>
        <w:rFonts w:ascii="Arial" w:eastAsia="Calibri" w:hAnsi="Arial" w:cs="Arial"/>
        <w:b/>
        <w:sz w:val="20"/>
        <w:szCs w:val="20"/>
        <w:bdr w:val="nil"/>
      </w:rPr>
    </w:pPr>
  </w:p>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9"/>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rPr>
        <w:rFonts w:ascii="Verdana" w:hAnsi="Verdana"/>
      </w:rPr>
    </w:pPr>
    <w:r>
      <w:tab/>
    </w:r>
    <w:r>
      <w:tab/>
    </w:r>
    <w:r>
      <w:rPr>
        <w:rFonts w:ascii="Verdana" w:hAnsi="Verdana"/>
        <w:i/>
        <w:color w:val="016794"/>
        <w:sz w:val="16"/>
      </w:rPr>
      <w:t>Годишни отчети на Европейския фонд за развитие за 2018 г.</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2018 г.</w:t>
    </w:r>
  </w:p>
  <w:p>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337A57D8">
      <w:start w:val="1"/>
      <w:numFmt w:val="lowerLetter"/>
      <w:pStyle w:val="Textstand-alonenumberingLetters"/>
      <w:lvlText w:val="%1)"/>
      <w:lvlJc w:val="left"/>
      <w:pPr>
        <w:ind w:left="720" w:hanging="360"/>
      </w:pPr>
      <w:rPr>
        <w:rFonts w:hint="default"/>
      </w:rPr>
    </w:lvl>
    <w:lvl w:ilvl="1" w:tplc="876A712E" w:tentative="1">
      <w:start w:val="1"/>
      <w:numFmt w:val="lowerLetter"/>
      <w:lvlText w:val="%2."/>
      <w:lvlJc w:val="left"/>
      <w:pPr>
        <w:ind w:left="1440" w:hanging="360"/>
      </w:pPr>
    </w:lvl>
    <w:lvl w:ilvl="2" w:tplc="50344486" w:tentative="1">
      <w:start w:val="1"/>
      <w:numFmt w:val="lowerRoman"/>
      <w:lvlText w:val="%3."/>
      <w:lvlJc w:val="right"/>
      <w:pPr>
        <w:ind w:left="2160" w:hanging="180"/>
      </w:pPr>
    </w:lvl>
    <w:lvl w:ilvl="3" w:tplc="2992514E" w:tentative="1">
      <w:start w:val="1"/>
      <w:numFmt w:val="decimal"/>
      <w:lvlText w:val="%4."/>
      <w:lvlJc w:val="left"/>
      <w:pPr>
        <w:ind w:left="2880" w:hanging="360"/>
      </w:pPr>
    </w:lvl>
    <w:lvl w:ilvl="4" w:tplc="86E22286" w:tentative="1">
      <w:start w:val="1"/>
      <w:numFmt w:val="lowerLetter"/>
      <w:lvlText w:val="%5."/>
      <w:lvlJc w:val="left"/>
      <w:pPr>
        <w:ind w:left="3600" w:hanging="360"/>
      </w:pPr>
    </w:lvl>
    <w:lvl w:ilvl="5" w:tplc="DF9CEF8C" w:tentative="1">
      <w:start w:val="1"/>
      <w:numFmt w:val="lowerRoman"/>
      <w:lvlText w:val="%6."/>
      <w:lvlJc w:val="right"/>
      <w:pPr>
        <w:ind w:left="4320" w:hanging="180"/>
      </w:pPr>
    </w:lvl>
    <w:lvl w:ilvl="6" w:tplc="857ED212" w:tentative="1">
      <w:start w:val="1"/>
      <w:numFmt w:val="decimal"/>
      <w:lvlText w:val="%7."/>
      <w:lvlJc w:val="left"/>
      <w:pPr>
        <w:ind w:left="5040" w:hanging="360"/>
      </w:pPr>
    </w:lvl>
    <w:lvl w:ilvl="7" w:tplc="B874C2C2" w:tentative="1">
      <w:start w:val="1"/>
      <w:numFmt w:val="lowerLetter"/>
      <w:lvlText w:val="%8."/>
      <w:lvlJc w:val="left"/>
      <w:pPr>
        <w:ind w:left="5760" w:hanging="360"/>
      </w:pPr>
    </w:lvl>
    <w:lvl w:ilvl="8" w:tplc="383E126C" w:tentative="1">
      <w:start w:val="1"/>
      <w:numFmt w:val="lowerRoman"/>
      <w:lvlText w:val="%9."/>
      <w:lvlJc w:val="right"/>
      <w:pPr>
        <w:ind w:left="6480" w:hanging="180"/>
      </w:pPr>
    </w:lvl>
  </w:abstractNum>
  <w:abstractNum w:abstractNumId="2">
    <w:nsid w:val="00000003"/>
    <w:multiLevelType w:val="hybridMultilevel"/>
    <w:tmpl w:val="937694E8"/>
    <w:lvl w:ilvl="0" w:tplc="4DBEC79C">
      <w:start w:val="1"/>
      <w:numFmt w:val="bullet"/>
      <w:lvlText w:val="-"/>
      <w:lvlJc w:val="left"/>
      <w:pPr>
        <w:ind w:left="1080" w:hanging="360"/>
      </w:pPr>
      <w:rPr>
        <w:rFonts w:ascii="Verdana" w:hAnsi="Verdana" w:hint="default"/>
      </w:rPr>
    </w:lvl>
    <w:lvl w:ilvl="1" w:tplc="51AECFF4" w:tentative="1">
      <w:start w:val="1"/>
      <w:numFmt w:val="bullet"/>
      <w:lvlText w:val="o"/>
      <w:lvlJc w:val="left"/>
      <w:pPr>
        <w:ind w:left="1800" w:hanging="360"/>
      </w:pPr>
      <w:rPr>
        <w:rFonts w:ascii="Courier New" w:hAnsi="Courier New" w:cs="Courier New" w:hint="default"/>
      </w:rPr>
    </w:lvl>
    <w:lvl w:ilvl="2" w:tplc="6D20EB52" w:tentative="1">
      <w:start w:val="1"/>
      <w:numFmt w:val="bullet"/>
      <w:lvlText w:val=""/>
      <w:lvlJc w:val="left"/>
      <w:pPr>
        <w:ind w:left="2520" w:hanging="360"/>
      </w:pPr>
      <w:rPr>
        <w:rFonts w:ascii="Wingdings" w:hAnsi="Wingdings" w:hint="default"/>
      </w:rPr>
    </w:lvl>
    <w:lvl w:ilvl="3" w:tplc="27C41522" w:tentative="1">
      <w:start w:val="1"/>
      <w:numFmt w:val="bullet"/>
      <w:lvlText w:val=""/>
      <w:lvlJc w:val="left"/>
      <w:pPr>
        <w:ind w:left="3240" w:hanging="360"/>
      </w:pPr>
      <w:rPr>
        <w:rFonts w:ascii="Symbol" w:hAnsi="Symbol" w:hint="default"/>
      </w:rPr>
    </w:lvl>
    <w:lvl w:ilvl="4" w:tplc="28ACA886" w:tentative="1">
      <w:start w:val="1"/>
      <w:numFmt w:val="bullet"/>
      <w:lvlText w:val="o"/>
      <w:lvlJc w:val="left"/>
      <w:pPr>
        <w:ind w:left="3960" w:hanging="360"/>
      </w:pPr>
      <w:rPr>
        <w:rFonts w:ascii="Courier New" w:hAnsi="Courier New" w:cs="Courier New" w:hint="default"/>
      </w:rPr>
    </w:lvl>
    <w:lvl w:ilvl="5" w:tplc="B1E092AE" w:tentative="1">
      <w:start w:val="1"/>
      <w:numFmt w:val="bullet"/>
      <w:lvlText w:val=""/>
      <w:lvlJc w:val="left"/>
      <w:pPr>
        <w:ind w:left="4680" w:hanging="360"/>
      </w:pPr>
      <w:rPr>
        <w:rFonts w:ascii="Wingdings" w:hAnsi="Wingdings" w:hint="default"/>
      </w:rPr>
    </w:lvl>
    <w:lvl w:ilvl="6" w:tplc="B9A20504" w:tentative="1">
      <w:start w:val="1"/>
      <w:numFmt w:val="bullet"/>
      <w:lvlText w:val=""/>
      <w:lvlJc w:val="left"/>
      <w:pPr>
        <w:ind w:left="5400" w:hanging="360"/>
      </w:pPr>
      <w:rPr>
        <w:rFonts w:ascii="Symbol" w:hAnsi="Symbol" w:hint="default"/>
      </w:rPr>
    </w:lvl>
    <w:lvl w:ilvl="7" w:tplc="C792BE6C" w:tentative="1">
      <w:start w:val="1"/>
      <w:numFmt w:val="bullet"/>
      <w:lvlText w:val="o"/>
      <w:lvlJc w:val="left"/>
      <w:pPr>
        <w:ind w:left="6120" w:hanging="360"/>
      </w:pPr>
      <w:rPr>
        <w:rFonts w:ascii="Courier New" w:hAnsi="Courier New" w:cs="Courier New" w:hint="default"/>
      </w:rPr>
    </w:lvl>
    <w:lvl w:ilvl="8" w:tplc="A80A0148"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7CB6E1C4"/>
    <w:lvl w:ilvl="0" w:tplc="8966B566">
      <w:start w:val="1"/>
      <w:numFmt w:val="decimal"/>
      <w:pStyle w:val="DGTextstand-alonenumbering"/>
      <w:lvlText w:val="(%1)"/>
      <w:lvlJc w:val="left"/>
      <w:pPr>
        <w:ind w:left="720" w:hanging="360"/>
      </w:pPr>
      <w:rPr>
        <w:rFonts w:hint="default"/>
      </w:rPr>
    </w:lvl>
    <w:lvl w:ilvl="1" w:tplc="9D0089AE" w:tentative="1">
      <w:start w:val="1"/>
      <w:numFmt w:val="lowerLetter"/>
      <w:lvlText w:val="%2."/>
      <w:lvlJc w:val="left"/>
      <w:pPr>
        <w:ind w:left="1440" w:hanging="360"/>
      </w:pPr>
    </w:lvl>
    <w:lvl w:ilvl="2" w:tplc="3AF2C620" w:tentative="1">
      <w:start w:val="1"/>
      <w:numFmt w:val="lowerRoman"/>
      <w:lvlText w:val="%3."/>
      <w:lvlJc w:val="right"/>
      <w:pPr>
        <w:ind w:left="2160" w:hanging="180"/>
      </w:pPr>
    </w:lvl>
    <w:lvl w:ilvl="3" w:tplc="2E968C9C" w:tentative="1">
      <w:start w:val="1"/>
      <w:numFmt w:val="decimal"/>
      <w:lvlText w:val="%4."/>
      <w:lvlJc w:val="left"/>
      <w:pPr>
        <w:ind w:left="2880" w:hanging="360"/>
      </w:pPr>
    </w:lvl>
    <w:lvl w:ilvl="4" w:tplc="D486D2C6" w:tentative="1">
      <w:start w:val="1"/>
      <w:numFmt w:val="lowerLetter"/>
      <w:lvlText w:val="%5."/>
      <w:lvlJc w:val="left"/>
      <w:pPr>
        <w:ind w:left="3600" w:hanging="360"/>
      </w:pPr>
    </w:lvl>
    <w:lvl w:ilvl="5" w:tplc="A7F01C28" w:tentative="1">
      <w:start w:val="1"/>
      <w:numFmt w:val="lowerRoman"/>
      <w:lvlText w:val="%6."/>
      <w:lvlJc w:val="right"/>
      <w:pPr>
        <w:ind w:left="4320" w:hanging="180"/>
      </w:pPr>
    </w:lvl>
    <w:lvl w:ilvl="6" w:tplc="6E16CB9E" w:tentative="1">
      <w:start w:val="1"/>
      <w:numFmt w:val="decimal"/>
      <w:lvlText w:val="%7."/>
      <w:lvlJc w:val="left"/>
      <w:pPr>
        <w:ind w:left="5040" w:hanging="360"/>
      </w:pPr>
    </w:lvl>
    <w:lvl w:ilvl="7" w:tplc="2488C430" w:tentative="1">
      <w:start w:val="1"/>
      <w:numFmt w:val="lowerLetter"/>
      <w:lvlText w:val="%8."/>
      <w:lvlJc w:val="left"/>
      <w:pPr>
        <w:ind w:left="5760" w:hanging="360"/>
      </w:pPr>
    </w:lvl>
    <w:lvl w:ilvl="8" w:tplc="0C0C914C" w:tentative="1">
      <w:start w:val="1"/>
      <w:numFmt w:val="lowerRoman"/>
      <w:lvlText w:val="%9."/>
      <w:lvlJc w:val="right"/>
      <w:pPr>
        <w:ind w:left="6480" w:hanging="180"/>
      </w:pPr>
    </w:lvl>
  </w:abstractNum>
  <w:abstractNum w:abstractNumId="4">
    <w:nsid w:val="00000005"/>
    <w:multiLevelType w:val="multilevel"/>
    <w:tmpl w:val="EA926228"/>
    <w:name w:val="WW8Num5"/>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0000006"/>
    <w:multiLevelType w:val="hybridMultilevel"/>
    <w:tmpl w:val="17F0B1EE"/>
    <w:lvl w:ilvl="0" w:tplc="8B4EBBB2">
      <w:start w:val="1"/>
      <w:numFmt w:val="lowerRoman"/>
      <w:lvlText w:val="(%1)"/>
      <w:lvlJc w:val="left"/>
      <w:pPr>
        <w:ind w:left="720" w:hanging="360"/>
      </w:pPr>
      <w:rPr>
        <w:rFonts w:hint="default"/>
      </w:rPr>
    </w:lvl>
    <w:lvl w:ilvl="1" w:tplc="380EF538" w:tentative="1">
      <w:start w:val="1"/>
      <w:numFmt w:val="lowerLetter"/>
      <w:lvlText w:val="%2."/>
      <w:lvlJc w:val="left"/>
      <w:pPr>
        <w:ind w:left="1440" w:hanging="360"/>
      </w:pPr>
    </w:lvl>
    <w:lvl w:ilvl="2" w:tplc="23ACF180" w:tentative="1">
      <w:start w:val="1"/>
      <w:numFmt w:val="lowerRoman"/>
      <w:lvlText w:val="%3."/>
      <w:lvlJc w:val="right"/>
      <w:pPr>
        <w:ind w:left="2160" w:hanging="180"/>
      </w:pPr>
    </w:lvl>
    <w:lvl w:ilvl="3" w:tplc="4AFE7BEC" w:tentative="1">
      <w:start w:val="1"/>
      <w:numFmt w:val="decimal"/>
      <w:lvlText w:val="%4."/>
      <w:lvlJc w:val="left"/>
      <w:pPr>
        <w:ind w:left="2880" w:hanging="360"/>
      </w:pPr>
    </w:lvl>
    <w:lvl w:ilvl="4" w:tplc="6AC6844A" w:tentative="1">
      <w:start w:val="1"/>
      <w:numFmt w:val="lowerLetter"/>
      <w:lvlText w:val="%5."/>
      <w:lvlJc w:val="left"/>
      <w:pPr>
        <w:ind w:left="3600" w:hanging="360"/>
      </w:pPr>
    </w:lvl>
    <w:lvl w:ilvl="5" w:tplc="78887A94" w:tentative="1">
      <w:start w:val="1"/>
      <w:numFmt w:val="lowerRoman"/>
      <w:lvlText w:val="%6."/>
      <w:lvlJc w:val="right"/>
      <w:pPr>
        <w:ind w:left="4320" w:hanging="180"/>
      </w:pPr>
    </w:lvl>
    <w:lvl w:ilvl="6" w:tplc="007625DA" w:tentative="1">
      <w:start w:val="1"/>
      <w:numFmt w:val="decimal"/>
      <w:lvlText w:val="%7."/>
      <w:lvlJc w:val="left"/>
      <w:pPr>
        <w:ind w:left="5040" w:hanging="360"/>
      </w:pPr>
    </w:lvl>
    <w:lvl w:ilvl="7" w:tplc="9D16EDFE" w:tentative="1">
      <w:start w:val="1"/>
      <w:numFmt w:val="lowerLetter"/>
      <w:lvlText w:val="%8."/>
      <w:lvlJc w:val="left"/>
      <w:pPr>
        <w:ind w:left="5760" w:hanging="360"/>
      </w:pPr>
    </w:lvl>
    <w:lvl w:ilvl="8" w:tplc="EE84FE16" w:tentative="1">
      <w:start w:val="1"/>
      <w:numFmt w:val="lowerRoman"/>
      <w:lvlText w:val="%9."/>
      <w:lvlJc w:val="right"/>
      <w:pPr>
        <w:ind w:left="6480" w:hanging="180"/>
      </w:pPr>
    </w:lvl>
  </w:abstractNum>
  <w:abstractNum w:abstractNumId="6">
    <w:nsid w:val="00000007"/>
    <w:multiLevelType w:val="hybridMultilevel"/>
    <w:tmpl w:val="5DD0517A"/>
    <w:lvl w:ilvl="0" w:tplc="C6DEAE58">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031EE908" w:tentative="1">
      <w:start w:val="1"/>
      <w:numFmt w:val="lowerLetter"/>
      <w:lvlText w:val="%2."/>
      <w:lvlJc w:val="left"/>
      <w:pPr>
        <w:ind w:left="1797" w:hanging="360"/>
      </w:pPr>
    </w:lvl>
    <w:lvl w:ilvl="2" w:tplc="5762D9F6" w:tentative="1">
      <w:start w:val="1"/>
      <w:numFmt w:val="lowerRoman"/>
      <w:lvlText w:val="%3."/>
      <w:lvlJc w:val="right"/>
      <w:pPr>
        <w:ind w:left="2517" w:hanging="180"/>
      </w:pPr>
    </w:lvl>
    <w:lvl w:ilvl="3" w:tplc="6CF4338A" w:tentative="1">
      <w:start w:val="1"/>
      <w:numFmt w:val="decimal"/>
      <w:lvlText w:val="%4."/>
      <w:lvlJc w:val="left"/>
      <w:pPr>
        <w:ind w:left="3237" w:hanging="360"/>
      </w:pPr>
    </w:lvl>
    <w:lvl w:ilvl="4" w:tplc="7B82947E" w:tentative="1">
      <w:start w:val="1"/>
      <w:numFmt w:val="lowerLetter"/>
      <w:lvlText w:val="%5."/>
      <w:lvlJc w:val="left"/>
      <w:pPr>
        <w:ind w:left="3957" w:hanging="360"/>
      </w:pPr>
    </w:lvl>
    <w:lvl w:ilvl="5" w:tplc="1A7C6240" w:tentative="1">
      <w:start w:val="1"/>
      <w:numFmt w:val="lowerRoman"/>
      <w:lvlText w:val="%6."/>
      <w:lvlJc w:val="right"/>
      <w:pPr>
        <w:ind w:left="4677" w:hanging="180"/>
      </w:pPr>
    </w:lvl>
    <w:lvl w:ilvl="6" w:tplc="B61C0034" w:tentative="1">
      <w:start w:val="1"/>
      <w:numFmt w:val="decimal"/>
      <w:lvlText w:val="%7."/>
      <w:lvlJc w:val="left"/>
      <w:pPr>
        <w:ind w:left="5397" w:hanging="360"/>
      </w:pPr>
    </w:lvl>
    <w:lvl w:ilvl="7" w:tplc="131C9032" w:tentative="1">
      <w:start w:val="1"/>
      <w:numFmt w:val="lowerLetter"/>
      <w:lvlText w:val="%8."/>
      <w:lvlJc w:val="left"/>
      <w:pPr>
        <w:ind w:left="6117" w:hanging="360"/>
      </w:pPr>
    </w:lvl>
    <w:lvl w:ilvl="8" w:tplc="730E6ED8" w:tentative="1">
      <w:start w:val="1"/>
      <w:numFmt w:val="lowerRoman"/>
      <w:lvlText w:val="%9."/>
      <w:lvlJc w:val="right"/>
      <w:pPr>
        <w:ind w:left="6837" w:hanging="180"/>
      </w:pPr>
    </w:lvl>
  </w:abstractNum>
  <w:abstractNum w:abstractNumId="7">
    <w:nsid w:val="00000008"/>
    <w:multiLevelType w:val="multilevel"/>
    <w:tmpl w:val="5D68B58E"/>
    <w:lvl w:ilvl="0">
      <w:start w:val="1"/>
      <mc:AlternateContent>
        <mc:Choice Requires="w14">
          <w:numFmt w:val="custom" w:format="а, й, к, ..."/>
        </mc:Choice>
        <mc:Fallback>
          <w:numFmt w:val="decimal"/>
        </mc:Fallback>
      </mc:AlternateContent>
      <w:lvlText w:val="%1)"/>
      <w:lvlJc w:val="left"/>
      <w:pPr>
        <w:ind w:left="0"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0000009"/>
    <w:multiLevelType w:val="multilevel"/>
    <w:tmpl w:val="E85495D4"/>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0000000A"/>
    <w:multiLevelType w:val="hybridMultilevel"/>
    <w:tmpl w:val="74E0135A"/>
    <w:lvl w:ilvl="0" w:tplc="4BCAD508">
      <w:numFmt w:val="bullet"/>
      <w:lvlText w:val="-"/>
      <w:lvlJc w:val="left"/>
      <w:pPr>
        <w:ind w:left="720" w:hanging="360"/>
      </w:pPr>
      <w:rPr>
        <w:rFonts w:ascii="Futura Lt BT" w:hAnsi="Futura Lt BT" w:cs="Times New Roman" w:hint="default"/>
      </w:rPr>
    </w:lvl>
    <w:lvl w:ilvl="1" w:tplc="0BD2BCC0" w:tentative="1">
      <w:start w:val="1"/>
      <w:numFmt w:val="bullet"/>
      <w:lvlText w:val="o"/>
      <w:lvlJc w:val="left"/>
      <w:pPr>
        <w:ind w:left="1440" w:hanging="360"/>
      </w:pPr>
      <w:rPr>
        <w:rFonts w:ascii="Courier New" w:hAnsi="Courier New" w:cs="Courier New" w:hint="default"/>
      </w:rPr>
    </w:lvl>
    <w:lvl w:ilvl="2" w:tplc="9CD4FEE8" w:tentative="1">
      <w:start w:val="1"/>
      <w:numFmt w:val="bullet"/>
      <w:lvlText w:val=""/>
      <w:lvlJc w:val="left"/>
      <w:pPr>
        <w:ind w:left="2160" w:hanging="360"/>
      </w:pPr>
      <w:rPr>
        <w:rFonts w:ascii="Wingdings" w:hAnsi="Wingdings" w:hint="default"/>
      </w:rPr>
    </w:lvl>
    <w:lvl w:ilvl="3" w:tplc="A8DC6FCE" w:tentative="1">
      <w:start w:val="1"/>
      <w:numFmt w:val="bullet"/>
      <w:lvlText w:val=""/>
      <w:lvlJc w:val="left"/>
      <w:pPr>
        <w:ind w:left="2880" w:hanging="360"/>
      </w:pPr>
      <w:rPr>
        <w:rFonts w:ascii="Symbol" w:hAnsi="Symbol" w:hint="default"/>
      </w:rPr>
    </w:lvl>
    <w:lvl w:ilvl="4" w:tplc="9DE26528" w:tentative="1">
      <w:start w:val="1"/>
      <w:numFmt w:val="bullet"/>
      <w:lvlText w:val="o"/>
      <w:lvlJc w:val="left"/>
      <w:pPr>
        <w:ind w:left="3600" w:hanging="360"/>
      </w:pPr>
      <w:rPr>
        <w:rFonts w:ascii="Courier New" w:hAnsi="Courier New" w:cs="Courier New" w:hint="default"/>
      </w:rPr>
    </w:lvl>
    <w:lvl w:ilvl="5" w:tplc="1550172A" w:tentative="1">
      <w:start w:val="1"/>
      <w:numFmt w:val="bullet"/>
      <w:lvlText w:val=""/>
      <w:lvlJc w:val="left"/>
      <w:pPr>
        <w:ind w:left="4320" w:hanging="360"/>
      </w:pPr>
      <w:rPr>
        <w:rFonts w:ascii="Wingdings" w:hAnsi="Wingdings" w:hint="default"/>
      </w:rPr>
    </w:lvl>
    <w:lvl w:ilvl="6" w:tplc="1474131A" w:tentative="1">
      <w:start w:val="1"/>
      <w:numFmt w:val="bullet"/>
      <w:lvlText w:val=""/>
      <w:lvlJc w:val="left"/>
      <w:pPr>
        <w:ind w:left="5040" w:hanging="360"/>
      </w:pPr>
      <w:rPr>
        <w:rFonts w:ascii="Symbol" w:hAnsi="Symbol" w:hint="default"/>
      </w:rPr>
    </w:lvl>
    <w:lvl w:ilvl="7" w:tplc="445255F6" w:tentative="1">
      <w:start w:val="1"/>
      <w:numFmt w:val="bullet"/>
      <w:lvlText w:val="o"/>
      <w:lvlJc w:val="left"/>
      <w:pPr>
        <w:ind w:left="5760" w:hanging="360"/>
      </w:pPr>
      <w:rPr>
        <w:rFonts w:ascii="Courier New" w:hAnsi="Courier New" w:cs="Courier New" w:hint="default"/>
      </w:rPr>
    </w:lvl>
    <w:lvl w:ilvl="8" w:tplc="1FF43566"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66CE7E80"/>
    <w:lvl w:ilvl="0" w:tplc="BCF6A358">
      <w:numFmt w:val="bullet"/>
      <w:lvlText w:val="-"/>
      <w:lvlJc w:val="left"/>
      <w:pPr>
        <w:ind w:left="720" w:hanging="360"/>
      </w:pPr>
      <w:rPr>
        <w:rFonts w:ascii="Futura Lt BT" w:hAnsi="Futura Lt BT" w:cs="Times New Roman" w:hint="default"/>
      </w:rPr>
    </w:lvl>
    <w:lvl w:ilvl="1" w:tplc="F1CE327E" w:tentative="1">
      <w:start w:val="1"/>
      <w:numFmt w:val="bullet"/>
      <w:lvlText w:val="o"/>
      <w:lvlJc w:val="left"/>
      <w:pPr>
        <w:ind w:left="1440" w:hanging="360"/>
      </w:pPr>
      <w:rPr>
        <w:rFonts w:ascii="Courier New" w:hAnsi="Courier New" w:cs="Courier New" w:hint="default"/>
      </w:rPr>
    </w:lvl>
    <w:lvl w:ilvl="2" w:tplc="8BF6F0D0" w:tentative="1">
      <w:start w:val="1"/>
      <w:numFmt w:val="bullet"/>
      <w:lvlText w:val=""/>
      <w:lvlJc w:val="left"/>
      <w:pPr>
        <w:ind w:left="2160" w:hanging="360"/>
      </w:pPr>
      <w:rPr>
        <w:rFonts w:ascii="Wingdings" w:hAnsi="Wingdings" w:hint="default"/>
      </w:rPr>
    </w:lvl>
    <w:lvl w:ilvl="3" w:tplc="FB4ADB48" w:tentative="1">
      <w:start w:val="1"/>
      <w:numFmt w:val="bullet"/>
      <w:lvlText w:val=""/>
      <w:lvlJc w:val="left"/>
      <w:pPr>
        <w:ind w:left="2880" w:hanging="360"/>
      </w:pPr>
      <w:rPr>
        <w:rFonts w:ascii="Symbol" w:hAnsi="Symbol" w:hint="default"/>
      </w:rPr>
    </w:lvl>
    <w:lvl w:ilvl="4" w:tplc="F01E5790" w:tentative="1">
      <w:start w:val="1"/>
      <w:numFmt w:val="bullet"/>
      <w:lvlText w:val="o"/>
      <w:lvlJc w:val="left"/>
      <w:pPr>
        <w:ind w:left="3600" w:hanging="360"/>
      </w:pPr>
      <w:rPr>
        <w:rFonts w:ascii="Courier New" w:hAnsi="Courier New" w:cs="Courier New" w:hint="default"/>
      </w:rPr>
    </w:lvl>
    <w:lvl w:ilvl="5" w:tplc="83CC93B4" w:tentative="1">
      <w:start w:val="1"/>
      <w:numFmt w:val="bullet"/>
      <w:lvlText w:val=""/>
      <w:lvlJc w:val="left"/>
      <w:pPr>
        <w:ind w:left="4320" w:hanging="360"/>
      </w:pPr>
      <w:rPr>
        <w:rFonts w:ascii="Wingdings" w:hAnsi="Wingdings" w:hint="default"/>
      </w:rPr>
    </w:lvl>
    <w:lvl w:ilvl="6" w:tplc="F9280DCE" w:tentative="1">
      <w:start w:val="1"/>
      <w:numFmt w:val="bullet"/>
      <w:lvlText w:val=""/>
      <w:lvlJc w:val="left"/>
      <w:pPr>
        <w:ind w:left="5040" w:hanging="360"/>
      </w:pPr>
      <w:rPr>
        <w:rFonts w:ascii="Symbol" w:hAnsi="Symbol" w:hint="default"/>
      </w:rPr>
    </w:lvl>
    <w:lvl w:ilvl="7" w:tplc="0898F532" w:tentative="1">
      <w:start w:val="1"/>
      <w:numFmt w:val="bullet"/>
      <w:lvlText w:val="o"/>
      <w:lvlJc w:val="left"/>
      <w:pPr>
        <w:ind w:left="5760" w:hanging="360"/>
      </w:pPr>
      <w:rPr>
        <w:rFonts w:ascii="Courier New" w:hAnsi="Courier New" w:cs="Courier New" w:hint="default"/>
      </w:rPr>
    </w:lvl>
    <w:lvl w:ilvl="8" w:tplc="00AAEEB2"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8E40C3CA"/>
    <w:lvl w:ilvl="0" w:tplc="EB7EBE0C">
      <w:numFmt w:val="bullet"/>
      <w:lvlText w:val="-"/>
      <w:lvlJc w:val="left"/>
      <w:pPr>
        <w:ind w:left="720" w:hanging="360"/>
      </w:pPr>
      <w:rPr>
        <w:rFonts w:ascii="Futura Lt BT" w:hAnsi="Futura Lt BT" w:cs="Times New Roman" w:hint="default"/>
      </w:rPr>
    </w:lvl>
    <w:lvl w:ilvl="1" w:tplc="79786A1E" w:tentative="1">
      <w:start w:val="1"/>
      <w:numFmt w:val="bullet"/>
      <w:lvlText w:val="o"/>
      <w:lvlJc w:val="left"/>
      <w:pPr>
        <w:ind w:left="1440" w:hanging="360"/>
      </w:pPr>
      <w:rPr>
        <w:rFonts w:ascii="Courier New" w:hAnsi="Courier New" w:cs="Courier New" w:hint="default"/>
      </w:rPr>
    </w:lvl>
    <w:lvl w:ilvl="2" w:tplc="8962D482" w:tentative="1">
      <w:start w:val="1"/>
      <w:numFmt w:val="bullet"/>
      <w:lvlText w:val=""/>
      <w:lvlJc w:val="left"/>
      <w:pPr>
        <w:ind w:left="2160" w:hanging="360"/>
      </w:pPr>
      <w:rPr>
        <w:rFonts w:ascii="Wingdings" w:hAnsi="Wingdings" w:hint="default"/>
      </w:rPr>
    </w:lvl>
    <w:lvl w:ilvl="3" w:tplc="1932EB0A" w:tentative="1">
      <w:start w:val="1"/>
      <w:numFmt w:val="bullet"/>
      <w:lvlText w:val=""/>
      <w:lvlJc w:val="left"/>
      <w:pPr>
        <w:ind w:left="2880" w:hanging="360"/>
      </w:pPr>
      <w:rPr>
        <w:rFonts w:ascii="Symbol" w:hAnsi="Symbol" w:hint="default"/>
      </w:rPr>
    </w:lvl>
    <w:lvl w:ilvl="4" w:tplc="8458B9E8" w:tentative="1">
      <w:start w:val="1"/>
      <w:numFmt w:val="bullet"/>
      <w:lvlText w:val="o"/>
      <w:lvlJc w:val="left"/>
      <w:pPr>
        <w:ind w:left="3600" w:hanging="360"/>
      </w:pPr>
      <w:rPr>
        <w:rFonts w:ascii="Courier New" w:hAnsi="Courier New" w:cs="Courier New" w:hint="default"/>
      </w:rPr>
    </w:lvl>
    <w:lvl w:ilvl="5" w:tplc="AD0C3B76" w:tentative="1">
      <w:start w:val="1"/>
      <w:numFmt w:val="bullet"/>
      <w:lvlText w:val=""/>
      <w:lvlJc w:val="left"/>
      <w:pPr>
        <w:ind w:left="4320" w:hanging="360"/>
      </w:pPr>
      <w:rPr>
        <w:rFonts w:ascii="Wingdings" w:hAnsi="Wingdings" w:hint="default"/>
      </w:rPr>
    </w:lvl>
    <w:lvl w:ilvl="6" w:tplc="892CFD5E" w:tentative="1">
      <w:start w:val="1"/>
      <w:numFmt w:val="bullet"/>
      <w:lvlText w:val=""/>
      <w:lvlJc w:val="left"/>
      <w:pPr>
        <w:ind w:left="5040" w:hanging="360"/>
      </w:pPr>
      <w:rPr>
        <w:rFonts w:ascii="Symbol" w:hAnsi="Symbol" w:hint="default"/>
      </w:rPr>
    </w:lvl>
    <w:lvl w:ilvl="7" w:tplc="C0C82AE2" w:tentative="1">
      <w:start w:val="1"/>
      <w:numFmt w:val="bullet"/>
      <w:lvlText w:val="o"/>
      <w:lvlJc w:val="left"/>
      <w:pPr>
        <w:ind w:left="5760" w:hanging="360"/>
      </w:pPr>
      <w:rPr>
        <w:rFonts w:ascii="Courier New" w:hAnsi="Courier New" w:cs="Courier New" w:hint="default"/>
      </w:rPr>
    </w:lvl>
    <w:lvl w:ilvl="8" w:tplc="71BCCE06"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9EF48256"/>
    <w:lvl w:ilvl="0" w:tplc="F8BCDA82">
      <w:numFmt w:val="bullet"/>
      <w:lvlText w:val="-"/>
      <w:lvlJc w:val="left"/>
      <w:pPr>
        <w:ind w:left="720" w:hanging="360"/>
      </w:pPr>
      <w:rPr>
        <w:rFonts w:ascii="Futura Lt BT" w:hAnsi="Futura Lt BT" w:cs="Times New Roman" w:hint="default"/>
      </w:rPr>
    </w:lvl>
    <w:lvl w:ilvl="1" w:tplc="5B96E324" w:tentative="1">
      <w:start w:val="1"/>
      <w:numFmt w:val="bullet"/>
      <w:lvlText w:val="o"/>
      <w:lvlJc w:val="left"/>
      <w:pPr>
        <w:ind w:left="1440" w:hanging="360"/>
      </w:pPr>
      <w:rPr>
        <w:rFonts w:ascii="Courier New" w:hAnsi="Courier New" w:cs="Courier New" w:hint="default"/>
      </w:rPr>
    </w:lvl>
    <w:lvl w:ilvl="2" w:tplc="9D9CE876" w:tentative="1">
      <w:start w:val="1"/>
      <w:numFmt w:val="bullet"/>
      <w:lvlText w:val=""/>
      <w:lvlJc w:val="left"/>
      <w:pPr>
        <w:ind w:left="2160" w:hanging="360"/>
      </w:pPr>
      <w:rPr>
        <w:rFonts w:ascii="Wingdings" w:hAnsi="Wingdings" w:hint="default"/>
      </w:rPr>
    </w:lvl>
    <w:lvl w:ilvl="3" w:tplc="A1220BD6" w:tentative="1">
      <w:start w:val="1"/>
      <w:numFmt w:val="bullet"/>
      <w:lvlText w:val=""/>
      <w:lvlJc w:val="left"/>
      <w:pPr>
        <w:ind w:left="2880" w:hanging="360"/>
      </w:pPr>
      <w:rPr>
        <w:rFonts w:ascii="Symbol" w:hAnsi="Symbol" w:hint="default"/>
      </w:rPr>
    </w:lvl>
    <w:lvl w:ilvl="4" w:tplc="6A92DCC6" w:tentative="1">
      <w:start w:val="1"/>
      <w:numFmt w:val="bullet"/>
      <w:lvlText w:val="o"/>
      <w:lvlJc w:val="left"/>
      <w:pPr>
        <w:ind w:left="3600" w:hanging="360"/>
      </w:pPr>
      <w:rPr>
        <w:rFonts w:ascii="Courier New" w:hAnsi="Courier New" w:cs="Courier New" w:hint="default"/>
      </w:rPr>
    </w:lvl>
    <w:lvl w:ilvl="5" w:tplc="5380ABBC" w:tentative="1">
      <w:start w:val="1"/>
      <w:numFmt w:val="bullet"/>
      <w:lvlText w:val=""/>
      <w:lvlJc w:val="left"/>
      <w:pPr>
        <w:ind w:left="4320" w:hanging="360"/>
      </w:pPr>
      <w:rPr>
        <w:rFonts w:ascii="Wingdings" w:hAnsi="Wingdings" w:hint="default"/>
      </w:rPr>
    </w:lvl>
    <w:lvl w:ilvl="6" w:tplc="E9CCF31E" w:tentative="1">
      <w:start w:val="1"/>
      <w:numFmt w:val="bullet"/>
      <w:lvlText w:val=""/>
      <w:lvlJc w:val="left"/>
      <w:pPr>
        <w:ind w:left="5040" w:hanging="360"/>
      </w:pPr>
      <w:rPr>
        <w:rFonts w:ascii="Symbol" w:hAnsi="Symbol" w:hint="default"/>
      </w:rPr>
    </w:lvl>
    <w:lvl w:ilvl="7" w:tplc="5BE61494" w:tentative="1">
      <w:start w:val="1"/>
      <w:numFmt w:val="bullet"/>
      <w:lvlText w:val="o"/>
      <w:lvlJc w:val="left"/>
      <w:pPr>
        <w:ind w:left="5760" w:hanging="360"/>
      </w:pPr>
      <w:rPr>
        <w:rFonts w:ascii="Courier New" w:hAnsi="Courier New" w:cs="Courier New" w:hint="default"/>
      </w:rPr>
    </w:lvl>
    <w:lvl w:ilvl="8" w:tplc="E4AE7508"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35C41564"/>
    <w:lvl w:ilvl="0" w:tplc="FF04E67A">
      <w:start w:val="293"/>
      <w:numFmt w:val="bullet"/>
      <w:lvlText w:val="-"/>
      <w:lvlJc w:val="left"/>
      <w:pPr>
        <w:ind w:left="720" w:hanging="360"/>
      </w:pPr>
      <w:rPr>
        <w:rFonts w:ascii="Arial" w:hAnsi="Arial" w:cs="Arial" w:hint="default"/>
      </w:rPr>
    </w:lvl>
    <w:lvl w:ilvl="1" w:tplc="915ABA3E">
      <w:start w:val="1"/>
      <w:numFmt w:val="bullet"/>
      <w:lvlText w:val="o"/>
      <w:lvlJc w:val="left"/>
      <w:pPr>
        <w:ind w:left="1440" w:hanging="360"/>
      </w:pPr>
      <w:rPr>
        <w:rFonts w:ascii="Courier New" w:hAnsi="Courier New" w:cs="Courier New" w:hint="default"/>
      </w:rPr>
    </w:lvl>
    <w:lvl w:ilvl="2" w:tplc="4D8EBEC0">
      <w:start w:val="1"/>
      <w:numFmt w:val="bullet"/>
      <w:lvlText w:val=""/>
      <w:lvlJc w:val="left"/>
      <w:pPr>
        <w:ind w:left="2160" w:hanging="360"/>
      </w:pPr>
      <w:rPr>
        <w:rFonts w:ascii="Wingdings" w:hAnsi="Wingdings" w:hint="default"/>
      </w:rPr>
    </w:lvl>
    <w:lvl w:ilvl="3" w:tplc="498269BC">
      <w:start w:val="1"/>
      <w:numFmt w:val="bullet"/>
      <w:lvlText w:val=""/>
      <w:lvlJc w:val="left"/>
      <w:pPr>
        <w:ind w:left="2880" w:hanging="360"/>
      </w:pPr>
      <w:rPr>
        <w:rFonts w:ascii="Symbol" w:hAnsi="Symbol" w:hint="default"/>
      </w:rPr>
    </w:lvl>
    <w:lvl w:ilvl="4" w:tplc="ADF03BBC">
      <w:start w:val="1"/>
      <w:numFmt w:val="bullet"/>
      <w:lvlText w:val="o"/>
      <w:lvlJc w:val="left"/>
      <w:pPr>
        <w:ind w:left="3600" w:hanging="360"/>
      </w:pPr>
      <w:rPr>
        <w:rFonts w:ascii="Courier New" w:hAnsi="Courier New" w:cs="Courier New" w:hint="default"/>
      </w:rPr>
    </w:lvl>
    <w:lvl w:ilvl="5" w:tplc="0726A272">
      <w:start w:val="1"/>
      <w:numFmt w:val="bullet"/>
      <w:lvlText w:val=""/>
      <w:lvlJc w:val="left"/>
      <w:pPr>
        <w:ind w:left="4320" w:hanging="360"/>
      </w:pPr>
      <w:rPr>
        <w:rFonts w:ascii="Wingdings" w:hAnsi="Wingdings" w:hint="default"/>
      </w:rPr>
    </w:lvl>
    <w:lvl w:ilvl="6" w:tplc="77A67E2E">
      <w:start w:val="1"/>
      <w:numFmt w:val="bullet"/>
      <w:lvlText w:val=""/>
      <w:lvlJc w:val="left"/>
      <w:pPr>
        <w:ind w:left="5040" w:hanging="360"/>
      </w:pPr>
      <w:rPr>
        <w:rFonts w:ascii="Symbol" w:hAnsi="Symbol" w:hint="default"/>
      </w:rPr>
    </w:lvl>
    <w:lvl w:ilvl="7" w:tplc="47C00972">
      <w:start w:val="1"/>
      <w:numFmt w:val="bullet"/>
      <w:lvlText w:val="o"/>
      <w:lvlJc w:val="left"/>
      <w:pPr>
        <w:ind w:left="5760" w:hanging="360"/>
      </w:pPr>
      <w:rPr>
        <w:rFonts w:ascii="Courier New" w:hAnsi="Courier New" w:cs="Courier New" w:hint="default"/>
      </w:rPr>
    </w:lvl>
    <w:lvl w:ilvl="8" w:tplc="A5A64132">
      <w:start w:val="1"/>
      <w:numFmt w:val="bullet"/>
      <w:lvlText w:val=""/>
      <w:lvlJc w:val="left"/>
      <w:pPr>
        <w:ind w:left="6480" w:hanging="360"/>
      </w:pPr>
      <w:rPr>
        <w:rFonts w:ascii="Wingdings" w:hAnsi="Wingdings" w:hint="default"/>
      </w:rPr>
    </w:lvl>
  </w:abstractNum>
  <w:abstractNum w:abstractNumId="14">
    <w:nsid w:val="00000010"/>
    <w:multiLevelType w:val="hybridMultilevel"/>
    <w:tmpl w:val="41F0EB4C"/>
    <w:lvl w:ilvl="0" w:tplc="A08812A2">
      <w:numFmt w:val="bullet"/>
      <w:lvlText w:val="-"/>
      <w:lvlJc w:val="left"/>
      <w:pPr>
        <w:ind w:left="720" w:hanging="360"/>
      </w:pPr>
      <w:rPr>
        <w:rFonts w:ascii="Futura Lt BT" w:hAnsi="Futura Lt BT" w:cs="Times New Roman" w:hint="default"/>
      </w:rPr>
    </w:lvl>
    <w:lvl w:ilvl="1" w:tplc="1C564EBC" w:tentative="1">
      <w:start w:val="1"/>
      <w:numFmt w:val="bullet"/>
      <w:lvlText w:val="o"/>
      <w:lvlJc w:val="left"/>
      <w:pPr>
        <w:ind w:left="1440" w:hanging="360"/>
      </w:pPr>
      <w:rPr>
        <w:rFonts w:ascii="Courier New" w:hAnsi="Courier New" w:cs="Courier New" w:hint="default"/>
      </w:rPr>
    </w:lvl>
    <w:lvl w:ilvl="2" w:tplc="0362FEF8" w:tentative="1">
      <w:start w:val="1"/>
      <w:numFmt w:val="bullet"/>
      <w:lvlText w:val=""/>
      <w:lvlJc w:val="left"/>
      <w:pPr>
        <w:ind w:left="2160" w:hanging="360"/>
      </w:pPr>
      <w:rPr>
        <w:rFonts w:ascii="Wingdings" w:hAnsi="Wingdings" w:hint="default"/>
      </w:rPr>
    </w:lvl>
    <w:lvl w:ilvl="3" w:tplc="32E010E6" w:tentative="1">
      <w:start w:val="1"/>
      <w:numFmt w:val="bullet"/>
      <w:lvlText w:val=""/>
      <w:lvlJc w:val="left"/>
      <w:pPr>
        <w:ind w:left="2880" w:hanging="360"/>
      </w:pPr>
      <w:rPr>
        <w:rFonts w:ascii="Symbol" w:hAnsi="Symbol" w:hint="default"/>
      </w:rPr>
    </w:lvl>
    <w:lvl w:ilvl="4" w:tplc="87206886" w:tentative="1">
      <w:start w:val="1"/>
      <w:numFmt w:val="bullet"/>
      <w:lvlText w:val="o"/>
      <w:lvlJc w:val="left"/>
      <w:pPr>
        <w:ind w:left="3600" w:hanging="360"/>
      </w:pPr>
      <w:rPr>
        <w:rFonts w:ascii="Courier New" w:hAnsi="Courier New" w:cs="Courier New" w:hint="default"/>
      </w:rPr>
    </w:lvl>
    <w:lvl w:ilvl="5" w:tplc="60C26EAC" w:tentative="1">
      <w:start w:val="1"/>
      <w:numFmt w:val="bullet"/>
      <w:lvlText w:val=""/>
      <w:lvlJc w:val="left"/>
      <w:pPr>
        <w:ind w:left="4320" w:hanging="360"/>
      </w:pPr>
      <w:rPr>
        <w:rFonts w:ascii="Wingdings" w:hAnsi="Wingdings" w:hint="default"/>
      </w:rPr>
    </w:lvl>
    <w:lvl w:ilvl="6" w:tplc="3F700874" w:tentative="1">
      <w:start w:val="1"/>
      <w:numFmt w:val="bullet"/>
      <w:lvlText w:val=""/>
      <w:lvlJc w:val="left"/>
      <w:pPr>
        <w:ind w:left="5040" w:hanging="360"/>
      </w:pPr>
      <w:rPr>
        <w:rFonts w:ascii="Symbol" w:hAnsi="Symbol" w:hint="default"/>
      </w:rPr>
    </w:lvl>
    <w:lvl w:ilvl="7" w:tplc="CD1E758C" w:tentative="1">
      <w:start w:val="1"/>
      <w:numFmt w:val="bullet"/>
      <w:lvlText w:val="o"/>
      <w:lvlJc w:val="left"/>
      <w:pPr>
        <w:ind w:left="5760" w:hanging="360"/>
      </w:pPr>
      <w:rPr>
        <w:rFonts w:ascii="Courier New" w:hAnsi="Courier New" w:cs="Courier New" w:hint="default"/>
      </w:rPr>
    </w:lvl>
    <w:lvl w:ilvl="8" w:tplc="F1F84DB0" w:tentative="1">
      <w:start w:val="1"/>
      <w:numFmt w:val="bullet"/>
      <w:lvlText w:val=""/>
      <w:lvlJc w:val="left"/>
      <w:pPr>
        <w:ind w:left="6480" w:hanging="360"/>
      </w:pPr>
      <w:rPr>
        <w:rFonts w:ascii="Wingdings" w:hAnsi="Wingdings" w:hint="default"/>
      </w:rPr>
    </w:lvl>
  </w:abstractNum>
  <w:abstractNum w:abstractNumId="15">
    <w:nsid w:val="00000011"/>
    <w:multiLevelType w:val="hybridMultilevel"/>
    <w:tmpl w:val="5A920DF4"/>
    <w:lvl w:ilvl="0" w:tplc="D09444A8">
      <w:numFmt w:val="bullet"/>
      <w:lvlText w:val="-"/>
      <w:lvlJc w:val="left"/>
      <w:pPr>
        <w:ind w:left="720" w:hanging="360"/>
      </w:pPr>
      <w:rPr>
        <w:rFonts w:ascii="Futura Lt BT" w:hAnsi="Futura Lt BT" w:cs="Times New Roman" w:hint="default"/>
      </w:rPr>
    </w:lvl>
    <w:lvl w:ilvl="1" w:tplc="6D8858EA" w:tentative="1">
      <w:start w:val="1"/>
      <w:numFmt w:val="bullet"/>
      <w:lvlText w:val="o"/>
      <w:lvlJc w:val="left"/>
      <w:pPr>
        <w:ind w:left="1440" w:hanging="360"/>
      </w:pPr>
      <w:rPr>
        <w:rFonts w:ascii="Courier New" w:hAnsi="Courier New" w:cs="Courier New" w:hint="default"/>
      </w:rPr>
    </w:lvl>
    <w:lvl w:ilvl="2" w:tplc="5F74746A" w:tentative="1">
      <w:start w:val="1"/>
      <w:numFmt w:val="bullet"/>
      <w:lvlText w:val=""/>
      <w:lvlJc w:val="left"/>
      <w:pPr>
        <w:ind w:left="2160" w:hanging="360"/>
      </w:pPr>
      <w:rPr>
        <w:rFonts w:ascii="Wingdings" w:hAnsi="Wingdings" w:hint="default"/>
      </w:rPr>
    </w:lvl>
    <w:lvl w:ilvl="3" w:tplc="9B72DB40" w:tentative="1">
      <w:start w:val="1"/>
      <w:numFmt w:val="bullet"/>
      <w:lvlText w:val=""/>
      <w:lvlJc w:val="left"/>
      <w:pPr>
        <w:ind w:left="2880" w:hanging="360"/>
      </w:pPr>
      <w:rPr>
        <w:rFonts w:ascii="Symbol" w:hAnsi="Symbol" w:hint="default"/>
      </w:rPr>
    </w:lvl>
    <w:lvl w:ilvl="4" w:tplc="C0089446" w:tentative="1">
      <w:start w:val="1"/>
      <w:numFmt w:val="bullet"/>
      <w:lvlText w:val="o"/>
      <w:lvlJc w:val="left"/>
      <w:pPr>
        <w:ind w:left="3600" w:hanging="360"/>
      </w:pPr>
      <w:rPr>
        <w:rFonts w:ascii="Courier New" w:hAnsi="Courier New" w:cs="Courier New" w:hint="default"/>
      </w:rPr>
    </w:lvl>
    <w:lvl w:ilvl="5" w:tplc="C2640D54" w:tentative="1">
      <w:start w:val="1"/>
      <w:numFmt w:val="bullet"/>
      <w:lvlText w:val=""/>
      <w:lvlJc w:val="left"/>
      <w:pPr>
        <w:ind w:left="4320" w:hanging="360"/>
      </w:pPr>
      <w:rPr>
        <w:rFonts w:ascii="Wingdings" w:hAnsi="Wingdings" w:hint="default"/>
      </w:rPr>
    </w:lvl>
    <w:lvl w:ilvl="6" w:tplc="C4966532" w:tentative="1">
      <w:start w:val="1"/>
      <w:numFmt w:val="bullet"/>
      <w:lvlText w:val=""/>
      <w:lvlJc w:val="left"/>
      <w:pPr>
        <w:ind w:left="5040" w:hanging="360"/>
      </w:pPr>
      <w:rPr>
        <w:rFonts w:ascii="Symbol" w:hAnsi="Symbol" w:hint="default"/>
      </w:rPr>
    </w:lvl>
    <w:lvl w:ilvl="7" w:tplc="A45E469E" w:tentative="1">
      <w:start w:val="1"/>
      <w:numFmt w:val="bullet"/>
      <w:lvlText w:val="o"/>
      <w:lvlJc w:val="left"/>
      <w:pPr>
        <w:ind w:left="5760" w:hanging="360"/>
      </w:pPr>
      <w:rPr>
        <w:rFonts w:ascii="Courier New" w:hAnsi="Courier New" w:cs="Courier New" w:hint="default"/>
      </w:rPr>
    </w:lvl>
    <w:lvl w:ilvl="8" w:tplc="9078CCD8" w:tentative="1">
      <w:start w:val="1"/>
      <w:numFmt w:val="bullet"/>
      <w:lvlText w:val=""/>
      <w:lvlJc w:val="left"/>
      <w:pPr>
        <w:ind w:left="6480" w:hanging="360"/>
      </w:pPr>
      <w:rPr>
        <w:rFonts w:ascii="Wingdings" w:hAnsi="Wingdings" w:hint="default"/>
      </w:rPr>
    </w:lvl>
  </w:abstractNum>
  <w:abstractNum w:abstractNumId="16">
    <w:nsid w:val="00000012"/>
    <w:multiLevelType w:val="hybridMultilevel"/>
    <w:tmpl w:val="87262ED8"/>
    <w:lvl w:ilvl="0" w:tplc="B35657A8">
      <w:start w:val="293"/>
      <w:numFmt w:val="bullet"/>
      <w:lvlText w:val="-"/>
      <w:lvlJc w:val="left"/>
      <w:pPr>
        <w:tabs>
          <w:tab w:val="num" w:pos="720"/>
        </w:tabs>
        <w:ind w:left="720" w:hanging="360"/>
      </w:pPr>
      <w:rPr>
        <w:rFonts w:ascii="Arial" w:hAnsi="Arial" w:cs="Arial" w:hint="default"/>
        <w:b/>
      </w:rPr>
    </w:lvl>
    <w:lvl w:ilvl="1" w:tplc="24CE4B28">
      <w:start w:val="1"/>
      <w:numFmt w:val="bullet"/>
      <w:lvlText w:val="o"/>
      <w:lvlJc w:val="left"/>
      <w:pPr>
        <w:tabs>
          <w:tab w:val="num" w:pos="1440"/>
        </w:tabs>
        <w:ind w:left="1440" w:hanging="360"/>
      </w:pPr>
      <w:rPr>
        <w:rFonts w:ascii="Courier New" w:hAnsi="Courier New" w:cs="Courier New" w:hint="default"/>
      </w:rPr>
    </w:lvl>
    <w:lvl w:ilvl="2" w:tplc="9D265620">
      <w:start w:val="1"/>
      <w:numFmt w:val="bullet"/>
      <w:lvlText w:val=""/>
      <w:lvlJc w:val="left"/>
      <w:pPr>
        <w:tabs>
          <w:tab w:val="num" w:pos="2160"/>
        </w:tabs>
        <w:ind w:left="2160" w:hanging="360"/>
      </w:pPr>
      <w:rPr>
        <w:rFonts w:ascii="Wingdings" w:hAnsi="Wingdings" w:hint="default"/>
      </w:rPr>
    </w:lvl>
    <w:lvl w:ilvl="3" w:tplc="67C0B10A">
      <w:start w:val="1"/>
      <w:numFmt w:val="bullet"/>
      <w:lvlText w:val=""/>
      <w:lvlJc w:val="left"/>
      <w:pPr>
        <w:tabs>
          <w:tab w:val="num" w:pos="2880"/>
        </w:tabs>
        <w:ind w:left="2880" w:hanging="360"/>
      </w:pPr>
      <w:rPr>
        <w:rFonts w:ascii="Symbol" w:hAnsi="Symbol" w:hint="default"/>
      </w:rPr>
    </w:lvl>
    <w:lvl w:ilvl="4" w:tplc="79400708">
      <w:start w:val="1"/>
      <w:numFmt w:val="bullet"/>
      <w:lvlText w:val="o"/>
      <w:lvlJc w:val="left"/>
      <w:pPr>
        <w:tabs>
          <w:tab w:val="num" w:pos="3600"/>
        </w:tabs>
        <w:ind w:left="3600" w:hanging="360"/>
      </w:pPr>
      <w:rPr>
        <w:rFonts w:ascii="Courier New" w:hAnsi="Courier New" w:cs="Courier New" w:hint="default"/>
      </w:rPr>
    </w:lvl>
    <w:lvl w:ilvl="5" w:tplc="0E647232">
      <w:start w:val="1"/>
      <w:numFmt w:val="bullet"/>
      <w:lvlText w:val=""/>
      <w:lvlJc w:val="left"/>
      <w:pPr>
        <w:tabs>
          <w:tab w:val="num" w:pos="4320"/>
        </w:tabs>
        <w:ind w:left="4320" w:hanging="360"/>
      </w:pPr>
      <w:rPr>
        <w:rFonts w:ascii="Wingdings" w:hAnsi="Wingdings" w:hint="default"/>
      </w:rPr>
    </w:lvl>
    <w:lvl w:ilvl="6" w:tplc="86C223F0">
      <w:start w:val="1"/>
      <w:numFmt w:val="bullet"/>
      <w:lvlText w:val=""/>
      <w:lvlJc w:val="left"/>
      <w:pPr>
        <w:tabs>
          <w:tab w:val="num" w:pos="5040"/>
        </w:tabs>
        <w:ind w:left="5040" w:hanging="360"/>
      </w:pPr>
      <w:rPr>
        <w:rFonts w:ascii="Symbol" w:hAnsi="Symbol" w:hint="default"/>
      </w:rPr>
    </w:lvl>
    <w:lvl w:ilvl="7" w:tplc="0CF46196">
      <w:start w:val="1"/>
      <w:numFmt w:val="bullet"/>
      <w:lvlText w:val="o"/>
      <w:lvlJc w:val="left"/>
      <w:pPr>
        <w:tabs>
          <w:tab w:val="num" w:pos="5760"/>
        </w:tabs>
        <w:ind w:left="5760" w:hanging="360"/>
      </w:pPr>
      <w:rPr>
        <w:rFonts w:ascii="Courier New" w:hAnsi="Courier New" w:cs="Courier New" w:hint="default"/>
      </w:rPr>
    </w:lvl>
    <w:lvl w:ilvl="8" w:tplc="4EE87812">
      <w:start w:val="1"/>
      <w:numFmt w:val="bullet"/>
      <w:lvlText w:val=""/>
      <w:lvlJc w:val="left"/>
      <w:pPr>
        <w:tabs>
          <w:tab w:val="num" w:pos="6480"/>
        </w:tabs>
        <w:ind w:left="6480" w:hanging="360"/>
      </w:pPr>
      <w:rPr>
        <w:rFonts w:ascii="Wingdings" w:hAnsi="Wingdings" w:hint="default"/>
      </w:rPr>
    </w:lvl>
  </w:abstractNum>
  <w:abstractNum w:abstractNumId="17">
    <w:nsid w:val="00000013"/>
    <w:multiLevelType w:val="hybridMultilevel"/>
    <w:tmpl w:val="C7242F70"/>
    <w:lvl w:ilvl="0" w:tplc="A0FECBC0">
      <w:numFmt w:val="bullet"/>
      <w:lvlText w:val="-"/>
      <w:lvlJc w:val="left"/>
      <w:pPr>
        <w:tabs>
          <w:tab w:val="num" w:pos="720"/>
        </w:tabs>
        <w:ind w:left="720" w:hanging="363"/>
      </w:pPr>
      <w:rPr>
        <w:rFonts w:ascii="Futura Lt BT" w:hAnsi="Futura Lt BT" w:cs="Times New Roman" w:hint="default"/>
      </w:rPr>
    </w:lvl>
    <w:lvl w:ilvl="1" w:tplc="3C028D84" w:tentative="1">
      <w:start w:val="1"/>
      <w:numFmt w:val="bullet"/>
      <w:lvlText w:val="o"/>
      <w:lvlJc w:val="left"/>
      <w:pPr>
        <w:tabs>
          <w:tab w:val="num" w:pos="1440"/>
        </w:tabs>
        <w:ind w:left="1440" w:hanging="360"/>
      </w:pPr>
      <w:rPr>
        <w:rFonts w:ascii="Courier New" w:hAnsi="Courier New" w:cs="Courier New" w:hint="default"/>
      </w:rPr>
    </w:lvl>
    <w:lvl w:ilvl="2" w:tplc="74463572" w:tentative="1">
      <w:start w:val="1"/>
      <w:numFmt w:val="bullet"/>
      <w:lvlText w:val=""/>
      <w:lvlJc w:val="left"/>
      <w:pPr>
        <w:tabs>
          <w:tab w:val="num" w:pos="2160"/>
        </w:tabs>
        <w:ind w:left="2160" w:hanging="360"/>
      </w:pPr>
      <w:rPr>
        <w:rFonts w:ascii="Wingdings" w:hAnsi="Wingdings" w:hint="default"/>
      </w:rPr>
    </w:lvl>
    <w:lvl w:ilvl="3" w:tplc="E0F6F1EC" w:tentative="1">
      <w:start w:val="1"/>
      <w:numFmt w:val="bullet"/>
      <w:lvlText w:val=""/>
      <w:lvlJc w:val="left"/>
      <w:pPr>
        <w:tabs>
          <w:tab w:val="num" w:pos="2880"/>
        </w:tabs>
        <w:ind w:left="2880" w:hanging="360"/>
      </w:pPr>
      <w:rPr>
        <w:rFonts w:ascii="Symbol" w:hAnsi="Symbol" w:hint="default"/>
      </w:rPr>
    </w:lvl>
    <w:lvl w:ilvl="4" w:tplc="A5EAADC8" w:tentative="1">
      <w:start w:val="1"/>
      <w:numFmt w:val="bullet"/>
      <w:lvlText w:val="o"/>
      <w:lvlJc w:val="left"/>
      <w:pPr>
        <w:tabs>
          <w:tab w:val="num" w:pos="3600"/>
        </w:tabs>
        <w:ind w:left="3600" w:hanging="360"/>
      </w:pPr>
      <w:rPr>
        <w:rFonts w:ascii="Courier New" w:hAnsi="Courier New" w:cs="Courier New" w:hint="default"/>
      </w:rPr>
    </w:lvl>
    <w:lvl w:ilvl="5" w:tplc="703AD62C" w:tentative="1">
      <w:start w:val="1"/>
      <w:numFmt w:val="bullet"/>
      <w:lvlText w:val=""/>
      <w:lvlJc w:val="left"/>
      <w:pPr>
        <w:tabs>
          <w:tab w:val="num" w:pos="4320"/>
        </w:tabs>
        <w:ind w:left="4320" w:hanging="360"/>
      </w:pPr>
      <w:rPr>
        <w:rFonts w:ascii="Wingdings" w:hAnsi="Wingdings" w:hint="default"/>
      </w:rPr>
    </w:lvl>
    <w:lvl w:ilvl="6" w:tplc="F0AC86A2" w:tentative="1">
      <w:start w:val="1"/>
      <w:numFmt w:val="bullet"/>
      <w:lvlText w:val=""/>
      <w:lvlJc w:val="left"/>
      <w:pPr>
        <w:tabs>
          <w:tab w:val="num" w:pos="5040"/>
        </w:tabs>
        <w:ind w:left="5040" w:hanging="360"/>
      </w:pPr>
      <w:rPr>
        <w:rFonts w:ascii="Symbol" w:hAnsi="Symbol" w:hint="default"/>
      </w:rPr>
    </w:lvl>
    <w:lvl w:ilvl="7" w:tplc="8C9220CC" w:tentative="1">
      <w:start w:val="1"/>
      <w:numFmt w:val="bullet"/>
      <w:lvlText w:val="o"/>
      <w:lvlJc w:val="left"/>
      <w:pPr>
        <w:tabs>
          <w:tab w:val="num" w:pos="5760"/>
        </w:tabs>
        <w:ind w:left="5760" w:hanging="360"/>
      </w:pPr>
      <w:rPr>
        <w:rFonts w:ascii="Courier New" w:hAnsi="Courier New" w:cs="Courier New" w:hint="default"/>
      </w:rPr>
    </w:lvl>
    <w:lvl w:ilvl="8" w:tplc="A39C0252" w:tentative="1">
      <w:start w:val="1"/>
      <w:numFmt w:val="bullet"/>
      <w:lvlText w:val=""/>
      <w:lvlJc w:val="left"/>
      <w:pPr>
        <w:tabs>
          <w:tab w:val="num" w:pos="6480"/>
        </w:tabs>
        <w:ind w:left="6480" w:hanging="360"/>
      </w:pPr>
      <w:rPr>
        <w:rFonts w:ascii="Wingdings" w:hAnsi="Wingdings" w:hint="default"/>
      </w:rPr>
    </w:lvl>
  </w:abstractNum>
  <w:abstractNum w:abstractNumId="18">
    <w:nsid w:val="00000014"/>
    <w:multiLevelType w:val="hybridMultilevel"/>
    <w:tmpl w:val="81A65818"/>
    <w:lvl w:ilvl="0" w:tplc="4FC81B88">
      <w:start w:val="1"/>
      <w:numFmt w:val="decimal"/>
      <w:lvlText w:val="%1."/>
      <w:lvlJc w:val="left"/>
      <w:pPr>
        <w:ind w:left="720" w:hanging="360"/>
      </w:pPr>
    </w:lvl>
    <w:lvl w:ilvl="1" w:tplc="A0DEEC6A">
      <w:start w:val="1"/>
      <w:numFmt w:val="lowerLetter"/>
      <w:lvlText w:val="%2."/>
      <w:lvlJc w:val="left"/>
      <w:pPr>
        <w:ind w:left="1440" w:hanging="360"/>
      </w:pPr>
    </w:lvl>
    <w:lvl w:ilvl="2" w:tplc="583A317C">
      <w:start w:val="1"/>
      <w:numFmt w:val="lowerRoman"/>
      <w:lvlText w:val="%3."/>
      <w:lvlJc w:val="right"/>
      <w:pPr>
        <w:ind w:left="2160" w:hanging="180"/>
      </w:pPr>
    </w:lvl>
    <w:lvl w:ilvl="3" w:tplc="D4FC5674">
      <w:start w:val="1"/>
      <w:numFmt w:val="decimal"/>
      <w:lvlText w:val="%4."/>
      <w:lvlJc w:val="left"/>
      <w:pPr>
        <w:ind w:left="2880" w:hanging="360"/>
      </w:pPr>
    </w:lvl>
    <w:lvl w:ilvl="4" w:tplc="1C68163E">
      <w:start w:val="1"/>
      <w:numFmt w:val="lowerLetter"/>
      <w:lvlText w:val="%5."/>
      <w:lvlJc w:val="left"/>
      <w:pPr>
        <w:ind w:left="3600" w:hanging="360"/>
      </w:pPr>
    </w:lvl>
    <w:lvl w:ilvl="5" w:tplc="8970F5C8">
      <w:start w:val="1"/>
      <w:numFmt w:val="lowerRoman"/>
      <w:lvlText w:val="%6."/>
      <w:lvlJc w:val="right"/>
      <w:pPr>
        <w:ind w:left="4320" w:hanging="180"/>
      </w:pPr>
    </w:lvl>
    <w:lvl w:ilvl="6" w:tplc="BC94007E">
      <w:start w:val="1"/>
      <w:numFmt w:val="decimal"/>
      <w:lvlText w:val="%7."/>
      <w:lvlJc w:val="left"/>
      <w:pPr>
        <w:ind w:left="5040" w:hanging="360"/>
      </w:pPr>
    </w:lvl>
    <w:lvl w:ilvl="7" w:tplc="46904EBA">
      <w:start w:val="1"/>
      <w:numFmt w:val="lowerLetter"/>
      <w:lvlText w:val="%8."/>
      <w:lvlJc w:val="left"/>
      <w:pPr>
        <w:ind w:left="5760" w:hanging="360"/>
      </w:pPr>
    </w:lvl>
    <w:lvl w:ilvl="8" w:tplc="C6CCFD48">
      <w:start w:val="1"/>
      <w:numFmt w:val="lowerRoman"/>
      <w:lvlText w:val="%9."/>
      <w:lvlJc w:val="right"/>
      <w:pPr>
        <w:ind w:left="6480" w:hanging="180"/>
      </w:pPr>
    </w:lvl>
  </w:abstractNum>
  <w:abstractNum w:abstractNumId="19">
    <w:nsid w:val="00000015"/>
    <w:multiLevelType w:val="hybridMultilevel"/>
    <w:tmpl w:val="C9A69716"/>
    <w:lvl w:ilvl="0" w:tplc="941A46DC">
      <w:start w:val="1"/>
      <w:numFmt w:val="decimal"/>
      <w:lvlText w:val="%1."/>
      <w:lvlJc w:val="left"/>
      <w:pPr>
        <w:ind w:left="720" w:hanging="360"/>
      </w:pPr>
    </w:lvl>
    <w:lvl w:ilvl="1" w:tplc="CAF01530">
      <w:start w:val="1"/>
      <w:numFmt w:val="lowerLetter"/>
      <w:lvlText w:val="%2."/>
      <w:lvlJc w:val="left"/>
      <w:pPr>
        <w:ind w:left="1440" w:hanging="360"/>
      </w:pPr>
    </w:lvl>
    <w:lvl w:ilvl="2" w:tplc="25383C14">
      <w:start w:val="1"/>
      <w:numFmt w:val="lowerRoman"/>
      <w:lvlText w:val="%3."/>
      <w:lvlJc w:val="right"/>
      <w:pPr>
        <w:ind w:left="2160" w:hanging="180"/>
      </w:pPr>
    </w:lvl>
    <w:lvl w:ilvl="3" w:tplc="28E08196">
      <w:start w:val="1"/>
      <w:numFmt w:val="decimal"/>
      <w:lvlText w:val="%4."/>
      <w:lvlJc w:val="left"/>
      <w:pPr>
        <w:ind w:left="2880" w:hanging="360"/>
      </w:pPr>
    </w:lvl>
    <w:lvl w:ilvl="4" w:tplc="DA7A17F0">
      <w:start w:val="1"/>
      <w:numFmt w:val="lowerLetter"/>
      <w:lvlText w:val="%5."/>
      <w:lvlJc w:val="left"/>
      <w:pPr>
        <w:ind w:left="3600" w:hanging="360"/>
      </w:pPr>
    </w:lvl>
    <w:lvl w:ilvl="5" w:tplc="A6269610">
      <w:start w:val="1"/>
      <w:numFmt w:val="lowerRoman"/>
      <w:lvlText w:val="%6."/>
      <w:lvlJc w:val="right"/>
      <w:pPr>
        <w:ind w:left="4320" w:hanging="180"/>
      </w:pPr>
    </w:lvl>
    <w:lvl w:ilvl="6" w:tplc="62749666">
      <w:start w:val="1"/>
      <w:numFmt w:val="decimal"/>
      <w:lvlText w:val="%7."/>
      <w:lvlJc w:val="left"/>
      <w:pPr>
        <w:ind w:left="5040" w:hanging="360"/>
      </w:pPr>
    </w:lvl>
    <w:lvl w:ilvl="7" w:tplc="6FB4EDF8">
      <w:start w:val="1"/>
      <w:numFmt w:val="lowerLetter"/>
      <w:lvlText w:val="%8."/>
      <w:lvlJc w:val="left"/>
      <w:pPr>
        <w:ind w:left="5760" w:hanging="360"/>
      </w:pPr>
    </w:lvl>
    <w:lvl w:ilvl="8" w:tplc="E4BA3A52">
      <w:start w:val="1"/>
      <w:numFmt w:val="lowerRoman"/>
      <w:lvlText w:val="%9."/>
      <w:lvlJc w:val="right"/>
      <w:pPr>
        <w:ind w:left="6480" w:hanging="180"/>
      </w:pPr>
    </w:lvl>
  </w:abstractNum>
  <w:abstractNum w:abstractNumId="20">
    <w:nsid w:val="00000016"/>
    <w:multiLevelType w:val="hybridMultilevel"/>
    <w:tmpl w:val="F2AA04BE"/>
    <w:lvl w:ilvl="0" w:tplc="CC36E826">
      <w:start w:val="1"/>
      <w:numFmt w:val="decimal"/>
      <w:lvlText w:val="13.%1."/>
      <w:lvlJc w:val="left"/>
      <w:pPr>
        <w:ind w:left="720" w:hanging="360"/>
      </w:pPr>
    </w:lvl>
    <w:lvl w:ilvl="1" w:tplc="B70030F4">
      <w:start w:val="1"/>
      <w:numFmt w:val="lowerLetter"/>
      <w:lvlText w:val="%2."/>
      <w:lvlJc w:val="left"/>
      <w:pPr>
        <w:ind w:left="1440" w:hanging="360"/>
      </w:pPr>
    </w:lvl>
    <w:lvl w:ilvl="2" w:tplc="761C81A6">
      <w:start w:val="1"/>
      <w:numFmt w:val="lowerRoman"/>
      <w:lvlText w:val="%3."/>
      <w:lvlJc w:val="right"/>
      <w:pPr>
        <w:ind w:left="2160" w:hanging="180"/>
      </w:pPr>
    </w:lvl>
    <w:lvl w:ilvl="3" w:tplc="34EE03D0">
      <w:start w:val="1"/>
      <w:numFmt w:val="decimal"/>
      <w:lvlText w:val="%4."/>
      <w:lvlJc w:val="left"/>
      <w:pPr>
        <w:ind w:left="2880" w:hanging="360"/>
      </w:pPr>
    </w:lvl>
    <w:lvl w:ilvl="4" w:tplc="83943146">
      <w:start w:val="1"/>
      <w:numFmt w:val="lowerLetter"/>
      <w:lvlText w:val="%5."/>
      <w:lvlJc w:val="left"/>
      <w:pPr>
        <w:ind w:left="3600" w:hanging="360"/>
      </w:pPr>
    </w:lvl>
    <w:lvl w:ilvl="5" w:tplc="BDC83726">
      <w:start w:val="1"/>
      <w:numFmt w:val="lowerRoman"/>
      <w:lvlText w:val="%6."/>
      <w:lvlJc w:val="right"/>
      <w:pPr>
        <w:ind w:left="4320" w:hanging="180"/>
      </w:pPr>
    </w:lvl>
    <w:lvl w:ilvl="6" w:tplc="15D2844C">
      <w:start w:val="1"/>
      <w:numFmt w:val="decimal"/>
      <w:lvlText w:val="%7."/>
      <w:lvlJc w:val="left"/>
      <w:pPr>
        <w:ind w:left="5040" w:hanging="360"/>
      </w:pPr>
    </w:lvl>
    <w:lvl w:ilvl="7" w:tplc="CFC66674">
      <w:start w:val="1"/>
      <w:numFmt w:val="lowerLetter"/>
      <w:lvlText w:val="%8."/>
      <w:lvlJc w:val="left"/>
      <w:pPr>
        <w:ind w:left="5760" w:hanging="360"/>
      </w:pPr>
    </w:lvl>
    <w:lvl w:ilvl="8" w:tplc="07465052">
      <w:start w:val="1"/>
      <w:numFmt w:val="lowerRoman"/>
      <w:lvlText w:val="%9."/>
      <w:lvlJc w:val="right"/>
      <w:pPr>
        <w:ind w:left="6480" w:hanging="180"/>
      </w:pPr>
    </w:lvl>
  </w:abstractNum>
  <w:abstractNum w:abstractNumId="21">
    <w:nsid w:val="00000017"/>
    <w:multiLevelType w:val="hybridMultilevel"/>
    <w:tmpl w:val="67D61D96"/>
    <w:lvl w:ilvl="0" w:tplc="6974F14C">
      <w:start w:val="1"/>
      <w:numFmt w:val="decimal"/>
      <w:lvlText w:val="13.%1."/>
      <w:lvlJc w:val="left"/>
      <w:pPr>
        <w:ind w:left="720" w:hanging="360"/>
      </w:pPr>
    </w:lvl>
    <w:lvl w:ilvl="1" w:tplc="77E62A38">
      <w:start w:val="1"/>
      <w:numFmt w:val="lowerLetter"/>
      <w:lvlText w:val="%2."/>
      <w:lvlJc w:val="left"/>
      <w:pPr>
        <w:ind w:left="1440" w:hanging="360"/>
      </w:pPr>
    </w:lvl>
    <w:lvl w:ilvl="2" w:tplc="3070C898">
      <w:start w:val="1"/>
      <w:numFmt w:val="lowerRoman"/>
      <w:lvlText w:val="%3."/>
      <w:lvlJc w:val="right"/>
      <w:pPr>
        <w:ind w:left="2160" w:hanging="180"/>
      </w:pPr>
    </w:lvl>
    <w:lvl w:ilvl="3" w:tplc="F5402E22">
      <w:start w:val="1"/>
      <w:numFmt w:val="decimal"/>
      <w:lvlText w:val="%4."/>
      <w:lvlJc w:val="left"/>
      <w:pPr>
        <w:ind w:left="2880" w:hanging="360"/>
      </w:pPr>
    </w:lvl>
    <w:lvl w:ilvl="4" w:tplc="5E9A8D66">
      <w:start w:val="1"/>
      <w:numFmt w:val="lowerLetter"/>
      <w:lvlText w:val="%5."/>
      <w:lvlJc w:val="left"/>
      <w:pPr>
        <w:ind w:left="3600" w:hanging="360"/>
      </w:pPr>
    </w:lvl>
    <w:lvl w:ilvl="5" w:tplc="ED488AAA">
      <w:start w:val="1"/>
      <w:numFmt w:val="lowerRoman"/>
      <w:lvlText w:val="%6."/>
      <w:lvlJc w:val="right"/>
      <w:pPr>
        <w:ind w:left="4320" w:hanging="180"/>
      </w:pPr>
    </w:lvl>
    <w:lvl w:ilvl="6" w:tplc="21EA7520">
      <w:start w:val="1"/>
      <w:numFmt w:val="decimal"/>
      <w:lvlText w:val="%7."/>
      <w:lvlJc w:val="left"/>
      <w:pPr>
        <w:ind w:left="5040" w:hanging="360"/>
      </w:pPr>
    </w:lvl>
    <w:lvl w:ilvl="7" w:tplc="BB321BEE">
      <w:start w:val="1"/>
      <w:numFmt w:val="lowerLetter"/>
      <w:lvlText w:val="%8."/>
      <w:lvlJc w:val="left"/>
      <w:pPr>
        <w:ind w:left="5760" w:hanging="360"/>
      </w:pPr>
    </w:lvl>
    <w:lvl w:ilvl="8" w:tplc="E1C02146">
      <w:start w:val="1"/>
      <w:numFmt w:val="lowerRoman"/>
      <w:lvlText w:val="%9."/>
      <w:lvlJc w:val="right"/>
      <w:pPr>
        <w:ind w:left="6480" w:hanging="180"/>
      </w:pPr>
    </w:lvl>
  </w:abstractNum>
  <w:abstractNum w:abstractNumId="22">
    <w:nsid w:val="00000018"/>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3">
    <w:nsid w:val="0000001A"/>
    <w:multiLevelType w:val="multilevel"/>
    <w:tmpl w:val="FE68A5C4"/>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4">
    <w:nsid w:val="0000001B"/>
    <w:multiLevelType w:val="multilevel"/>
    <w:tmpl w:val="313ADC1A"/>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0000001C"/>
    <w:multiLevelType w:val="multilevel"/>
    <w:tmpl w:val="02F24F50"/>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0000001D"/>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0000001E"/>
    <w:multiLevelType w:val="hybridMultilevel"/>
    <w:tmpl w:val="E23C9EFE"/>
    <w:lvl w:ilvl="0" w:tplc="D856F256">
      <w:numFmt w:val="bullet"/>
      <w:lvlText w:val="-"/>
      <w:lvlJc w:val="left"/>
      <w:pPr>
        <w:tabs>
          <w:tab w:val="num" w:pos="720"/>
        </w:tabs>
        <w:ind w:left="720" w:hanging="360"/>
      </w:pPr>
      <w:rPr>
        <w:rFonts w:ascii="Futura Lt BT" w:hAnsi="Futura Lt BT" w:cs="Times New Roman" w:hint="default"/>
      </w:rPr>
    </w:lvl>
    <w:lvl w:ilvl="1" w:tplc="92987364" w:tentative="1">
      <w:start w:val="1"/>
      <w:numFmt w:val="bullet"/>
      <w:lvlText w:val="o"/>
      <w:lvlJc w:val="left"/>
      <w:pPr>
        <w:tabs>
          <w:tab w:val="num" w:pos="1440"/>
        </w:tabs>
        <w:ind w:left="1440" w:hanging="360"/>
      </w:pPr>
      <w:rPr>
        <w:rFonts w:ascii="Courier New" w:hAnsi="Courier New" w:cs="Courier New" w:hint="default"/>
      </w:rPr>
    </w:lvl>
    <w:lvl w:ilvl="2" w:tplc="4C6E6544" w:tentative="1">
      <w:start w:val="1"/>
      <w:numFmt w:val="bullet"/>
      <w:lvlText w:val=""/>
      <w:lvlJc w:val="left"/>
      <w:pPr>
        <w:tabs>
          <w:tab w:val="num" w:pos="2160"/>
        </w:tabs>
        <w:ind w:left="2160" w:hanging="360"/>
      </w:pPr>
      <w:rPr>
        <w:rFonts w:ascii="Wingdings" w:hAnsi="Wingdings" w:hint="default"/>
      </w:rPr>
    </w:lvl>
    <w:lvl w:ilvl="3" w:tplc="63E0F3D4" w:tentative="1">
      <w:start w:val="1"/>
      <w:numFmt w:val="bullet"/>
      <w:lvlText w:val=""/>
      <w:lvlJc w:val="left"/>
      <w:pPr>
        <w:tabs>
          <w:tab w:val="num" w:pos="2880"/>
        </w:tabs>
        <w:ind w:left="2880" w:hanging="360"/>
      </w:pPr>
      <w:rPr>
        <w:rFonts w:ascii="Symbol" w:hAnsi="Symbol" w:hint="default"/>
      </w:rPr>
    </w:lvl>
    <w:lvl w:ilvl="4" w:tplc="907670AE" w:tentative="1">
      <w:start w:val="1"/>
      <w:numFmt w:val="bullet"/>
      <w:lvlText w:val="o"/>
      <w:lvlJc w:val="left"/>
      <w:pPr>
        <w:tabs>
          <w:tab w:val="num" w:pos="3600"/>
        </w:tabs>
        <w:ind w:left="3600" w:hanging="360"/>
      </w:pPr>
      <w:rPr>
        <w:rFonts w:ascii="Courier New" w:hAnsi="Courier New" w:cs="Courier New" w:hint="default"/>
      </w:rPr>
    </w:lvl>
    <w:lvl w:ilvl="5" w:tplc="61EACF18" w:tentative="1">
      <w:start w:val="1"/>
      <w:numFmt w:val="bullet"/>
      <w:lvlText w:val=""/>
      <w:lvlJc w:val="left"/>
      <w:pPr>
        <w:tabs>
          <w:tab w:val="num" w:pos="4320"/>
        </w:tabs>
        <w:ind w:left="4320" w:hanging="360"/>
      </w:pPr>
      <w:rPr>
        <w:rFonts w:ascii="Wingdings" w:hAnsi="Wingdings" w:hint="default"/>
      </w:rPr>
    </w:lvl>
    <w:lvl w:ilvl="6" w:tplc="84368120" w:tentative="1">
      <w:start w:val="1"/>
      <w:numFmt w:val="bullet"/>
      <w:lvlText w:val=""/>
      <w:lvlJc w:val="left"/>
      <w:pPr>
        <w:tabs>
          <w:tab w:val="num" w:pos="5040"/>
        </w:tabs>
        <w:ind w:left="5040" w:hanging="360"/>
      </w:pPr>
      <w:rPr>
        <w:rFonts w:ascii="Symbol" w:hAnsi="Symbol" w:hint="default"/>
      </w:rPr>
    </w:lvl>
    <w:lvl w:ilvl="7" w:tplc="3AC2768A" w:tentative="1">
      <w:start w:val="1"/>
      <w:numFmt w:val="bullet"/>
      <w:lvlText w:val="o"/>
      <w:lvlJc w:val="left"/>
      <w:pPr>
        <w:tabs>
          <w:tab w:val="num" w:pos="5760"/>
        </w:tabs>
        <w:ind w:left="5760" w:hanging="360"/>
      </w:pPr>
      <w:rPr>
        <w:rFonts w:ascii="Courier New" w:hAnsi="Courier New" w:cs="Courier New" w:hint="default"/>
      </w:rPr>
    </w:lvl>
    <w:lvl w:ilvl="8" w:tplc="2C68F8C2" w:tentative="1">
      <w:start w:val="1"/>
      <w:numFmt w:val="bullet"/>
      <w:lvlText w:val=""/>
      <w:lvlJc w:val="left"/>
      <w:pPr>
        <w:tabs>
          <w:tab w:val="num" w:pos="6480"/>
        </w:tabs>
        <w:ind w:left="6480" w:hanging="360"/>
      </w:pPr>
      <w:rPr>
        <w:rFonts w:ascii="Wingdings" w:hAnsi="Wingdings" w:hint="default"/>
      </w:rPr>
    </w:lvl>
  </w:abstractNum>
  <w:abstractNum w:abstractNumId="28">
    <w:nsid w:val="0000001F"/>
    <w:multiLevelType w:val="hybridMultilevel"/>
    <w:tmpl w:val="36C6AE94"/>
    <w:lvl w:ilvl="0" w:tplc="A0EE66C0">
      <w:start w:val="1"/>
      <w:numFmt w:val="lowerRoman"/>
      <w:pStyle w:val="Listi"/>
      <w:lvlText w:val="%1)"/>
      <w:lvlJc w:val="left"/>
      <w:pPr>
        <w:tabs>
          <w:tab w:val="num" w:pos="1080"/>
        </w:tabs>
        <w:ind w:left="1080" w:hanging="720"/>
      </w:pPr>
      <w:rPr>
        <w:rFonts w:cs="Times New Roman" w:hint="default"/>
      </w:rPr>
    </w:lvl>
    <w:lvl w:ilvl="1" w:tplc="5E66E3D6">
      <w:start w:val="1"/>
      <w:numFmt w:val="lowerLetter"/>
      <w:lvlText w:val="%2."/>
      <w:lvlJc w:val="left"/>
      <w:pPr>
        <w:tabs>
          <w:tab w:val="num" w:pos="1440"/>
        </w:tabs>
        <w:ind w:left="1440" w:hanging="360"/>
      </w:pPr>
      <w:rPr>
        <w:rFonts w:cs="Times New Roman"/>
      </w:rPr>
    </w:lvl>
    <w:lvl w:ilvl="2" w:tplc="43AC93FA">
      <w:start w:val="1"/>
      <w:numFmt w:val="lowerRoman"/>
      <w:lvlText w:val="%3."/>
      <w:lvlJc w:val="right"/>
      <w:pPr>
        <w:tabs>
          <w:tab w:val="num" w:pos="2160"/>
        </w:tabs>
        <w:ind w:left="2160" w:hanging="180"/>
      </w:pPr>
      <w:rPr>
        <w:rFonts w:cs="Times New Roman"/>
      </w:rPr>
    </w:lvl>
    <w:lvl w:ilvl="3" w:tplc="50B24690">
      <w:start w:val="1"/>
      <w:numFmt w:val="decimal"/>
      <w:lvlText w:val="%4."/>
      <w:lvlJc w:val="left"/>
      <w:pPr>
        <w:tabs>
          <w:tab w:val="num" w:pos="2880"/>
        </w:tabs>
        <w:ind w:left="2880" w:hanging="360"/>
      </w:pPr>
      <w:rPr>
        <w:rFonts w:cs="Times New Roman"/>
      </w:rPr>
    </w:lvl>
    <w:lvl w:ilvl="4" w:tplc="52202C48">
      <w:start w:val="1"/>
      <w:numFmt w:val="lowerLetter"/>
      <w:lvlText w:val="%5."/>
      <w:lvlJc w:val="left"/>
      <w:pPr>
        <w:tabs>
          <w:tab w:val="num" w:pos="3600"/>
        </w:tabs>
        <w:ind w:left="3600" w:hanging="360"/>
      </w:pPr>
      <w:rPr>
        <w:rFonts w:cs="Times New Roman"/>
      </w:rPr>
    </w:lvl>
    <w:lvl w:ilvl="5" w:tplc="4DF8B524">
      <w:start w:val="1"/>
      <w:numFmt w:val="lowerRoman"/>
      <w:lvlText w:val="%6."/>
      <w:lvlJc w:val="right"/>
      <w:pPr>
        <w:tabs>
          <w:tab w:val="num" w:pos="4320"/>
        </w:tabs>
        <w:ind w:left="4320" w:hanging="180"/>
      </w:pPr>
      <w:rPr>
        <w:rFonts w:cs="Times New Roman"/>
      </w:rPr>
    </w:lvl>
    <w:lvl w:ilvl="6" w:tplc="A7B2FB18">
      <w:start w:val="1"/>
      <w:numFmt w:val="decimal"/>
      <w:lvlText w:val="%7."/>
      <w:lvlJc w:val="left"/>
      <w:pPr>
        <w:tabs>
          <w:tab w:val="num" w:pos="5040"/>
        </w:tabs>
        <w:ind w:left="5040" w:hanging="360"/>
      </w:pPr>
      <w:rPr>
        <w:rFonts w:cs="Times New Roman"/>
      </w:rPr>
    </w:lvl>
    <w:lvl w:ilvl="7" w:tplc="4EF69FDC">
      <w:start w:val="1"/>
      <w:numFmt w:val="lowerLetter"/>
      <w:lvlText w:val="%8."/>
      <w:lvlJc w:val="left"/>
      <w:pPr>
        <w:tabs>
          <w:tab w:val="num" w:pos="5760"/>
        </w:tabs>
        <w:ind w:left="5760" w:hanging="360"/>
      </w:pPr>
      <w:rPr>
        <w:rFonts w:cs="Times New Roman"/>
      </w:rPr>
    </w:lvl>
    <w:lvl w:ilvl="8" w:tplc="56DCB454">
      <w:start w:val="1"/>
      <w:numFmt w:val="lowerRoman"/>
      <w:lvlText w:val="%9."/>
      <w:lvlJc w:val="right"/>
      <w:pPr>
        <w:tabs>
          <w:tab w:val="num" w:pos="6480"/>
        </w:tabs>
        <w:ind w:left="6480" w:hanging="180"/>
      </w:pPr>
      <w:rPr>
        <w:rFonts w:cs="Times New Roman"/>
      </w:rPr>
    </w:lvl>
  </w:abstractNum>
  <w:abstractNum w:abstractNumId="29">
    <w:nsid w:val="00000020"/>
    <w:multiLevelType w:val="hybridMultilevel"/>
    <w:tmpl w:val="8DCE8CBC"/>
    <w:lvl w:ilvl="0" w:tplc="9738D370">
      <w:start w:val="1"/>
      <w:numFmt w:val="lowerRoman"/>
      <w:lvlText w:val="%1)"/>
      <w:lvlJc w:val="left"/>
      <w:pPr>
        <w:ind w:left="1080" w:hanging="720"/>
      </w:pPr>
      <w:rPr>
        <w:rFonts w:hint="default"/>
      </w:rPr>
    </w:lvl>
    <w:lvl w:ilvl="1" w:tplc="18A027E4" w:tentative="1">
      <w:start w:val="1"/>
      <w:numFmt w:val="lowerLetter"/>
      <w:lvlText w:val="%2."/>
      <w:lvlJc w:val="left"/>
      <w:pPr>
        <w:ind w:left="1440" w:hanging="360"/>
      </w:pPr>
    </w:lvl>
    <w:lvl w:ilvl="2" w:tplc="BDD40C06" w:tentative="1">
      <w:start w:val="1"/>
      <w:numFmt w:val="lowerRoman"/>
      <w:lvlText w:val="%3."/>
      <w:lvlJc w:val="right"/>
      <w:pPr>
        <w:ind w:left="2160" w:hanging="180"/>
      </w:pPr>
    </w:lvl>
    <w:lvl w:ilvl="3" w:tplc="C2908D9C" w:tentative="1">
      <w:start w:val="1"/>
      <w:numFmt w:val="decimal"/>
      <w:lvlText w:val="%4."/>
      <w:lvlJc w:val="left"/>
      <w:pPr>
        <w:ind w:left="2880" w:hanging="360"/>
      </w:pPr>
    </w:lvl>
    <w:lvl w:ilvl="4" w:tplc="FC18BBEA" w:tentative="1">
      <w:start w:val="1"/>
      <w:numFmt w:val="lowerLetter"/>
      <w:lvlText w:val="%5."/>
      <w:lvlJc w:val="left"/>
      <w:pPr>
        <w:ind w:left="3600" w:hanging="360"/>
      </w:pPr>
    </w:lvl>
    <w:lvl w:ilvl="5" w:tplc="8174E830" w:tentative="1">
      <w:start w:val="1"/>
      <w:numFmt w:val="lowerRoman"/>
      <w:lvlText w:val="%6."/>
      <w:lvlJc w:val="right"/>
      <w:pPr>
        <w:ind w:left="4320" w:hanging="180"/>
      </w:pPr>
    </w:lvl>
    <w:lvl w:ilvl="6" w:tplc="119A875E" w:tentative="1">
      <w:start w:val="1"/>
      <w:numFmt w:val="decimal"/>
      <w:lvlText w:val="%7."/>
      <w:lvlJc w:val="left"/>
      <w:pPr>
        <w:ind w:left="5040" w:hanging="360"/>
      </w:pPr>
    </w:lvl>
    <w:lvl w:ilvl="7" w:tplc="A802E642" w:tentative="1">
      <w:start w:val="1"/>
      <w:numFmt w:val="lowerLetter"/>
      <w:lvlText w:val="%8."/>
      <w:lvlJc w:val="left"/>
      <w:pPr>
        <w:ind w:left="5760" w:hanging="360"/>
      </w:pPr>
    </w:lvl>
    <w:lvl w:ilvl="8" w:tplc="20548648" w:tentative="1">
      <w:start w:val="1"/>
      <w:numFmt w:val="lowerRoman"/>
      <w:lvlText w:val="%9."/>
      <w:lvlJc w:val="right"/>
      <w:pPr>
        <w:ind w:left="6480" w:hanging="180"/>
      </w:pPr>
    </w:lvl>
  </w:abstractNum>
  <w:abstractNum w:abstractNumId="30">
    <w:nsid w:val="00000021"/>
    <w:multiLevelType w:val="multilevel"/>
    <w:tmpl w:val="D21C2936"/>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2"/>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00000022"/>
    <w:multiLevelType w:val="multilevel"/>
    <w:tmpl w:val="ABF41DF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3"/>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00000023"/>
    <w:multiLevelType w:val="multilevel"/>
    <w:tmpl w:val="AAF651C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00000024"/>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0000025"/>
    <w:multiLevelType w:val="multilevel"/>
    <w:tmpl w:val="060C4874"/>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1"/>
      <w:numFmt w:val="decimal"/>
      <w:lvlText w:val="%1.%2.%3.5"/>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5">
    <w:nsid w:val="00000026"/>
    <w:multiLevelType w:val="multilevel"/>
    <w:tmpl w:val="C0E2270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6"/>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00000027"/>
    <w:multiLevelType w:val="multilevel"/>
    <w:tmpl w:val="3ED0195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7"/>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00000028"/>
    <w:multiLevelType w:val="multilevel"/>
    <w:tmpl w:val="580E6384"/>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4"/>
      <w:numFmt w:val="decimal"/>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00000029"/>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0000002A"/>
    <w:multiLevelType w:val="hybridMultilevel"/>
    <w:tmpl w:val="75360A3C"/>
    <w:lvl w:ilvl="0" w:tplc="AEAC9F48">
      <w:start w:val="1"/>
      <w:numFmt w:val="bullet"/>
      <w:lvlText w:val=""/>
      <w:lvlJc w:val="left"/>
      <w:pPr>
        <w:ind w:left="360" w:hanging="360"/>
      </w:pPr>
      <w:rPr>
        <w:rFonts w:ascii="Symbol" w:hAnsi="Symbol" w:hint="default"/>
      </w:rPr>
    </w:lvl>
    <w:lvl w:ilvl="1" w:tplc="36EEAD94" w:tentative="1">
      <w:start w:val="1"/>
      <w:numFmt w:val="bullet"/>
      <w:lvlText w:val="o"/>
      <w:lvlJc w:val="left"/>
      <w:pPr>
        <w:ind w:left="1080" w:hanging="360"/>
      </w:pPr>
      <w:rPr>
        <w:rFonts w:ascii="Courier New" w:hAnsi="Courier New" w:cs="Courier New" w:hint="default"/>
      </w:rPr>
    </w:lvl>
    <w:lvl w:ilvl="2" w:tplc="872ADB1E" w:tentative="1">
      <w:start w:val="1"/>
      <w:numFmt w:val="bullet"/>
      <w:lvlText w:val=""/>
      <w:lvlJc w:val="left"/>
      <w:pPr>
        <w:ind w:left="1800" w:hanging="360"/>
      </w:pPr>
      <w:rPr>
        <w:rFonts w:ascii="Wingdings" w:hAnsi="Wingdings" w:hint="default"/>
      </w:rPr>
    </w:lvl>
    <w:lvl w:ilvl="3" w:tplc="872C3686" w:tentative="1">
      <w:start w:val="1"/>
      <w:numFmt w:val="bullet"/>
      <w:lvlText w:val=""/>
      <w:lvlJc w:val="left"/>
      <w:pPr>
        <w:ind w:left="2520" w:hanging="360"/>
      </w:pPr>
      <w:rPr>
        <w:rFonts w:ascii="Symbol" w:hAnsi="Symbol" w:hint="default"/>
      </w:rPr>
    </w:lvl>
    <w:lvl w:ilvl="4" w:tplc="07BC14B8" w:tentative="1">
      <w:start w:val="1"/>
      <w:numFmt w:val="bullet"/>
      <w:lvlText w:val="o"/>
      <w:lvlJc w:val="left"/>
      <w:pPr>
        <w:ind w:left="3240" w:hanging="360"/>
      </w:pPr>
      <w:rPr>
        <w:rFonts w:ascii="Courier New" w:hAnsi="Courier New" w:cs="Courier New" w:hint="default"/>
      </w:rPr>
    </w:lvl>
    <w:lvl w:ilvl="5" w:tplc="30386182" w:tentative="1">
      <w:start w:val="1"/>
      <w:numFmt w:val="bullet"/>
      <w:lvlText w:val=""/>
      <w:lvlJc w:val="left"/>
      <w:pPr>
        <w:ind w:left="3960" w:hanging="360"/>
      </w:pPr>
      <w:rPr>
        <w:rFonts w:ascii="Wingdings" w:hAnsi="Wingdings" w:hint="default"/>
      </w:rPr>
    </w:lvl>
    <w:lvl w:ilvl="6" w:tplc="20FE31A8" w:tentative="1">
      <w:start w:val="1"/>
      <w:numFmt w:val="bullet"/>
      <w:lvlText w:val=""/>
      <w:lvlJc w:val="left"/>
      <w:pPr>
        <w:ind w:left="4680" w:hanging="360"/>
      </w:pPr>
      <w:rPr>
        <w:rFonts w:ascii="Symbol" w:hAnsi="Symbol" w:hint="default"/>
      </w:rPr>
    </w:lvl>
    <w:lvl w:ilvl="7" w:tplc="53C89880" w:tentative="1">
      <w:start w:val="1"/>
      <w:numFmt w:val="bullet"/>
      <w:lvlText w:val="o"/>
      <w:lvlJc w:val="left"/>
      <w:pPr>
        <w:ind w:left="5400" w:hanging="360"/>
      </w:pPr>
      <w:rPr>
        <w:rFonts w:ascii="Courier New" w:hAnsi="Courier New" w:cs="Courier New" w:hint="default"/>
      </w:rPr>
    </w:lvl>
    <w:lvl w:ilvl="8" w:tplc="D7A6ACA6" w:tentative="1">
      <w:start w:val="1"/>
      <w:numFmt w:val="bullet"/>
      <w:lvlText w:val=""/>
      <w:lvlJc w:val="left"/>
      <w:pPr>
        <w:ind w:left="6120" w:hanging="360"/>
      </w:pPr>
      <w:rPr>
        <w:rFonts w:ascii="Wingdings" w:hAnsi="Wingdings" w:hint="default"/>
      </w:rPr>
    </w:lvl>
  </w:abstractNum>
  <w:abstractNum w:abstractNumId="40">
    <w:nsid w:val="0000002B"/>
    <w:multiLevelType w:val="hybridMultilevel"/>
    <w:tmpl w:val="DD6AEF06"/>
    <w:lvl w:ilvl="0" w:tplc="A3662332">
      <w:start w:val="1"/>
      <w:numFmt w:val="bullet"/>
      <w:lvlText w:val=""/>
      <w:lvlJc w:val="left"/>
      <w:pPr>
        <w:ind w:left="360" w:hanging="360"/>
      </w:pPr>
      <w:rPr>
        <w:rFonts w:ascii="Symbol" w:hAnsi="Symbol" w:hint="default"/>
      </w:rPr>
    </w:lvl>
    <w:lvl w:ilvl="1" w:tplc="A376560C" w:tentative="1">
      <w:start w:val="1"/>
      <w:numFmt w:val="bullet"/>
      <w:lvlText w:val="o"/>
      <w:lvlJc w:val="left"/>
      <w:pPr>
        <w:ind w:left="1080" w:hanging="360"/>
      </w:pPr>
      <w:rPr>
        <w:rFonts w:ascii="Courier New" w:hAnsi="Courier New" w:cs="Courier New" w:hint="default"/>
      </w:rPr>
    </w:lvl>
    <w:lvl w:ilvl="2" w:tplc="64AC8076" w:tentative="1">
      <w:start w:val="1"/>
      <w:numFmt w:val="bullet"/>
      <w:lvlText w:val=""/>
      <w:lvlJc w:val="left"/>
      <w:pPr>
        <w:ind w:left="1800" w:hanging="360"/>
      </w:pPr>
      <w:rPr>
        <w:rFonts w:ascii="Wingdings" w:hAnsi="Wingdings" w:hint="default"/>
      </w:rPr>
    </w:lvl>
    <w:lvl w:ilvl="3" w:tplc="8EF8611C" w:tentative="1">
      <w:start w:val="1"/>
      <w:numFmt w:val="bullet"/>
      <w:lvlText w:val=""/>
      <w:lvlJc w:val="left"/>
      <w:pPr>
        <w:ind w:left="2520" w:hanging="360"/>
      </w:pPr>
      <w:rPr>
        <w:rFonts w:ascii="Symbol" w:hAnsi="Symbol" w:hint="default"/>
      </w:rPr>
    </w:lvl>
    <w:lvl w:ilvl="4" w:tplc="F284351A" w:tentative="1">
      <w:start w:val="1"/>
      <w:numFmt w:val="bullet"/>
      <w:lvlText w:val="o"/>
      <w:lvlJc w:val="left"/>
      <w:pPr>
        <w:ind w:left="3240" w:hanging="360"/>
      </w:pPr>
      <w:rPr>
        <w:rFonts w:ascii="Courier New" w:hAnsi="Courier New" w:cs="Courier New" w:hint="default"/>
      </w:rPr>
    </w:lvl>
    <w:lvl w:ilvl="5" w:tplc="8022285E" w:tentative="1">
      <w:start w:val="1"/>
      <w:numFmt w:val="bullet"/>
      <w:lvlText w:val=""/>
      <w:lvlJc w:val="left"/>
      <w:pPr>
        <w:ind w:left="3960" w:hanging="360"/>
      </w:pPr>
      <w:rPr>
        <w:rFonts w:ascii="Wingdings" w:hAnsi="Wingdings" w:hint="default"/>
      </w:rPr>
    </w:lvl>
    <w:lvl w:ilvl="6" w:tplc="0888AC20" w:tentative="1">
      <w:start w:val="1"/>
      <w:numFmt w:val="bullet"/>
      <w:lvlText w:val=""/>
      <w:lvlJc w:val="left"/>
      <w:pPr>
        <w:ind w:left="4680" w:hanging="360"/>
      </w:pPr>
      <w:rPr>
        <w:rFonts w:ascii="Symbol" w:hAnsi="Symbol" w:hint="default"/>
      </w:rPr>
    </w:lvl>
    <w:lvl w:ilvl="7" w:tplc="CA5236B4" w:tentative="1">
      <w:start w:val="1"/>
      <w:numFmt w:val="bullet"/>
      <w:lvlText w:val="o"/>
      <w:lvlJc w:val="left"/>
      <w:pPr>
        <w:ind w:left="5400" w:hanging="360"/>
      </w:pPr>
      <w:rPr>
        <w:rFonts w:ascii="Courier New" w:hAnsi="Courier New" w:cs="Courier New" w:hint="default"/>
      </w:rPr>
    </w:lvl>
    <w:lvl w:ilvl="8" w:tplc="F770245A" w:tentative="1">
      <w:start w:val="1"/>
      <w:numFmt w:val="bullet"/>
      <w:lvlText w:val=""/>
      <w:lvlJc w:val="left"/>
      <w:pPr>
        <w:ind w:left="6120" w:hanging="360"/>
      </w:pPr>
      <w:rPr>
        <w:rFonts w:ascii="Wingdings" w:hAnsi="Wingdings" w:hint="default"/>
      </w:rPr>
    </w:lvl>
  </w:abstractNum>
  <w:abstractNum w:abstractNumId="41">
    <w:nsid w:val="0000002C"/>
    <w:multiLevelType w:val="multilevel"/>
    <w:tmpl w:val="71C885E0"/>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6"/>
      <w:numFmt w:val="decimal"/>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0000002E"/>
    <w:multiLevelType w:val="multilevel"/>
    <w:tmpl w:val="8E0E4E5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nsid w:val="0000002F"/>
    <w:multiLevelType w:val="multilevel"/>
    <w:tmpl w:val="FC1C745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4">
    <w:nsid w:val="00000030"/>
    <w:multiLevelType w:val="multilevel"/>
    <w:tmpl w:val="03C0349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5">
    <w:nsid w:val="00000031"/>
    <w:multiLevelType w:val="multilevel"/>
    <w:tmpl w:val="4190BB1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ascii="Arial" w:hAnsi="Arial" w:cs="Arial" w:hint="default"/>
        <w:b/>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00000032"/>
    <w:multiLevelType w:val="multilevel"/>
    <w:tmpl w:val="253020C6"/>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00000033"/>
    <w:multiLevelType w:val="hybridMultilevel"/>
    <w:tmpl w:val="AC84B144"/>
    <w:lvl w:ilvl="0" w:tplc="19DA497E">
      <w:numFmt w:val="bullet"/>
      <w:lvlText w:val="-"/>
      <w:lvlJc w:val="left"/>
      <w:pPr>
        <w:tabs>
          <w:tab w:val="num" w:pos="720"/>
        </w:tabs>
        <w:ind w:left="720" w:hanging="360"/>
      </w:pPr>
      <w:rPr>
        <w:rFonts w:ascii="Futura Lt BT" w:hAnsi="Futura Lt BT" w:cs="Times New Roman" w:hint="default"/>
      </w:rPr>
    </w:lvl>
    <w:lvl w:ilvl="1" w:tplc="C7E89D44" w:tentative="1">
      <w:start w:val="1"/>
      <w:numFmt w:val="bullet"/>
      <w:lvlText w:val="o"/>
      <w:lvlJc w:val="left"/>
      <w:pPr>
        <w:tabs>
          <w:tab w:val="num" w:pos="1080"/>
        </w:tabs>
        <w:ind w:left="1080" w:hanging="360"/>
      </w:pPr>
      <w:rPr>
        <w:rFonts w:ascii="Courier New" w:hAnsi="Courier New" w:cs="Courier New" w:hint="default"/>
      </w:rPr>
    </w:lvl>
    <w:lvl w:ilvl="2" w:tplc="EAD22366" w:tentative="1">
      <w:start w:val="1"/>
      <w:numFmt w:val="bullet"/>
      <w:lvlText w:val=""/>
      <w:lvlJc w:val="left"/>
      <w:pPr>
        <w:tabs>
          <w:tab w:val="num" w:pos="1800"/>
        </w:tabs>
        <w:ind w:left="1800" w:hanging="360"/>
      </w:pPr>
      <w:rPr>
        <w:rFonts w:ascii="Wingdings" w:hAnsi="Wingdings" w:hint="default"/>
      </w:rPr>
    </w:lvl>
    <w:lvl w:ilvl="3" w:tplc="832215C4" w:tentative="1">
      <w:start w:val="1"/>
      <w:numFmt w:val="bullet"/>
      <w:lvlText w:val=""/>
      <w:lvlJc w:val="left"/>
      <w:pPr>
        <w:tabs>
          <w:tab w:val="num" w:pos="2520"/>
        </w:tabs>
        <w:ind w:left="2520" w:hanging="360"/>
      </w:pPr>
      <w:rPr>
        <w:rFonts w:ascii="Symbol" w:hAnsi="Symbol" w:hint="default"/>
      </w:rPr>
    </w:lvl>
    <w:lvl w:ilvl="4" w:tplc="4CDE70E8" w:tentative="1">
      <w:start w:val="1"/>
      <w:numFmt w:val="bullet"/>
      <w:lvlText w:val="o"/>
      <w:lvlJc w:val="left"/>
      <w:pPr>
        <w:tabs>
          <w:tab w:val="num" w:pos="3240"/>
        </w:tabs>
        <w:ind w:left="3240" w:hanging="360"/>
      </w:pPr>
      <w:rPr>
        <w:rFonts w:ascii="Courier New" w:hAnsi="Courier New" w:cs="Courier New" w:hint="default"/>
      </w:rPr>
    </w:lvl>
    <w:lvl w:ilvl="5" w:tplc="DD06F42C" w:tentative="1">
      <w:start w:val="1"/>
      <w:numFmt w:val="bullet"/>
      <w:lvlText w:val=""/>
      <w:lvlJc w:val="left"/>
      <w:pPr>
        <w:tabs>
          <w:tab w:val="num" w:pos="3960"/>
        </w:tabs>
        <w:ind w:left="3960" w:hanging="360"/>
      </w:pPr>
      <w:rPr>
        <w:rFonts w:ascii="Wingdings" w:hAnsi="Wingdings" w:hint="default"/>
      </w:rPr>
    </w:lvl>
    <w:lvl w:ilvl="6" w:tplc="BE8CAEF0" w:tentative="1">
      <w:start w:val="1"/>
      <w:numFmt w:val="bullet"/>
      <w:lvlText w:val=""/>
      <w:lvlJc w:val="left"/>
      <w:pPr>
        <w:tabs>
          <w:tab w:val="num" w:pos="4680"/>
        </w:tabs>
        <w:ind w:left="4680" w:hanging="360"/>
      </w:pPr>
      <w:rPr>
        <w:rFonts w:ascii="Symbol" w:hAnsi="Symbol" w:hint="default"/>
      </w:rPr>
    </w:lvl>
    <w:lvl w:ilvl="7" w:tplc="DDE06FFE" w:tentative="1">
      <w:start w:val="1"/>
      <w:numFmt w:val="bullet"/>
      <w:lvlText w:val="o"/>
      <w:lvlJc w:val="left"/>
      <w:pPr>
        <w:tabs>
          <w:tab w:val="num" w:pos="5400"/>
        </w:tabs>
        <w:ind w:left="5400" w:hanging="360"/>
      </w:pPr>
      <w:rPr>
        <w:rFonts w:ascii="Courier New" w:hAnsi="Courier New" w:cs="Courier New" w:hint="default"/>
      </w:rPr>
    </w:lvl>
    <w:lvl w:ilvl="8" w:tplc="E5D48262" w:tentative="1">
      <w:start w:val="1"/>
      <w:numFmt w:val="bullet"/>
      <w:lvlText w:val=""/>
      <w:lvlJc w:val="left"/>
      <w:pPr>
        <w:tabs>
          <w:tab w:val="num" w:pos="6120"/>
        </w:tabs>
        <w:ind w:left="6120" w:hanging="360"/>
      </w:pPr>
      <w:rPr>
        <w:rFonts w:ascii="Wingdings" w:hAnsi="Wingdings" w:hint="default"/>
      </w:rPr>
    </w:lvl>
  </w:abstractNum>
  <w:abstractNum w:abstractNumId="48">
    <w:nsid w:val="00000034"/>
    <w:multiLevelType w:val="hybridMultilevel"/>
    <w:tmpl w:val="AC84B144"/>
    <w:lvl w:ilvl="0" w:tplc="0CD4738A">
      <w:numFmt w:val="bullet"/>
      <w:lvlText w:val="-"/>
      <w:lvlJc w:val="left"/>
      <w:pPr>
        <w:tabs>
          <w:tab w:val="num" w:pos="720"/>
        </w:tabs>
        <w:ind w:left="720" w:hanging="360"/>
      </w:pPr>
      <w:rPr>
        <w:rFonts w:ascii="Futura Lt BT" w:hAnsi="Futura Lt BT" w:cs="Times New Roman" w:hint="default"/>
      </w:rPr>
    </w:lvl>
    <w:lvl w:ilvl="1" w:tplc="E72283D2">
      <w:start w:val="1"/>
      <w:numFmt w:val="bullet"/>
      <w:lvlText w:val="o"/>
      <w:lvlJc w:val="left"/>
      <w:pPr>
        <w:tabs>
          <w:tab w:val="num" w:pos="1080"/>
        </w:tabs>
        <w:ind w:left="1080" w:hanging="360"/>
      </w:pPr>
      <w:rPr>
        <w:rFonts w:ascii="Courier New" w:hAnsi="Courier New" w:cs="Courier New" w:hint="default"/>
      </w:rPr>
    </w:lvl>
    <w:lvl w:ilvl="2" w:tplc="7DAE101E">
      <w:start w:val="1"/>
      <w:numFmt w:val="bullet"/>
      <w:lvlText w:val=""/>
      <w:lvlJc w:val="left"/>
      <w:pPr>
        <w:tabs>
          <w:tab w:val="num" w:pos="1800"/>
        </w:tabs>
        <w:ind w:left="1800" w:hanging="360"/>
      </w:pPr>
      <w:rPr>
        <w:rFonts w:ascii="Wingdings" w:hAnsi="Wingdings" w:hint="default"/>
      </w:rPr>
    </w:lvl>
    <w:lvl w:ilvl="3" w:tplc="94D42724">
      <w:start w:val="1"/>
      <w:numFmt w:val="bullet"/>
      <w:lvlText w:val=""/>
      <w:lvlJc w:val="left"/>
      <w:pPr>
        <w:tabs>
          <w:tab w:val="num" w:pos="2520"/>
        </w:tabs>
        <w:ind w:left="2520" w:hanging="360"/>
      </w:pPr>
      <w:rPr>
        <w:rFonts w:ascii="Symbol" w:hAnsi="Symbol" w:hint="default"/>
      </w:rPr>
    </w:lvl>
    <w:lvl w:ilvl="4" w:tplc="F8849A9A">
      <w:start w:val="1"/>
      <w:numFmt w:val="bullet"/>
      <w:lvlText w:val="o"/>
      <w:lvlJc w:val="left"/>
      <w:pPr>
        <w:tabs>
          <w:tab w:val="num" w:pos="3240"/>
        </w:tabs>
        <w:ind w:left="3240" w:hanging="360"/>
      </w:pPr>
      <w:rPr>
        <w:rFonts w:ascii="Courier New" w:hAnsi="Courier New" w:cs="Courier New" w:hint="default"/>
      </w:rPr>
    </w:lvl>
    <w:lvl w:ilvl="5" w:tplc="8C146D8A">
      <w:start w:val="1"/>
      <w:numFmt w:val="bullet"/>
      <w:lvlText w:val=""/>
      <w:lvlJc w:val="left"/>
      <w:pPr>
        <w:tabs>
          <w:tab w:val="num" w:pos="3960"/>
        </w:tabs>
        <w:ind w:left="3960" w:hanging="360"/>
      </w:pPr>
      <w:rPr>
        <w:rFonts w:ascii="Wingdings" w:hAnsi="Wingdings" w:hint="default"/>
      </w:rPr>
    </w:lvl>
    <w:lvl w:ilvl="6" w:tplc="C59A19BC">
      <w:start w:val="1"/>
      <w:numFmt w:val="bullet"/>
      <w:lvlText w:val=""/>
      <w:lvlJc w:val="left"/>
      <w:pPr>
        <w:tabs>
          <w:tab w:val="num" w:pos="4680"/>
        </w:tabs>
        <w:ind w:left="4680" w:hanging="360"/>
      </w:pPr>
      <w:rPr>
        <w:rFonts w:ascii="Symbol" w:hAnsi="Symbol" w:hint="default"/>
      </w:rPr>
    </w:lvl>
    <w:lvl w:ilvl="7" w:tplc="A2343254">
      <w:start w:val="1"/>
      <w:numFmt w:val="bullet"/>
      <w:lvlText w:val="o"/>
      <w:lvlJc w:val="left"/>
      <w:pPr>
        <w:tabs>
          <w:tab w:val="num" w:pos="5400"/>
        </w:tabs>
        <w:ind w:left="5400" w:hanging="360"/>
      </w:pPr>
      <w:rPr>
        <w:rFonts w:ascii="Courier New" w:hAnsi="Courier New" w:cs="Courier New" w:hint="default"/>
      </w:rPr>
    </w:lvl>
    <w:lvl w:ilvl="8" w:tplc="3D2E7D42">
      <w:start w:val="1"/>
      <w:numFmt w:val="bullet"/>
      <w:lvlText w:val=""/>
      <w:lvlJc w:val="left"/>
      <w:pPr>
        <w:tabs>
          <w:tab w:val="num" w:pos="6120"/>
        </w:tabs>
        <w:ind w:left="6120" w:hanging="360"/>
      </w:pPr>
      <w:rPr>
        <w:rFonts w:ascii="Wingdings" w:hAnsi="Wingdings" w:hint="default"/>
      </w:rPr>
    </w:lvl>
  </w:abstractNum>
  <w:abstractNum w:abstractNumId="49">
    <w:nsid w:val="00000035"/>
    <w:multiLevelType w:val="multilevel"/>
    <w:tmpl w:val="23E45C68"/>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00000036"/>
    <w:multiLevelType w:val="multilevel"/>
    <w:tmpl w:val="2E62EAD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00000037"/>
    <w:multiLevelType w:val="multilevel"/>
    <w:tmpl w:val="D92028A0"/>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00000039"/>
    <w:multiLevelType w:val="hybridMultilevel"/>
    <w:tmpl w:val="A61ACEF2"/>
    <w:lvl w:ilvl="0" w:tplc="3B5A42CA">
      <w:numFmt w:val="bullet"/>
      <w:lvlText w:val="-"/>
      <w:lvlJc w:val="left"/>
      <w:pPr>
        <w:tabs>
          <w:tab w:val="num" w:pos="720"/>
        </w:tabs>
        <w:ind w:left="720" w:hanging="360"/>
      </w:pPr>
      <w:rPr>
        <w:rFonts w:ascii="Futura Lt BT" w:hAnsi="Futura Lt BT" w:cs="Times New Roman" w:hint="default"/>
      </w:rPr>
    </w:lvl>
    <w:lvl w:ilvl="1" w:tplc="C3DC5924">
      <w:start w:val="1"/>
      <w:numFmt w:val="bullet"/>
      <w:lvlText w:val="o"/>
      <w:lvlJc w:val="left"/>
      <w:pPr>
        <w:tabs>
          <w:tab w:val="num" w:pos="1440"/>
        </w:tabs>
        <w:ind w:left="1440" w:hanging="360"/>
      </w:pPr>
      <w:rPr>
        <w:rFonts w:ascii="Courier New" w:hAnsi="Courier New" w:cs="Courier New" w:hint="default"/>
      </w:rPr>
    </w:lvl>
    <w:lvl w:ilvl="2" w:tplc="2C7261A4" w:tentative="1">
      <w:start w:val="1"/>
      <w:numFmt w:val="bullet"/>
      <w:lvlText w:val=""/>
      <w:lvlJc w:val="left"/>
      <w:pPr>
        <w:tabs>
          <w:tab w:val="num" w:pos="2160"/>
        </w:tabs>
        <w:ind w:left="2160" w:hanging="360"/>
      </w:pPr>
      <w:rPr>
        <w:rFonts w:ascii="Wingdings" w:hAnsi="Wingdings" w:hint="default"/>
      </w:rPr>
    </w:lvl>
    <w:lvl w:ilvl="3" w:tplc="3C2CB192" w:tentative="1">
      <w:start w:val="1"/>
      <w:numFmt w:val="bullet"/>
      <w:lvlText w:val=""/>
      <w:lvlJc w:val="left"/>
      <w:pPr>
        <w:tabs>
          <w:tab w:val="num" w:pos="2880"/>
        </w:tabs>
        <w:ind w:left="2880" w:hanging="360"/>
      </w:pPr>
      <w:rPr>
        <w:rFonts w:ascii="Symbol" w:hAnsi="Symbol" w:hint="default"/>
      </w:rPr>
    </w:lvl>
    <w:lvl w:ilvl="4" w:tplc="AC9A13FA" w:tentative="1">
      <w:start w:val="1"/>
      <w:numFmt w:val="bullet"/>
      <w:lvlText w:val="o"/>
      <w:lvlJc w:val="left"/>
      <w:pPr>
        <w:tabs>
          <w:tab w:val="num" w:pos="3600"/>
        </w:tabs>
        <w:ind w:left="3600" w:hanging="360"/>
      </w:pPr>
      <w:rPr>
        <w:rFonts w:ascii="Courier New" w:hAnsi="Courier New" w:cs="Courier New" w:hint="default"/>
      </w:rPr>
    </w:lvl>
    <w:lvl w:ilvl="5" w:tplc="CDB2D92E" w:tentative="1">
      <w:start w:val="1"/>
      <w:numFmt w:val="bullet"/>
      <w:lvlText w:val=""/>
      <w:lvlJc w:val="left"/>
      <w:pPr>
        <w:tabs>
          <w:tab w:val="num" w:pos="4320"/>
        </w:tabs>
        <w:ind w:left="4320" w:hanging="360"/>
      </w:pPr>
      <w:rPr>
        <w:rFonts w:ascii="Wingdings" w:hAnsi="Wingdings" w:hint="default"/>
      </w:rPr>
    </w:lvl>
    <w:lvl w:ilvl="6" w:tplc="5404934A" w:tentative="1">
      <w:start w:val="1"/>
      <w:numFmt w:val="bullet"/>
      <w:lvlText w:val=""/>
      <w:lvlJc w:val="left"/>
      <w:pPr>
        <w:tabs>
          <w:tab w:val="num" w:pos="5040"/>
        </w:tabs>
        <w:ind w:left="5040" w:hanging="360"/>
      </w:pPr>
      <w:rPr>
        <w:rFonts w:ascii="Symbol" w:hAnsi="Symbol" w:hint="default"/>
      </w:rPr>
    </w:lvl>
    <w:lvl w:ilvl="7" w:tplc="2BEC6BFC" w:tentative="1">
      <w:start w:val="1"/>
      <w:numFmt w:val="bullet"/>
      <w:lvlText w:val="o"/>
      <w:lvlJc w:val="left"/>
      <w:pPr>
        <w:tabs>
          <w:tab w:val="num" w:pos="5760"/>
        </w:tabs>
        <w:ind w:left="5760" w:hanging="360"/>
      </w:pPr>
      <w:rPr>
        <w:rFonts w:ascii="Courier New" w:hAnsi="Courier New" w:cs="Courier New" w:hint="default"/>
      </w:rPr>
    </w:lvl>
    <w:lvl w:ilvl="8" w:tplc="233AC6C8" w:tentative="1">
      <w:start w:val="1"/>
      <w:numFmt w:val="bullet"/>
      <w:lvlText w:val=""/>
      <w:lvlJc w:val="left"/>
      <w:pPr>
        <w:tabs>
          <w:tab w:val="num" w:pos="6480"/>
        </w:tabs>
        <w:ind w:left="6480" w:hanging="360"/>
      </w:pPr>
      <w:rPr>
        <w:rFonts w:ascii="Wingdings" w:hAnsi="Wingdings" w:hint="default"/>
      </w:rPr>
    </w:lvl>
  </w:abstractNum>
  <w:abstractNum w:abstractNumId="53">
    <w:nsid w:val="0000003A"/>
    <w:multiLevelType w:val="hybridMultilevel"/>
    <w:tmpl w:val="5580A1BA"/>
    <w:lvl w:ilvl="0" w:tplc="F6FA8C22">
      <w:start w:val="1"/>
      <w:numFmt w:val="decimal"/>
      <w:lvlText w:val="7.%1"/>
      <w:lvlJc w:val="left"/>
      <w:pPr>
        <w:ind w:left="720" w:hanging="360"/>
      </w:pPr>
      <w:rPr>
        <w:rFonts w:ascii="Arial" w:hAnsi="Arial" w:hint="default"/>
        <w:b/>
        <w:i w:val="0"/>
        <w:sz w:val="20"/>
      </w:rPr>
    </w:lvl>
    <w:lvl w:ilvl="1" w:tplc="726E7C86" w:tentative="1">
      <w:start w:val="1"/>
      <w:numFmt w:val="lowerLetter"/>
      <w:lvlText w:val="%2."/>
      <w:lvlJc w:val="left"/>
      <w:pPr>
        <w:ind w:left="1440" w:hanging="360"/>
      </w:pPr>
    </w:lvl>
    <w:lvl w:ilvl="2" w:tplc="97D668AC" w:tentative="1">
      <w:start w:val="1"/>
      <w:numFmt w:val="lowerRoman"/>
      <w:lvlText w:val="%3."/>
      <w:lvlJc w:val="right"/>
      <w:pPr>
        <w:ind w:left="2160" w:hanging="180"/>
      </w:pPr>
    </w:lvl>
    <w:lvl w:ilvl="3" w:tplc="E57EACB6" w:tentative="1">
      <w:start w:val="1"/>
      <w:numFmt w:val="decimal"/>
      <w:lvlText w:val="%4."/>
      <w:lvlJc w:val="left"/>
      <w:pPr>
        <w:ind w:left="2880" w:hanging="360"/>
      </w:pPr>
    </w:lvl>
    <w:lvl w:ilvl="4" w:tplc="42FE6B80" w:tentative="1">
      <w:start w:val="1"/>
      <w:numFmt w:val="lowerLetter"/>
      <w:lvlText w:val="%5."/>
      <w:lvlJc w:val="left"/>
      <w:pPr>
        <w:ind w:left="3600" w:hanging="360"/>
      </w:pPr>
    </w:lvl>
    <w:lvl w:ilvl="5" w:tplc="9B2C5872" w:tentative="1">
      <w:start w:val="1"/>
      <w:numFmt w:val="lowerRoman"/>
      <w:lvlText w:val="%6."/>
      <w:lvlJc w:val="right"/>
      <w:pPr>
        <w:ind w:left="4320" w:hanging="180"/>
      </w:pPr>
    </w:lvl>
    <w:lvl w:ilvl="6" w:tplc="5E0ED740" w:tentative="1">
      <w:start w:val="1"/>
      <w:numFmt w:val="decimal"/>
      <w:lvlText w:val="%7."/>
      <w:lvlJc w:val="left"/>
      <w:pPr>
        <w:ind w:left="5040" w:hanging="360"/>
      </w:pPr>
    </w:lvl>
    <w:lvl w:ilvl="7" w:tplc="6AD28584" w:tentative="1">
      <w:start w:val="1"/>
      <w:numFmt w:val="lowerLetter"/>
      <w:lvlText w:val="%8."/>
      <w:lvlJc w:val="left"/>
      <w:pPr>
        <w:ind w:left="5760" w:hanging="360"/>
      </w:pPr>
    </w:lvl>
    <w:lvl w:ilvl="8" w:tplc="8E7253F6" w:tentative="1">
      <w:start w:val="1"/>
      <w:numFmt w:val="lowerRoman"/>
      <w:lvlText w:val="%9."/>
      <w:lvlJc w:val="right"/>
      <w:pPr>
        <w:ind w:left="6480" w:hanging="180"/>
      </w:pPr>
    </w:lvl>
  </w:abstractNum>
  <w:abstractNum w:abstractNumId="54">
    <w:nsid w:val="0000003C"/>
    <w:multiLevelType w:val="hybridMultilevel"/>
    <w:tmpl w:val="F38271A4"/>
    <w:lvl w:ilvl="0" w:tplc="FCC4865C">
      <w:start w:val="1"/>
      <w:numFmt w:val="bullet"/>
      <w:lvlText w:val=""/>
      <w:lvlJc w:val="left"/>
      <w:pPr>
        <w:ind w:left="720" w:hanging="360"/>
      </w:pPr>
      <w:rPr>
        <w:rFonts w:ascii="Symbol" w:hAnsi="Symbol" w:hint="default"/>
      </w:rPr>
    </w:lvl>
    <w:lvl w:ilvl="1" w:tplc="05F01B0A">
      <w:start w:val="1"/>
      <w:numFmt w:val="bullet"/>
      <w:lvlText w:val="o"/>
      <w:lvlJc w:val="left"/>
      <w:pPr>
        <w:ind w:left="1440" w:hanging="360"/>
      </w:pPr>
      <w:rPr>
        <w:rFonts w:ascii="Courier New" w:hAnsi="Courier New" w:cs="Courier New" w:hint="default"/>
      </w:rPr>
    </w:lvl>
    <w:lvl w:ilvl="2" w:tplc="C804C8FC">
      <w:start w:val="1"/>
      <w:numFmt w:val="bullet"/>
      <w:lvlText w:val=""/>
      <w:lvlJc w:val="left"/>
      <w:pPr>
        <w:ind w:left="2160" w:hanging="360"/>
      </w:pPr>
      <w:rPr>
        <w:rFonts w:ascii="Wingdings" w:hAnsi="Wingdings" w:hint="default"/>
      </w:rPr>
    </w:lvl>
    <w:lvl w:ilvl="3" w:tplc="09288BAC">
      <w:start w:val="1"/>
      <w:numFmt w:val="bullet"/>
      <w:lvlText w:val=""/>
      <w:lvlJc w:val="left"/>
      <w:pPr>
        <w:ind w:left="2880" w:hanging="360"/>
      </w:pPr>
      <w:rPr>
        <w:rFonts w:ascii="Symbol" w:hAnsi="Symbol" w:hint="default"/>
      </w:rPr>
    </w:lvl>
    <w:lvl w:ilvl="4" w:tplc="D182F33A">
      <w:start w:val="1"/>
      <w:numFmt w:val="bullet"/>
      <w:lvlText w:val="o"/>
      <w:lvlJc w:val="left"/>
      <w:pPr>
        <w:ind w:left="3600" w:hanging="360"/>
      </w:pPr>
      <w:rPr>
        <w:rFonts w:ascii="Courier New" w:hAnsi="Courier New" w:cs="Courier New" w:hint="default"/>
      </w:rPr>
    </w:lvl>
    <w:lvl w:ilvl="5" w:tplc="A77E0F04">
      <w:start w:val="1"/>
      <w:numFmt w:val="bullet"/>
      <w:lvlText w:val=""/>
      <w:lvlJc w:val="left"/>
      <w:pPr>
        <w:ind w:left="4320" w:hanging="360"/>
      </w:pPr>
      <w:rPr>
        <w:rFonts w:ascii="Wingdings" w:hAnsi="Wingdings" w:hint="default"/>
      </w:rPr>
    </w:lvl>
    <w:lvl w:ilvl="6" w:tplc="92AA1A8C">
      <w:start w:val="1"/>
      <w:numFmt w:val="bullet"/>
      <w:lvlText w:val=""/>
      <w:lvlJc w:val="left"/>
      <w:pPr>
        <w:ind w:left="5040" w:hanging="360"/>
      </w:pPr>
      <w:rPr>
        <w:rFonts w:ascii="Symbol" w:hAnsi="Symbol" w:hint="default"/>
      </w:rPr>
    </w:lvl>
    <w:lvl w:ilvl="7" w:tplc="D92E4DCC">
      <w:start w:val="1"/>
      <w:numFmt w:val="bullet"/>
      <w:lvlText w:val="o"/>
      <w:lvlJc w:val="left"/>
      <w:pPr>
        <w:ind w:left="5760" w:hanging="360"/>
      </w:pPr>
      <w:rPr>
        <w:rFonts w:ascii="Courier New" w:hAnsi="Courier New" w:cs="Courier New" w:hint="default"/>
      </w:rPr>
    </w:lvl>
    <w:lvl w:ilvl="8" w:tplc="E4F66114">
      <w:start w:val="1"/>
      <w:numFmt w:val="bullet"/>
      <w:lvlText w:val=""/>
      <w:lvlJc w:val="left"/>
      <w:pPr>
        <w:ind w:left="6480" w:hanging="360"/>
      </w:pPr>
      <w:rPr>
        <w:rFonts w:ascii="Wingdings" w:hAnsi="Wingdings" w:hint="default"/>
      </w:rPr>
    </w:lvl>
  </w:abstractNum>
  <w:abstractNum w:abstractNumId="55">
    <w:nsid w:val="00241FE7"/>
    <w:multiLevelType w:val="hybridMultilevel"/>
    <w:tmpl w:val="AAB4413C"/>
    <w:lvl w:ilvl="0" w:tplc="0406C540">
      <w:numFmt w:val="bullet"/>
      <w:lvlText w:val="•"/>
      <w:lvlJc w:val="left"/>
      <w:pPr>
        <w:ind w:left="1080" w:hanging="720"/>
      </w:pPr>
      <w:rPr>
        <w:rFonts w:ascii="Verdana" w:eastAsia="Times New Roman" w:hAnsi="Verdana" w:cs="Times New Roman" w:hint="default"/>
      </w:rPr>
    </w:lvl>
    <w:lvl w:ilvl="1" w:tplc="DF2ACE88" w:tentative="1">
      <w:start w:val="1"/>
      <w:numFmt w:val="bullet"/>
      <w:lvlText w:val="o"/>
      <w:lvlJc w:val="left"/>
      <w:pPr>
        <w:ind w:left="1440" w:hanging="360"/>
      </w:pPr>
      <w:rPr>
        <w:rFonts w:ascii="Courier New" w:hAnsi="Courier New" w:cs="Courier New" w:hint="default"/>
      </w:rPr>
    </w:lvl>
    <w:lvl w:ilvl="2" w:tplc="B642981A" w:tentative="1">
      <w:start w:val="1"/>
      <w:numFmt w:val="bullet"/>
      <w:lvlText w:val=""/>
      <w:lvlJc w:val="left"/>
      <w:pPr>
        <w:ind w:left="2160" w:hanging="360"/>
      </w:pPr>
      <w:rPr>
        <w:rFonts w:ascii="Wingdings" w:hAnsi="Wingdings" w:hint="default"/>
      </w:rPr>
    </w:lvl>
    <w:lvl w:ilvl="3" w:tplc="9F0E7846" w:tentative="1">
      <w:start w:val="1"/>
      <w:numFmt w:val="bullet"/>
      <w:lvlText w:val=""/>
      <w:lvlJc w:val="left"/>
      <w:pPr>
        <w:ind w:left="2880" w:hanging="360"/>
      </w:pPr>
      <w:rPr>
        <w:rFonts w:ascii="Symbol" w:hAnsi="Symbol" w:hint="default"/>
      </w:rPr>
    </w:lvl>
    <w:lvl w:ilvl="4" w:tplc="B0EA8D84" w:tentative="1">
      <w:start w:val="1"/>
      <w:numFmt w:val="bullet"/>
      <w:lvlText w:val="o"/>
      <w:lvlJc w:val="left"/>
      <w:pPr>
        <w:ind w:left="3600" w:hanging="360"/>
      </w:pPr>
      <w:rPr>
        <w:rFonts w:ascii="Courier New" w:hAnsi="Courier New" w:cs="Courier New" w:hint="default"/>
      </w:rPr>
    </w:lvl>
    <w:lvl w:ilvl="5" w:tplc="7E3C2A1C" w:tentative="1">
      <w:start w:val="1"/>
      <w:numFmt w:val="bullet"/>
      <w:lvlText w:val=""/>
      <w:lvlJc w:val="left"/>
      <w:pPr>
        <w:ind w:left="4320" w:hanging="360"/>
      </w:pPr>
      <w:rPr>
        <w:rFonts w:ascii="Wingdings" w:hAnsi="Wingdings" w:hint="default"/>
      </w:rPr>
    </w:lvl>
    <w:lvl w:ilvl="6" w:tplc="BC4C2FC2" w:tentative="1">
      <w:start w:val="1"/>
      <w:numFmt w:val="bullet"/>
      <w:lvlText w:val=""/>
      <w:lvlJc w:val="left"/>
      <w:pPr>
        <w:ind w:left="5040" w:hanging="360"/>
      </w:pPr>
      <w:rPr>
        <w:rFonts w:ascii="Symbol" w:hAnsi="Symbol" w:hint="default"/>
      </w:rPr>
    </w:lvl>
    <w:lvl w:ilvl="7" w:tplc="AE1C097E" w:tentative="1">
      <w:start w:val="1"/>
      <w:numFmt w:val="bullet"/>
      <w:lvlText w:val="o"/>
      <w:lvlJc w:val="left"/>
      <w:pPr>
        <w:ind w:left="5760" w:hanging="360"/>
      </w:pPr>
      <w:rPr>
        <w:rFonts w:ascii="Courier New" w:hAnsi="Courier New" w:cs="Courier New" w:hint="default"/>
      </w:rPr>
    </w:lvl>
    <w:lvl w:ilvl="8" w:tplc="8604F0D2" w:tentative="1">
      <w:start w:val="1"/>
      <w:numFmt w:val="bullet"/>
      <w:lvlText w:val=""/>
      <w:lvlJc w:val="left"/>
      <w:pPr>
        <w:ind w:left="6480" w:hanging="360"/>
      </w:pPr>
      <w:rPr>
        <w:rFonts w:ascii="Wingdings" w:hAnsi="Wingdings" w:hint="default"/>
      </w:rPr>
    </w:lvl>
  </w:abstractNum>
  <w:abstractNum w:abstractNumId="5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03102962"/>
    <w:multiLevelType w:val="hybridMultilevel"/>
    <w:tmpl w:val="961E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098A3198"/>
    <w:multiLevelType w:val="hybridMultilevel"/>
    <w:tmpl w:val="A99C3C74"/>
    <w:lvl w:ilvl="0" w:tplc="754C6A62">
      <w:start w:val="1"/>
      <w:numFmt w:val="decimal"/>
      <w:pStyle w:val="HEADER4Part3"/>
      <w:lvlText w:val="%1.1.1.1"/>
      <w:lvlJc w:val="left"/>
      <w:pPr>
        <w:ind w:left="720" w:hanging="360"/>
      </w:pPr>
      <w:rPr>
        <w:rFonts w:ascii="Verdana" w:hAnsi="Verdana" w:hint="default"/>
        <w:sz w:val="18"/>
        <w:szCs w:val="18"/>
      </w:rPr>
    </w:lvl>
    <w:lvl w:ilvl="1" w:tplc="BB7C38F2" w:tentative="1">
      <w:start w:val="1"/>
      <w:numFmt w:val="lowerLetter"/>
      <w:lvlText w:val="%2."/>
      <w:lvlJc w:val="left"/>
      <w:pPr>
        <w:ind w:left="1440" w:hanging="360"/>
      </w:pPr>
    </w:lvl>
    <w:lvl w:ilvl="2" w:tplc="19E00054" w:tentative="1">
      <w:start w:val="1"/>
      <w:numFmt w:val="lowerRoman"/>
      <w:lvlText w:val="%3."/>
      <w:lvlJc w:val="right"/>
      <w:pPr>
        <w:ind w:left="2160" w:hanging="180"/>
      </w:pPr>
    </w:lvl>
    <w:lvl w:ilvl="3" w:tplc="FAC022D0">
      <w:start w:val="1"/>
      <w:numFmt w:val="decimal"/>
      <w:lvlText w:val="%4."/>
      <w:lvlJc w:val="left"/>
      <w:pPr>
        <w:ind w:left="2880" w:hanging="360"/>
      </w:pPr>
    </w:lvl>
    <w:lvl w:ilvl="4" w:tplc="047C755E" w:tentative="1">
      <w:start w:val="1"/>
      <w:numFmt w:val="lowerLetter"/>
      <w:lvlText w:val="%5."/>
      <w:lvlJc w:val="left"/>
      <w:pPr>
        <w:ind w:left="3600" w:hanging="360"/>
      </w:pPr>
    </w:lvl>
    <w:lvl w:ilvl="5" w:tplc="37F29604" w:tentative="1">
      <w:start w:val="1"/>
      <w:numFmt w:val="lowerRoman"/>
      <w:lvlText w:val="%6."/>
      <w:lvlJc w:val="right"/>
      <w:pPr>
        <w:ind w:left="4320" w:hanging="180"/>
      </w:pPr>
    </w:lvl>
    <w:lvl w:ilvl="6" w:tplc="8A566C8A" w:tentative="1">
      <w:start w:val="1"/>
      <w:numFmt w:val="decimal"/>
      <w:lvlText w:val="%7."/>
      <w:lvlJc w:val="left"/>
      <w:pPr>
        <w:ind w:left="5040" w:hanging="360"/>
      </w:pPr>
    </w:lvl>
    <w:lvl w:ilvl="7" w:tplc="645232EA" w:tentative="1">
      <w:start w:val="1"/>
      <w:numFmt w:val="lowerLetter"/>
      <w:lvlText w:val="%8."/>
      <w:lvlJc w:val="left"/>
      <w:pPr>
        <w:ind w:left="5760" w:hanging="360"/>
      </w:pPr>
    </w:lvl>
    <w:lvl w:ilvl="8" w:tplc="AE8E22E4" w:tentative="1">
      <w:start w:val="1"/>
      <w:numFmt w:val="lowerRoman"/>
      <w:lvlText w:val="%9."/>
      <w:lvlJc w:val="right"/>
      <w:pPr>
        <w:ind w:left="6480" w:hanging="180"/>
      </w:pPr>
    </w:lvl>
  </w:abstractNum>
  <w:abstractNum w:abstractNumId="59">
    <w:nsid w:val="139979AC"/>
    <w:multiLevelType w:val="multilevel"/>
    <w:tmpl w:val="57FE0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0">
    <w:nsid w:val="16D93C53"/>
    <w:multiLevelType w:val="multilevel"/>
    <w:tmpl w:val="3466879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1">
    <w:nsid w:val="18C20344"/>
    <w:multiLevelType w:val="multilevel"/>
    <w:tmpl w:val="64AC76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2">
    <w:nsid w:val="199F1DAA"/>
    <w:multiLevelType w:val="hybridMultilevel"/>
    <w:tmpl w:val="1248AB5A"/>
    <w:lvl w:ilvl="0" w:tplc="4F608164">
      <w:start w:val="1"/>
      <w:numFmt w:val="decimal"/>
      <w:pStyle w:val="Textstand-alonenumberingJustified"/>
      <w:lvlText w:val="(%1)"/>
      <w:lvlJc w:val="left"/>
      <w:pPr>
        <w:ind w:left="720" w:hanging="360"/>
      </w:pPr>
      <w:rPr>
        <w:rFonts w:ascii="Verdana" w:hAnsi="Verdana" w:hint="default"/>
        <w:b w:val="0"/>
        <w:i w:val="0"/>
        <w:sz w:val="18"/>
      </w:rPr>
    </w:lvl>
    <w:lvl w:ilvl="1" w:tplc="48D44500" w:tentative="1">
      <w:start w:val="1"/>
      <w:numFmt w:val="lowerLetter"/>
      <w:lvlText w:val="%2."/>
      <w:lvlJc w:val="left"/>
      <w:pPr>
        <w:ind w:left="1440" w:hanging="360"/>
      </w:pPr>
    </w:lvl>
    <w:lvl w:ilvl="2" w:tplc="6108EA1C" w:tentative="1">
      <w:start w:val="1"/>
      <w:numFmt w:val="lowerRoman"/>
      <w:lvlText w:val="%3."/>
      <w:lvlJc w:val="right"/>
      <w:pPr>
        <w:ind w:left="2160" w:hanging="180"/>
      </w:pPr>
    </w:lvl>
    <w:lvl w:ilvl="3" w:tplc="E71CCA70" w:tentative="1">
      <w:start w:val="1"/>
      <w:numFmt w:val="decimal"/>
      <w:lvlText w:val="%4."/>
      <w:lvlJc w:val="left"/>
      <w:pPr>
        <w:ind w:left="2880" w:hanging="360"/>
      </w:pPr>
    </w:lvl>
    <w:lvl w:ilvl="4" w:tplc="B7524C34" w:tentative="1">
      <w:start w:val="1"/>
      <w:numFmt w:val="lowerLetter"/>
      <w:lvlText w:val="%5."/>
      <w:lvlJc w:val="left"/>
      <w:pPr>
        <w:ind w:left="3600" w:hanging="360"/>
      </w:pPr>
    </w:lvl>
    <w:lvl w:ilvl="5" w:tplc="F5F0A752" w:tentative="1">
      <w:start w:val="1"/>
      <w:numFmt w:val="lowerRoman"/>
      <w:lvlText w:val="%6."/>
      <w:lvlJc w:val="right"/>
      <w:pPr>
        <w:ind w:left="4320" w:hanging="180"/>
      </w:pPr>
    </w:lvl>
    <w:lvl w:ilvl="6" w:tplc="5F525E1A" w:tentative="1">
      <w:start w:val="1"/>
      <w:numFmt w:val="decimal"/>
      <w:lvlText w:val="%7."/>
      <w:lvlJc w:val="left"/>
      <w:pPr>
        <w:ind w:left="5040" w:hanging="360"/>
      </w:pPr>
    </w:lvl>
    <w:lvl w:ilvl="7" w:tplc="60BA1F2E" w:tentative="1">
      <w:start w:val="1"/>
      <w:numFmt w:val="lowerLetter"/>
      <w:lvlText w:val="%8."/>
      <w:lvlJc w:val="left"/>
      <w:pPr>
        <w:ind w:left="5760" w:hanging="360"/>
      </w:pPr>
    </w:lvl>
    <w:lvl w:ilvl="8" w:tplc="A920B99C" w:tentative="1">
      <w:start w:val="1"/>
      <w:numFmt w:val="lowerRoman"/>
      <w:lvlText w:val="%9."/>
      <w:lvlJc w:val="right"/>
      <w:pPr>
        <w:ind w:left="6480" w:hanging="180"/>
      </w:pPr>
    </w:lvl>
  </w:abstractNum>
  <w:abstractNum w:abstractNumId="63">
    <w:nsid w:val="23BC1015"/>
    <w:multiLevelType w:val="hybridMultilevel"/>
    <w:tmpl w:val="54E43FD4"/>
    <w:lvl w:ilvl="0" w:tplc="DF3C8080">
      <w:start w:val="1"/>
      <w:numFmt w:val="bullet"/>
      <w:lvlText w:val=""/>
      <w:lvlJc w:val="left"/>
      <w:pPr>
        <w:ind w:left="720" w:hanging="360"/>
      </w:pPr>
      <w:rPr>
        <w:rFonts w:ascii="Symbol" w:hAnsi="Symbol" w:hint="default"/>
      </w:rPr>
    </w:lvl>
    <w:lvl w:ilvl="1" w:tplc="475CEDC4" w:tentative="1">
      <w:start w:val="1"/>
      <w:numFmt w:val="bullet"/>
      <w:lvlText w:val="o"/>
      <w:lvlJc w:val="left"/>
      <w:pPr>
        <w:ind w:left="1440" w:hanging="360"/>
      </w:pPr>
      <w:rPr>
        <w:rFonts w:ascii="Courier New" w:hAnsi="Courier New" w:cs="Courier New" w:hint="default"/>
      </w:rPr>
    </w:lvl>
    <w:lvl w:ilvl="2" w:tplc="FC084398" w:tentative="1">
      <w:start w:val="1"/>
      <w:numFmt w:val="bullet"/>
      <w:lvlText w:val=""/>
      <w:lvlJc w:val="left"/>
      <w:pPr>
        <w:ind w:left="2160" w:hanging="360"/>
      </w:pPr>
      <w:rPr>
        <w:rFonts w:ascii="Wingdings" w:hAnsi="Wingdings" w:hint="default"/>
      </w:rPr>
    </w:lvl>
    <w:lvl w:ilvl="3" w:tplc="ADE84B20" w:tentative="1">
      <w:start w:val="1"/>
      <w:numFmt w:val="bullet"/>
      <w:lvlText w:val=""/>
      <w:lvlJc w:val="left"/>
      <w:pPr>
        <w:ind w:left="2880" w:hanging="360"/>
      </w:pPr>
      <w:rPr>
        <w:rFonts w:ascii="Symbol" w:hAnsi="Symbol" w:hint="default"/>
      </w:rPr>
    </w:lvl>
    <w:lvl w:ilvl="4" w:tplc="9B50D810" w:tentative="1">
      <w:start w:val="1"/>
      <w:numFmt w:val="bullet"/>
      <w:lvlText w:val="o"/>
      <w:lvlJc w:val="left"/>
      <w:pPr>
        <w:ind w:left="3600" w:hanging="360"/>
      </w:pPr>
      <w:rPr>
        <w:rFonts w:ascii="Courier New" w:hAnsi="Courier New" w:cs="Courier New" w:hint="default"/>
      </w:rPr>
    </w:lvl>
    <w:lvl w:ilvl="5" w:tplc="9B4C2BBE" w:tentative="1">
      <w:start w:val="1"/>
      <w:numFmt w:val="bullet"/>
      <w:lvlText w:val=""/>
      <w:lvlJc w:val="left"/>
      <w:pPr>
        <w:ind w:left="4320" w:hanging="360"/>
      </w:pPr>
      <w:rPr>
        <w:rFonts w:ascii="Wingdings" w:hAnsi="Wingdings" w:hint="default"/>
      </w:rPr>
    </w:lvl>
    <w:lvl w:ilvl="6" w:tplc="A128FAE6" w:tentative="1">
      <w:start w:val="1"/>
      <w:numFmt w:val="bullet"/>
      <w:lvlText w:val=""/>
      <w:lvlJc w:val="left"/>
      <w:pPr>
        <w:ind w:left="5040" w:hanging="360"/>
      </w:pPr>
      <w:rPr>
        <w:rFonts w:ascii="Symbol" w:hAnsi="Symbol" w:hint="default"/>
      </w:rPr>
    </w:lvl>
    <w:lvl w:ilvl="7" w:tplc="16204076" w:tentative="1">
      <w:start w:val="1"/>
      <w:numFmt w:val="bullet"/>
      <w:lvlText w:val="o"/>
      <w:lvlJc w:val="left"/>
      <w:pPr>
        <w:ind w:left="5760" w:hanging="360"/>
      </w:pPr>
      <w:rPr>
        <w:rFonts w:ascii="Courier New" w:hAnsi="Courier New" w:cs="Courier New" w:hint="default"/>
      </w:rPr>
    </w:lvl>
    <w:lvl w:ilvl="8" w:tplc="7A4E6628" w:tentative="1">
      <w:start w:val="1"/>
      <w:numFmt w:val="bullet"/>
      <w:lvlText w:val=""/>
      <w:lvlJc w:val="left"/>
      <w:pPr>
        <w:ind w:left="6480" w:hanging="360"/>
      </w:pPr>
      <w:rPr>
        <w:rFonts w:ascii="Wingdings" w:hAnsi="Wingdings" w:hint="default"/>
      </w:rPr>
    </w:lvl>
  </w:abstractNum>
  <w:abstractNum w:abstractNumId="64">
    <w:nsid w:val="243128E9"/>
    <w:multiLevelType w:val="multilevel"/>
    <w:tmpl w:val="7EDAE474"/>
    <w:lvl w:ilvl="0">
      <w:start w:val="1"/>
      <w:numFmt w:val="bullet"/>
      <w:lvlText w:val="-"/>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263169F2"/>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66">
    <w:nsid w:val="26815C0B"/>
    <w:multiLevelType w:val="hybridMultilevel"/>
    <w:tmpl w:val="29146802"/>
    <w:lvl w:ilvl="0" w:tplc="E8A81B7E">
      <w:start w:val="1"/>
      <w:numFmt w:val="lowerRoman"/>
      <w:pStyle w:val="TextSubtitlenumberingRCItalic"/>
      <w:lvlText w:val="%1)"/>
      <w:lvlJc w:val="left"/>
      <w:pPr>
        <w:tabs>
          <w:tab w:val="num" w:pos="0"/>
        </w:tabs>
        <w:ind w:left="1077" w:hanging="360"/>
      </w:pPr>
      <w:rPr>
        <w:rFonts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A28ED4DE" w:tentative="1">
      <w:start w:val="1"/>
      <w:numFmt w:val="lowerLetter"/>
      <w:lvlText w:val="%2."/>
      <w:lvlJc w:val="left"/>
      <w:pPr>
        <w:ind w:left="1797" w:hanging="360"/>
      </w:pPr>
    </w:lvl>
    <w:lvl w:ilvl="2" w:tplc="D2B0647E" w:tentative="1">
      <w:start w:val="1"/>
      <w:numFmt w:val="lowerRoman"/>
      <w:lvlText w:val="%3."/>
      <w:lvlJc w:val="right"/>
      <w:pPr>
        <w:ind w:left="2517" w:hanging="180"/>
      </w:pPr>
    </w:lvl>
    <w:lvl w:ilvl="3" w:tplc="CECCFD2C" w:tentative="1">
      <w:start w:val="1"/>
      <w:numFmt w:val="decimal"/>
      <w:lvlText w:val="%4."/>
      <w:lvlJc w:val="left"/>
      <w:pPr>
        <w:ind w:left="3237" w:hanging="360"/>
      </w:pPr>
    </w:lvl>
    <w:lvl w:ilvl="4" w:tplc="2452D1D4" w:tentative="1">
      <w:start w:val="1"/>
      <w:numFmt w:val="lowerLetter"/>
      <w:lvlText w:val="%5."/>
      <w:lvlJc w:val="left"/>
      <w:pPr>
        <w:ind w:left="3957" w:hanging="360"/>
      </w:pPr>
    </w:lvl>
    <w:lvl w:ilvl="5" w:tplc="631CA4B6" w:tentative="1">
      <w:start w:val="1"/>
      <w:numFmt w:val="lowerRoman"/>
      <w:lvlText w:val="%6."/>
      <w:lvlJc w:val="right"/>
      <w:pPr>
        <w:ind w:left="4677" w:hanging="180"/>
      </w:pPr>
    </w:lvl>
    <w:lvl w:ilvl="6" w:tplc="63308C92" w:tentative="1">
      <w:start w:val="1"/>
      <w:numFmt w:val="decimal"/>
      <w:lvlText w:val="%7."/>
      <w:lvlJc w:val="left"/>
      <w:pPr>
        <w:ind w:left="5397" w:hanging="360"/>
      </w:pPr>
    </w:lvl>
    <w:lvl w:ilvl="7" w:tplc="23A243E0" w:tentative="1">
      <w:start w:val="1"/>
      <w:numFmt w:val="lowerLetter"/>
      <w:lvlText w:val="%8."/>
      <w:lvlJc w:val="left"/>
      <w:pPr>
        <w:ind w:left="6117" w:hanging="360"/>
      </w:pPr>
    </w:lvl>
    <w:lvl w:ilvl="8" w:tplc="61BCC764" w:tentative="1">
      <w:start w:val="1"/>
      <w:numFmt w:val="lowerRoman"/>
      <w:lvlText w:val="%9."/>
      <w:lvlJc w:val="right"/>
      <w:pPr>
        <w:ind w:left="6837" w:hanging="180"/>
      </w:pPr>
    </w:lvl>
  </w:abstractNum>
  <w:abstractNum w:abstractNumId="67">
    <w:nsid w:val="2C8940D4"/>
    <w:multiLevelType w:val="hybridMultilevel"/>
    <w:tmpl w:val="AC6ADA8C"/>
    <w:name w:val="WW8Num52"/>
    <w:lvl w:ilvl="0" w:tplc="EC0643D4">
      <w:start w:val="1"/>
      <w:numFmt w:val="bullet"/>
      <w:lvlText w:val="-"/>
      <w:lvlJc w:val="left"/>
      <w:pPr>
        <w:ind w:left="1077" w:hanging="360"/>
      </w:pPr>
      <w:rPr>
        <w:rFonts w:ascii="Verdana" w:hAnsi="Verdana"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8">
    <w:nsid w:val="2D8F730A"/>
    <w:multiLevelType w:val="hybridMultilevel"/>
    <w:tmpl w:val="0D109A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9">
    <w:nsid w:val="31D31BBD"/>
    <w:multiLevelType w:val="hybridMultilevel"/>
    <w:tmpl w:val="AB545582"/>
    <w:lvl w:ilvl="0" w:tplc="52C0E7A6">
      <w:start w:val="1"/>
      <w:numFmt w:val="bullet"/>
      <w:pStyle w:val="Textstand-alonebulletpointJustified"/>
      <w:lvlText w:val=""/>
      <w:lvlJc w:val="left"/>
      <w:pPr>
        <w:ind w:left="1080" w:hanging="360"/>
      </w:pPr>
      <w:rPr>
        <w:rFonts w:ascii="Verdana" w:hAnsi="Verdana" w:hint="default"/>
      </w:rPr>
    </w:lvl>
    <w:lvl w:ilvl="1" w:tplc="7270AEEE" w:tentative="1">
      <w:start w:val="1"/>
      <w:numFmt w:val="bullet"/>
      <w:lvlText w:val="o"/>
      <w:lvlJc w:val="left"/>
      <w:pPr>
        <w:ind w:left="1800" w:hanging="360"/>
      </w:pPr>
      <w:rPr>
        <w:rFonts w:ascii="Courier New" w:hAnsi="Courier New" w:cs="Courier New" w:hint="default"/>
      </w:rPr>
    </w:lvl>
    <w:lvl w:ilvl="2" w:tplc="8696B380" w:tentative="1">
      <w:start w:val="1"/>
      <w:numFmt w:val="bullet"/>
      <w:lvlText w:val=""/>
      <w:lvlJc w:val="left"/>
      <w:pPr>
        <w:ind w:left="2520" w:hanging="360"/>
      </w:pPr>
      <w:rPr>
        <w:rFonts w:ascii="Wingdings" w:hAnsi="Wingdings" w:hint="default"/>
      </w:rPr>
    </w:lvl>
    <w:lvl w:ilvl="3" w:tplc="CDDE432A" w:tentative="1">
      <w:start w:val="1"/>
      <w:numFmt w:val="bullet"/>
      <w:lvlText w:val=""/>
      <w:lvlJc w:val="left"/>
      <w:pPr>
        <w:ind w:left="3240" w:hanging="360"/>
      </w:pPr>
      <w:rPr>
        <w:rFonts w:ascii="Symbol" w:hAnsi="Symbol" w:hint="default"/>
      </w:rPr>
    </w:lvl>
    <w:lvl w:ilvl="4" w:tplc="08DE782C" w:tentative="1">
      <w:start w:val="1"/>
      <w:numFmt w:val="bullet"/>
      <w:lvlText w:val="o"/>
      <w:lvlJc w:val="left"/>
      <w:pPr>
        <w:ind w:left="3960" w:hanging="360"/>
      </w:pPr>
      <w:rPr>
        <w:rFonts w:ascii="Courier New" w:hAnsi="Courier New" w:cs="Courier New" w:hint="default"/>
      </w:rPr>
    </w:lvl>
    <w:lvl w:ilvl="5" w:tplc="905A6160" w:tentative="1">
      <w:start w:val="1"/>
      <w:numFmt w:val="bullet"/>
      <w:lvlText w:val=""/>
      <w:lvlJc w:val="left"/>
      <w:pPr>
        <w:ind w:left="4680" w:hanging="360"/>
      </w:pPr>
      <w:rPr>
        <w:rFonts w:ascii="Wingdings" w:hAnsi="Wingdings" w:hint="default"/>
      </w:rPr>
    </w:lvl>
    <w:lvl w:ilvl="6" w:tplc="0DA4A612" w:tentative="1">
      <w:start w:val="1"/>
      <w:numFmt w:val="bullet"/>
      <w:lvlText w:val=""/>
      <w:lvlJc w:val="left"/>
      <w:pPr>
        <w:ind w:left="5400" w:hanging="360"/>
      </w:pPr>
      <w:rPr>
        <w:rFonts w:ascii="Symbol" w:hAnsi="Symbol" w:hint="default"/>
      </w:rPr>
    </w:lvl>
    <w:lvl w:ilvl="7" w:tplc="6E4277DC" w:tentative="1">
      <w:start w:val="1"/>
      <w:numFmt w:val="bullet"/>
      <w:lvlText w:val="o"/>
      <w:lvlJc w:val="left"/>
      <w:pPr>
        <w:ind w:left="6120" w:hanging="360"/>
      </w:pPr>
      <w:rPr>
        <w:rFonts w:ascii="Courier New" w:hAnsi="Courier New" w:cs="Courier New" w:hint="default"/>
      </w:rPr>
    </w:lvl>
    <w:lvl w:ilvl="8" w:tplc="CC2C7126" w:tentative="1">
      <w:start w:val="1"/>
      <w:numFmt w:val="bullet"/>
      <w:lvlText w:val=""/>
      <w:lvlJc w:val="left"/>
      <w:pPr>
        <w:ind w:left="6840" w:hanging="360"/>
      </w:pPr>
      <w:rPr>
        <w:rFonts w:ascii="Wingdings" w:hAnsi="Wingdings" w:hint="default"/>
      </w:rPr>
    </w:lvl>
  </w:abstractNum>
  <w:abstractNum w:abstractNumId="70">
    <w:nsid w:val="332D0CD7"/>
    <w:multiLevelType w:val="hybridMultilevel"/>
    <w:tmpl w:val="B14C37E6"/>
    <w:lvl w:ilvl="0" w:tplc="97D084B0">
      <w:start w:val="1"/>
      <w:numFmt w:val="lowerRoman"/>
      <w:lvlText w:val="(%1)"/>
      <w:lvlJc w:val="left"/>
      <w:pPr>
        <w:ind w:left="720" w:hanging="360"/>
      </w:pPr>
      <w:rPr>
        <w:rFonts w:hint="default"/>
      </w:rPr>
    </w:lvl>
    <w:lvl w:ilvl="1" w:tplc="B7420014" w:tentative="1">
      <w:start w:val="1"/>
      <w:numFmt w:val="lowerLetter"/>
      <w:lvlText w:val="%2."/>
      <w:lvlJc w:val="left"/>
      <w:pPr>
        <w:ind w:left="1440" w:hanging="360"/>
      </w:pPr>
    </w:lvl>
    <w:lvl w:ilvl="2" w:tplc="5D40E1D0" w:tentative="1">
      <w:start w:val="1"/>
      <w:numFmt w:val="lowerRoman"/>
      <w:lvlText w:val="%3."/>
      <w:lvlJc w:val="right"/>
      <w:pPr>
        <w:ind w:left="2160" w:hanging="180"/>
      </w:pPr>
    </w:lvl>
    <w:lvl w:ilvl="3" w:tplc="AB5ED3BE" w:tentative="1">
      <w:start w:val="1"/>
      <w:numFmt w:val="decimal"/>
      <w:lvlText w:val="%4."/>
      <w:lvlJc w:val="left"/>
      <w:pPr>
        <w:ind w:left="2880" w:hanging="360"/>
      </w:pPr>
    </w:lvl>
    <w:lvl w:ilvl="4" w:tplc="B31CD596" w:tentative="1">
      <w:start w:val="1"/>
      <w:numFmt w:val="lowerLetter"/>
      <w:lvlText w:val="%5."/>
      <w:lvlJc w:val="left"/>
      <w:pPr>
        <w:ind w:left="3600" w:hanging="360"/>
      </w:pPr>
    </w:lvl>
    <w:lvl w:ilvl="5" w:tplc="690C61D4" w:tentative="1">
      <w:start w:val="1"/>
      <w:numFmt w:val="lowerRoman"/>
      <w:lvlText w:val="%6."/>
      <w:lvlJc w:val="right"/>
      <w:pPr>
        <w:ind w:left="4320" w:hanging="180"/>
      </w:pPr>
    </w:lvl>
    <w:lvl w:ilvl="6" w:tplc="7BE0AA74" w:tentative="1">
      <w:start w:val="1"/>
      <w:numFmt w:val="decimal"/>
      <w:lvlText w:val="%7."/>
      <w:lvlJc w:val="left"/>
      <w:pPr>
        <w:ind w:left="5040" w:hanging="360"/>
      </w:pPr>
    </w:lvl>
    <w:lvl w:ilvl="7" w:tplc="A7D05ED2" w:tentative="1">
      <w:start w:val="1"/>
      <w:numFmt w:val="lowerLetter"/>
      <w:lvlText w:val="%8."/>
      <w:lvlJc w:val="left"/>
      <w:pPr>
        <w:ind w:left="5760" w:hanging="360"/>
      </w:pPr>
    </w:lvl>
    <w:lvl w:ilvl="8" w:tplc="32EAB7AA" w:tentative="1">
      <w:start w:val="1"/>
      <w:numFmt w:val="lowerRoman"/>
      <w:lvlText w:val="%9."/>
      <w:lvlJc w:val="right"/>
      <w:pPr>
        <w:ind w:left="6480" w:hanging="180"/>
      </w:pPr>
    </w:lvl>
  </w:abstractNum>
  <w:abstractNum w:abstractNumId="71">
    <w:nsid w:val="33D83305"/>
    <w:multiLevelType w:val="hybridMultilevel"/>
    <w:tmpl w:val="E98C59E4"/>
    <w:lvl w:ilvl="0" w:tplc="9DE014B0">
      <w:start w:val="1"/>
      <w:numFmt w:val="bullet"/>
      <w:lvlText w:val=""/>
      <w:lvlJc w:val="left"/>
      <w:pPr>
        <w:ind w:left="720" w:hanging="360"/>
      </w:pPr>
      <w:rPr>
        <w:rFonts w:ascii="Symbol" w:hAnsi="Symbol" w:hint="default"/>
      </w:rPr>
    </w:lvl>
    <w:lvl w:ilvl="1" w:tplc="015C748C" w:tentative="1">
      <w:start w:val="1"/>
      <w:numFmt w:val="bullet"/>
      <w:lvlText w:val="o"/>
      <w:lvlJc w:val="left"/>
      <w:pPr>
        <w:ind w:left="1440" w:hanging="360"/>
      </w:pPr>
      <w:rPr>
        <w:rFonts w:ascii="Courier New" w:hAnsi="Courier New" w:cs="Courier New" w:hint="default"/>
      </w:rPr>
    </w:lvl>
    <w:lvl w:ilvl="2" w:tplc="A2AAF780" w:tentative="1">
      <w:start w:val="1"/>
      <w:numFmt w:val="bullet"/>
      <w:lvlText w:val=""/>
      <w:lvlJc w:val="left"/>
      <w:pPr>
        <w:ind w:left="2160" w:hanging="360"/>
      </w:pPr>
      <w:rPr>
        <w:rFonts w:ascii="Wingdings" w:hAnsi="Wingdings" w:hint="default"/>
      </w:rPr>
    </w:lvl>
    <w:lvl w:ilvl="3" w:tplc="71704784" w:tentative="1">
      <w:start w:val="1"/>
      <w:numFmt w:val="bullet"/>
      <w:lvlText w:val=""/>
      <w:lvlJc w:val="left"/>
      <w:pPr>
        <w:ind w:left="2880" w:hanging="360"/>
      </w:pPr>
      <w:rPr>
        <w:rFonts w:ascii="Symbol" w:hAnsi="Symbol" w:hint="default"/>
      </w:rPr>
    </w:lvl>
    <w:lvl w:ilvl="4" w:tplc="268ADA8E" w:tentative="1">
      <w:start w:val="1"/>
      <w:numFmt w:val="bullet"/>
      <w:lvlText w:val="o"/>
      <w:lvlJc w:val="left"/>
      <w:pPr>
        <w:ind w:left="3600" w:hanging="360"/>
      </w:pPr>
      <w:rPr>
        <w:rFonts w:ascii="Courier New" w:hAnsi="Courier New" w:cs="Courier New" w:hint="default"/>
      </w:rPr>
    </w:lvl>
    <w:lvl w:ilvl="5" w:tplc="150494BA" w:tentative="1">
      <w:start w:val="1"/>
      <w:numFmt w:val="bullet"/>
      <w:lvlText w:val=""/>
      <w:lvlJc w:val="left"/>
      <w:pPr>
        <w:ind w:left="4320" w:hanging="360"/>
      </w:pPr>
      <w:rPr>
        <w:rFonts w:ascii="Wingdings" w:hAnsi="Wingdings" w:hint="default"/>
      </w:rPr>
    </w:lvl>
    <w:lvl w:ilvl="6" w:tplc="3AC039A2" w:tentative="1">
      <w:start w:val="1"/>
      <w:numFmt w:val="bullet"/>
      <w:lvlText w:val=""/>
      <w:lvlJc w:val="left"/>
      <w:pPr>
        <w:ind w:left="5040" w:hanging="360"/>
      </w:pPr>
      <w:rPr>
        <w:rFonts w:ascii="Symbol" w:hAnsi="Symbol" w:hint="default"/>
      </w:rPr>
    </w:lvl>
    <w:lvl w:ilvl="7" w:tplc="5B02B53A" w:tentative="1">
      <w:start w:val="1"/>
      <w:numFmt w:val="bullet"/>
      <w:lvlText w:val="o"/>
      <w:lvlJc w:val="left"/>
      <w:pPr>
        <w:ind w:left="5760" w:hanging="360"/>
      </w:pPr>
      <w:rPr>
        <w:rFonts w:ascii="Courier New" w:hAnsi="Courier New" w:cs="Courier New" w:hint="default"/>
      </w:rPr>
    </w:lvl>
    <w:lvl w:ilvl="8" w:tplc="21DAFC46" w:tentative="1">
      <w:start w:val="1"/>
      <w:numFmt w:val="bullet"/>
      <w:lvlText w:val=""/>
      <w:lvlJc w:val="left"/>
      <w:pPr>
        <w:ind w:left="6480" w:hanging="360"/>
      </w:pPr>
      <w:rPr>
        <w:rFonts w:ascii="Wingdings" w:hAnsi="Wingdings" w:hint="default"/>
      </w:rPr>
    </w:lvl>
  </w:abstractNum>
  <w:abstractNum w:abstractNumId="72">
    <w:nsid w:val="3A7F5C86"/>
    <w:multiLevelType w:val="hybridMultilevel"/>
    <w:tmpl w:val="A854087A"/>
    <w:lvl w:ilvl="0" w:tplc="4D8EBEC0">
      <w:start w:val="1"/>
      <w:numFmt w:val="bullet"/>
      <w:lvlText w:val=""/>
      <w:lvlJc w:val="left"/>
      <w:pPr>
        <w:ind w:left="1151" w:hanging="360"/>
      </w:pPr>
      <w:rPr>
        <w:rFonts w:ascii="Wingdings" w:hAnsi="Wingdings"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73">
    <w:nsid w:val="3B81143B"/>
    <w:multiLevelType w:val="hybridMultilevel"/>
    <w:tmpl w:val="ADDA00BC"/>
    <w:lvl w:ilvl="0" w:tplc="00000004">
      <w:start w:val="1"/>
      <w:numFmt w:val="bullet"/>
      <w:lvlText w:val=""/>
      <w:lvlJc w:val="left"/>
      <w:pPr>
        <w:ind w:left="720" w:hanging="360"/>
      </w:pPr>
      <w:rPr>
        <w:rFonts w:ascii="Symbol" w:hAnsi="Symbol" w:hint="default"/>
        <w:caps w:val="0"/>
        <w:smallCaps w:val="0"/>
        <w:strike w:val="0"/>
        <w:dstrike w:val="0"/>
        <w:vanish w:val="0"/>
        <w:color w:val="000000"/>
        <w:position w:val="0"/>
        <w:sz w:val="24"/>
        <w:vertAlign w:val="baseline"/>
      </w:rPr>
    </w:lvl>
    <w:lvl w:ilvl="1" w:tplc="6E4A775E" w:tentative="1">
      <w:start w:val="1"/>
      <w:numFmt w:val="lowerLetter"/>
      <w:lvlText w:val="%2."/>
      <w:lvlJc w:val="left"/>
      <w:pPr>
        <w:ind w:left="1440" w:hanging="360"/>
      </w:pPr>
    </w:lvl>
    <w:lvl w:ilvl="2" w:tplc="C9E04492" w:tentative="1">
      <w:start w:val="1"/>
      <w:numFmt w:val="lowerRoman"/>
      <w:lvlText w:val="%3."/>
      <w:lvlJc w:val="right"/>
      <w:pPr>
        <w:ind w:left="2160" w:hanging="180"/>
      </w:pPr>
    </w:lvl>
    <w:lvl w:ilvl="3" w:tplc="F15AC64A" w:tentative="1">
      <w:start w:val="1"/>
      <w:numFmt w:val="decimal"/>
      <w:lvlText w:val="%4."/>
      <w:lvlJc w:val="left"/>
      <w:pPr>
        <w:ind w:left="2880" w:hanging="360"/>
      </w:pPr>
    </w:lvl>
    <w:lvl w:ilvl="4" w:tplc="A406FC4A" w:tentative="1">
      <w:start w:val="1"/>
      <w:numFmt w:val="lowerLetter"/>
      <w:lvlText w:val="%5."/>
      <w:lvlJc w:val="left"/>
      <w:pPr>
        <w:ind w:left="3600" w:hanging="360"/>
      </w:pPr>
    </w:lvl>
    <w:lvl w:ilvl="5" w:tplc="30E634CE" w:tentative="1">
      <w:start w:val="1"/>
      <w:numFmt w:val="lowerRoman"/>
      <w:lvlText w:val="%6."/>
      <w:lvlJc w:val="right"/>
      <w:pPr>
        <w:ind w:left="4320" w:hanging="180"/>
      </w:pPr>
    </w:lvl>
    <w:lvl w:ilvl="6" w:tplc="1CC61C0A" w:tentative="1">
      <w:start w:val="1"/>
      <w:numFmt w:val="decimal"/>
      <w:lvlText w:val="%7."/>
      <w:lvlJc w:val="left"/>
      <w:pPr>
        <w:ind w:left="5040" w:hanging="360"/>
      </w:pPr>
    </w:lvl>
    <w:lvl w:ilvl="7" w:tplc="F760D3CE" w:tentative="1">
      <w:start w:val="1"/>
      <w:numFmt w:val="lowerLetter"/>
      <w:lvlText w:val="%8."/>
      <w:lvlJc w:val="left"/>
      <w:pPr>
        <w:ind w:left="5760" w:hanging="360"/>
      </w:pPr>
    </w:lvl>
    <w:lvl w:ilvl="8" w:tplc="37148556" w:tentative="1">
      <w:start w:val="1"/>
      <w:numFmt w:val="lowerRoman"/>
      <w:lvlText w:val="%9."/>
      <w:lvlJc w:val="right"/>
      <w:pPr>
        <w:ind w:left="6480" w:hanging="180"/>
      </w:pPr>
    </w:lvl>
  </w:abstractNum>
  <w:abstractNum w:abstractNumId="74">
    <w:nsid w:val="3C816DCF"/>
    <w:multiLevelType w:val="hybridMultilevel"/>
    <w:tmpl w:val="F580D78A"/>
    <w:lvl w:ilvl="0" w:tplc="6E7273AC">
      <w:start w:val="4"/>
      <w:numFmt w:val="bullet"/>
      <w:lvlText w:val="•"/>
      <w:lvlJc w:val="left"/>
      <w:pPr>
        <w:ind w:left="1080" w:hanging="720"/>
      </w:pPr>
      <w:rPr>
        <w:rFonts w:ascii="Verdana" w:eastAsia="Times New Roman" w:hAnsi="Verdana" w:cs="Times New Roman" w:hint="default"/>
      </w:rPr>
    </w:lvl>
    <w:lvl w:ilvl="1" w:tplc="FE8E41FC" w:tentative="1">
      <w:start w:val="1"/>
      <w:numFmt w:val="bullet"/>
      <w:lvlText w:val="o"/>
      <w:lvlJc w:val="left"/>
      <w:pPr>
        <w:ind w:left="1440" w:hanging="360"/>
      </w:pPr>
      <w:rPr>
        <w:rFonts w:ascii="Courier New" w:hAnsi="Courier New" w:cs="Courier New" w:hint="default"/>
      </w:rPr>
    </w:lvl>
    <w:lvl w:ilvl="2" w:tplc="D6A07338" w:tentative="1">
      <w:start w:val="1"/>
      <w:numFmt w:val="bullet"/>
      <w:lvlText w:val=""/>
      <w:lvlJc w:val="left"/>
      <w:pPr>
        <w:ind w:left="2160" w:hanging="360"/>
      </w:pPr>
      <w:rPr>
        <w:rFonts w:ascii="Wingdings" w:hAnsi="Wingdings" w:hint="default"/>
      </w:rPr>
    </w:lvl>
    <w:lvl w:ilvl="3" w:tplc="A9F83766" w:tentative="1">
      <w:start w:val="1"/>
      <w:numFmt w:val="bullet"/>
      <w:lvlText w:val=""/>
      <w:lvlJc w:val="left"/>
      <w:pPr>
        <w:ind w:left="2880" w:hanging="360"/>
      </w:pPr>
      <w:rPr>
        <w:rFonts w:ascii="Symbol" w:hAnsi="Symbol" w:hint="default"/>
      </w:rPr>
    </w:lvl>
    <w:lvl w:ilvl="4" w:tplc="AA6C9E6E" w:tentative="1">
      <w:start w:val="1"/>
      <w:numFmt w:val="bullet"/>
      <w:lvlText w:val="o"/>
      <w:lvlJc w:val="left"/>
      <w:pPr>
        <w:ind w:left="3600" w:hanging="360"/>
      </w:pPr>
      <w:rPr>
        <w:rFonts w:ascii="Courier New" w:hAnsi="Courier New" w:cs="Courier New" w:hint="default"/>
      </w:rPr>
    </w:lvl>
    <w:lvl w:ilvl="5" w:tplc="89F4F38C" w:tentative="1">
      <w:start w:val="1"/>
      <w:numFmt w:val="bullet"/>
      <w:lvlText w:val=""/>
      <w:lvlJc w:val="left"/>
      <w:pPr>
        <w:ind w:left="4320" w:hanging="360"/>
      </w:pPr>
      <w:rPr>
        <w:rFonts w:ascii="Wingdings" w:hAnsi="Wingdings" w:hint="default"/>
      </w:rPr>
    </w:lvl>
    <w:lvl w:ilvl="6" w:tplc="D564F9F0" w:tentative="1">
      <w:start w:val="1"/>
      <w:numFmt w:val="bullet"/>
      <w:lvlText w:val=""/>
      <w:lvlJc w:val="left"/>
      <w:pPr>
        <w:ind w:left="5040" w:hanging="360"/>
      </w:pPr>
      <w:rPr>
        <w:rFonts w:ascii="Symbol" w:hAnsi="Symbol" w:hint="default"/>
      </w:rPr>
    </w:lvl>
    <w:lvl w:ilvl="7" w:tplc="0C183A06" w:tentative="1">
      <w:start w:val="1"/>
      <w:numFmt w:val="bullet"/>
      <w:lvlText w:val="o"/>
      <w:lvlJc w:val="left"/>
      <w:pPr>
        <w:ind w:left="5760" w:hanging="360"/>
      </w:pPr>
      <w:rPr>
        <w:rFonts w:ascii="Courier New" w:hAnsi="Courier New" w:cs="Courier New" w:hint="default"/>
      </w:rPr>
    </w:lvl>
    <w:lvl w:ilvl="8" w:tplc="53F8ABE0" w:tentative="1">
      <w:start w:val="1"/>
      <w:numFmt w:val="bullet"/>
      <w:lvlText w:val=""/>
      <w:lvlJc w:val="left"/>
      <w:pPr>
        <w:ind w:left="6480" w:hanging="360"/>
      </w:pPr>
      <w:rPr>
        <w:rFonts w:ascii="Wingdings" w:hAnsi="Wingdings" w:hint="default"/>
      </w:rPr>
    </w:lvl>
  </w:abstractNum>
  <w:abstractNum w:abstractNumId="75">
    <w:nsid w:val="414B2745"/>
    <w:multiLevelType w:val="multilevel"/>
    <w:tmpl w:val="88BE857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6">
    <w:nsid w:val="45EA5B5D"/>
    <w:multiLevelType w:val="hybridMultilevel"/>
    <w:tmpl w:val="97EA7F06"/>
    <w:lvl w:ilvl="0" w:tplc="52922CCE">
      <w:start w:val="1"/>
      <w:numFmt w:val="bullet"/>
      <w:lvlText w:val=""/>
      <w:lvlJc w:val="left"/>
      <w:pPr>
        <w:ind w:left="720" w:hanging="360"/>
      </w:pPr>
      <w:rPr>
        <w:rFonts w:ascii="Symbol" w:hAnsi="Symbol" w:hint="default"/>
      </w:rPr>
    </w:lvl>
    <w:lvl w:ilvl="1" w:tplc="4DFADD8A" w:tentative="1">
      <w:start w:val="1"/>
      <w:numFmt w:val="bullet"/>
      <w:lvlText w:val="o"/>
      <w:lvlJc w:val="left"/>
      <w:pPr>
        <w:ind w:left="1440" w:hanging="360"/>
      </w:pPr>
      <w:rPr>
        <w:rFonts w:ascii="Courier New" w:hAnsi="Courier New" w:cs="Courier New" w:hint="default"/>
      </w:rPr>
    </w:lvl>
    <w:lvl w:ilvl="2" w:tplc="A3020E6E" w:tentative="1">
      <w:start w:val="1"/>
      <w:numFmt w:val="bullet"/>
      <w:lvlText w:val=""/>
      <w:lvlJc w:val="left"/>
      <w:pPr>
        <w:ind w:left="2160" w:hanging="360"/>
      </w:pPr>
      <w:rPr>
        <w:rFonts w:ascii="Wingdings" w:hAnsi="Wingdings" w:hint="default"/>
      </w:rPr>
    </w:lvl>
    <w:lvl w:ilvl="3" w:tplc="EB08167A" w:tentative="1">
      <w:start w:val="1"/>
      <w:numFmt w:val="bullet"/>
      <w:lvlText w:val=""/>
      <w:lvlJc w:val="left"/>
      <w:pPr>
        <w:ind w:left="2880" w:hanging="360"/>
      </w:pPr>
      <w:rPr>
        <w:rFonts w:ascii="Symbol" w:hAnsi="Symbol" w:hint="default"/>
      </w:rPr>
    </w:lvl>
    <w:lvl w:ilvl="4" w:tplc="C2D01F60" w:tentative="1">
      <w:start w:val="1"/>
      <w:numFmt w:val="bullet"/>
      <w:lvlText w:val="o"/>
      <w:lvlJc w:val="left"/>
      <w:pPr>
        <w:ind w:left="3600" w:hanging="360"/>
      </w:pPr>
      <w:rPr>
        <w:rFonts w:ascii="Courier New" w:hAnsi="Courier New" w:cs="Courier New" w:hint="default"/>
      </w:rPr>
    </w:lvl>
    <w:lvl w:ilvl="5" w:tplc="320AFA9C" w:tentative="1">
      <w:start w:val="1"/>
      <w:numFmt w:val="bullet"/>
      <w:lvlText w:val=""/>
      <w:lvlJc w:val="left"/>
      <w:pPr>
        <w:ind w:left="4320" w:hanging="360"/>
      </w:pPr>
      <w:rPr>
        <w:rFonts w:ascii="Wingdings" w:hAnsi="Wingdings" w:hint="default"/>
      </w:rPr>
    </w:lvl>
    <w:lvl w:ilvl="6" w:tplc="D78817F4" w:tentative="1">
      <w:start w:val="1"/>
      <w:numFmt w:val="bullet"/>
      <w:lvlText w:val=""/>
      <w:lvlJc w:val="left"/>
      <w:pPr>
        <w:ind w:left="5040" w:hanging="360"/>
      </w:pPr>
      <w:rPr>
        <w:rFonts w:ascii="Symbol" w:hAnsi="Symbol" w:hint="default"/>
      </w:rPr>
    </w:lvl>
    <w:lvl w:ilvl="7" w:tplc="534276C8" w:tentative="1">
      <w:start w:val="1"/>
      <w:numFmt w:val="bullet"/>
      <w:lvlText w:val="o"/>
      <w:lvlJc w:val="left"/>
      <w:pPr>
        <w:ind w:left="5760" w:hanging="360"/>
      </w:pPr>
      <w:rPr>
        <w:rFonts w:ascii="Courier New" w:hAnsi="Courier New" w:cs="Courier New" w:hint="default"/>
      </w:rPr>
    </w:lvl>
    <w:lvl w:ilvl="8" w:tplc="49DABC58" w:tentative="1">
      <w:start w:val="1"/>
      <w:numFmt w:val="bullet"/>
      <w:lvlText w:val=""/>
      <w:lvlJc w:val="left"/>
      <w:pPr>
        <w:ind w:left="6480" w:hanging="360"/>
      </w:pPr>
      <w:rPr>
        <w:rFonts w:ascii="Wingdings" w:hAnsi="Wingdings" w:hint="default"/>
      </w:rPr>
    </w:lvl>
  </w:abstractNum>
  <w:abstractNum w:abstractNumId="77">
    <w:nsid w:val="5A246D9B"/>
    <w:multiLevelType w:val="multilevel"/>
    <w:tmpl w:val="509859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8">
    <w:nsid w:val="5B8A7B80"/>
    <w:multiLevelType w:val="hybridMultilevel"/>
    <w:tmpl w:val="BE80B3CE"/>
    <w:lvl w:ilvl="0" w:tplc="4D8EBEC0">
      <w:start w:val="1"/>
      <w:numFmt w:val="bullet"/>
      <w:lvlText w:val=""/>
      <w:lvlJc w:val="left"/>
      <w:pPr>
        <w:tabs>
          <w:tab w:val="num" w:pos="0"/>
        </w:tabs>
        <w:ind w:left="1077" w:hanging="360"/>
      </w:pPr>
      <w:rPr>
        <w:rFonts w:ascii="Wingdings" w:hAnsi="Wingdings" w:hint="default"/>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31D05C1A" w:tentative="1">
      <w:start w:val="1"/>
      <w:numFmt w:val="lowerLetter"/>
      <w:lvlText w:val="%2."/>
      <w:lvlJc w:val="left"/>
      <w:pPr>
        <w:ind w:left="1797" w:hanging="360"/>
      </w:pPr>
    </w:lvl>
    <w:lvl w:ilvl="2" w:tplc="ED50B0A4" w:tentative="1">
      <w:start w:val="1"/>
      <w:numFmt w:val="lowerRoman"/>
      <w:lvlText w:val="%3."/>
      <w:lvlJc w:val="right"/>
      <w:pPr>
        <w:ind w:left="2517" w:hanging="180"/>
      </w:pPr>
    </w:lvl>
    <w:lvl w:ilvl="3" w:tplc="09463F46" w:tentative="1">
      <w:start w:val="1"/>
      <w:numFmt w:val="decimal"/>
      <w:lvlText w:val="%4."/>
      <w:lvlJc w:val="left"/>
      <w:pPr>
        <w:ind w:left="3237" w:hanging="360"/>
      </w:pPr>
    </w:lvl>
    <w:lvl w:ilvl="4" w:tplc="C31CA6A2" w:tentative="1">
      <w:start w:val="1"/>
      <w:numFmt w:val="lowerLetter"/>
      <w:lvlText w:val="%5."/>
      <w:lvlJc w:val="left"/>
      <w:pPr>
        <w:ind w:left="3957" w:hanging="360"/>
      </w:pPr>
    </w:lvl>
    <w:lvl w:ilvl="5" w:tplc="3EACA662" w:tentative="1">
      <w:start w:val="1"/>
      <w:numFmt w:val="lowerRoman"/>
      <w:lvlText w:val="%6."/>
      <w:lvlJc w:val="right"/>
      <w:pPr>
        <w:ind w:left="4677" w:hanging="180"/>
      </w:pPr>
    </w:lvl>
    <w:lvl w:ilvl="6" w:tplc="760E658C" w:tentative="1">
      <w:start w:val="1"/>
      <w:numFmt w:val="decimal"/>
      <w:lvlText w:val="%7."/>
      <w:lvlJc w:val="left"/>
      <w:pPr>
        <w:ind w:left="5397" w:hanging="360"/>
      </w:pPr>
    </w:lvl>
    <w:lvl w:ilvl="7" w:tplc="18F278A4" w:tentative="1">
      <w:start w:val="1"/>
      <w:numFmt w:val="lowerLetter"/>
      <w:lvlText w:val="%8."/>
      <w:lvlJc w:val="left"/>
      <w:pPr>
        <w:ind w:left="6117" w:hanging="360"/>
      </w:pPr>
    </w:lvl>
    <w:lvl w:ilvl="8" w:tplc="D25E1910" w:tentative="1">
      <w:start w:val="1"/>
      <w:numFmt w:val="lowerRoman"/>
      <w:lvlText w:val="%9."/>
      <w:lvlJc w:val="right"/>
      <w:pPr>
        <w:ind w:left="6837" w:hanging="180"/>
      </w:pPr>
    </w:lvl>
  </w:abstractNum>
  <w:abstractNum w:abstractNumId="79">
    <w:nsid w:val="5E2E45F1"/>
    <w:multiLevelType w:val="hybridMultilevel"/>
    <w:tmpl w:val="F662C0EC"/>
    <w:lvl w:ilvl="0" w:tplc="4D8EBEC0">
      <w:start w:val="1"/>
      <w:numFmt w:val="bullet"/>
      <w:lvlText w:val=""/>
      <w:lvlJc w:val="left"/>
      <w:pPr>
        <w:tabs>
          <w:tab w:val="num" w:pos="0"/>
        </w:tabs>
        <w:ind w:left="1077" w:hanging="360"/>
      </w:pPr>
      <w:rPr>
        <w:rFonts w:ascii="Wingdings" w:hAnsi="Wingdings" w:hint="default"/>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31D05C1A" w:tentative="1">
      <w:start w:val="1"/>
      <w:numFmt w:val="lowerLetter"/>
      <w:lvlText w:val="%2."/>
      <w:lvlJc w:val="left"/>
      <w:pPr>
        <w:ind w:left="1797" w:hanging="360"/>
      </w:pPr>
    </w:lvl>
    <w:lvl w:ilvl="2" w:tplc="ED50B0A4" w:tentative="1">
      <w:start w:val="1"/>
      <w:numFmt w:val="lowerRoman"/>
      <w:lvlText w:val="%3."/>
      <w:lvlJc w:val="right"/>
      <w:pPr>
        <w:ind w:left="2517" w:hanging="180"/>
      </w:pPr>
    </w:lvl>
    <w:lvl w:ilvl="3" w:tplc="09463F46" w:tentative="1">
      <w:start w:val="1"/>
      <w:numFmt w:val="decimal"/>
      <w:lvlText w:val="%4."/>
      <w:lvlJc w:val="left"/>
      <w:pPr>
        <w:ind w:left="3237" w:hanging="360"/>
      </w:pPr>
    </w:lvl>
    <w:lvl w:ilvl="4" w:tplc="C31CA6A2" w:tentative="1">
      <w:start w:val="1"/>
      <w:numFmt w:val="lowerLetter"/>
      <w:lvlText w:val="%5."/>
      <w:lvlJc w:val="left"/>
      <w:pPr>
        <w:ind w:left="3957" w:hanging="360"/>
      </w:pPr>
    </w:lvl>
    <w:lvl w:ilvl="5" w:tplc="3EACA662" w:tentative="1">
      <w:start w:val="1"/>
      <w:numFmt w:val="lowerRoman"/>
      <w:lvlText w:val="%6."/>
      <w:lvlJc w:val="right"/>
      <w:pPr>
        <w:ind w:left="4677" w:hanging="180"/>
      </w:pPr>
    </w:lvl>
    <w:lvl w:ilvl="6" w:tplc="760E658C" w:tentative="1">
      <w:start w:val="1"/>
      <w:numFmt w:val="decimal"/>
      <w:lvlText w:val="%7."/>
      <w:lvlJc w:val="left"/>
      <w:pPr>
        <w:ind w:left="5397" w:hanging="360"/>
      </w:pPr>
    </w:lvl>
    <w:lvl w:ilvl="7" w:tplc="18F278A4" w:tentative="1">
      <w:start w:val="1"/>
      <w:numFmt w:val="lowerLetter"/>
      <w:lvlText w:val="%8."/>
      <w:lvlJc w:val="left"/>
      <w:pPr>
        <w:ind w:left="6117" w:hanging="360"/>
      </w:pPr>
    </w:lvl>
    <w:lvl w:ilvl="8" w:tplc="D25E1910" w:tentative="1">
      <w:start w:val="1"/>
      <w:numFmt w:val="lowerRoman"/>
      <w:lvlText w:val="%9."/>
      <w:lvlJc w:val="right"/>
      <w:pPr>
        <w:ind w:left="6837" w:hanging="180"/>
      </w:pPr>
    </w:lvl>
  </w:abstractNum>
  <w:abstractNum w:abstractNumId="80">
    <w:nsid w:val="5EA07653"/>
    <w:multiLevelType w:val="hybridMultilevel"/>
    <w:tmpl w:val="549C48F2"/>
    <w:lvl w:ilvl="0" w:tplc="9E468438">
      <w:start w:val="1"/>
      <w:numFmt w:val="bullet"/>
      <w:pStyle w:val="Textstand-aloneBulletpoint"/>
      <w:lvlText w:val="-"/>
      <w:lvlJc w:val="left"/>
      <w:pPr>
        <w:ind w:left="1080" w:hanging="360"/>
      </w:pPr>
      <w:rPr>
        <w:rFonts w:ascii="Verdana" w:hAnsi="Verdana" w:hint="default"/>
      </w:rPr>
    </w:lvl>
    <w:lvl w:ilvl="1" w:tplc="C7E8CBDE" w:tentative="1">
      <w:start w:val="1"/>
      <w:numFmt w:val="bullet"/>
      <w:lvlText w:val="o"/>
      <w:lvlJc w:val="left"/>
      <w:pPr>
        <w:ind w:left="1800" w:hanging="360"/>
      </w:pPr>
      <w:rPr>
        <w:rFonts w:ascii="Courier New" w:hAnsi="Courier New" w:cs="Courier New" w:hint="default"/>
      </w:rPr>
    </w:lvl>
    <w:lvl w:ilvl="2" w:tplc="B7B63A08" w:tentative="1">
      <w:start w:val="1"/>
      <w:numFmt w:val="bullet"/>
      <w:lvlText w:val=""/>
      <w:lvlJc w:val="left"/>
      <w:pPr>
        <w:ind w:left="2520" w:hanging="360"/>
      </w:pPr>
      <w:rPr>
        <w:rFonts w:ascii="Wingdings" w:hAnsi="Wingdings" w:hint="default"/>
      </w:rPr>
    </w:lvl>
    <w:lvl w:ilvl="3" w:tplc="98B86916" w:tentative="1">
      <w:start w:val="1"/>
      <w:numFmt w:val="bullet"/>
      <w:lvlText w:val=""/>
      <w:lvlJc w:val="left"/>
      <w:pPr>
        <w:ind w:left="3240" w:hanging="360"/>
      </w:pPr>
      <w:rPr>
        <w:rFonts w:ascii="Symbol" w:hAnsi="Symbol" w:hint="default"/>
      </w:rPr>
    </w:lvl>
    <w:lvl w:ilvl="4" w:tplc="D20C997A" w:tentative="1">
      <w:start w:val="1"/>
      <w:numFmt w:val="bullet"/>
      <w:lvlText w:val="o"/>
      <w:lvlJc w:val="left"/>
      <w:pPr>
        <w:ind w:left="3960" w:hanging="360"/>
      </w:pPr>
      <w:rPr>
        <w:rFonts w:ascii="Courier New" w:hAnsi="Courier New" w:cs="Courier New" w:hint="default"/>
      </w:rPr>
    </w:lvl>
    <w:lvl w:ilvl="5" w:tplc="7B9A4840" w:tentative="1">
      <w:start w:val="1"/>
      <w:numFmt w:val="bullet"/>
      <w:lvlText w:val=""/>
      <w:lvlJc w:val="left"/>
      <w:pPr>
        <w:ind w:left="4680" w:hanging="360"/>
      </w:pPr>
      <w:rPr>
        <w:rFonts w:ascii="Wingdings" w:hAnsi="Wingdings" w:hint="default"/>
      </w:rPr>
    </w:lvl>
    <w:lvl w:ilvl="6" w:tplc="169EE916" w:tentative="1">
      <w:start w:val="1"/>
      <w:numFmt w:val="bullet"/>
      <w:lvlText w:val=""/>
      <w:lvlJc w:val="left"/>
      <w:pPr>
        <w:ind w:left="5400" w:hanging="360"/>
      </w:pPr>
      <w:rPr>
        <w:rFonts w:ascii="Symbol" w:hAnsi="Symbol" w:hint="default"/>
      </w:rPr>
    </w:lvl>
    <w:lvl w:ilvl="7" w:tplc="A5FC32E8" w:tentative="1">
      <w:start w:val="1"/>
      <w:numFmt w:val="bullet"/>
      <w:lvlText w:val="o"/>
      <w:lvlJc w:val="left"/>
      <w:pPr>
        <w:ind w:left="6120" w:hanging="360"/>
      </w:pPr>
      <w:rPr>
        <w:rFonts w:ascii="Courier New" w:hAnsi="Courier New" w:cs="Courier New" w:hint="default"/>
      </w:rPr>
    </w:lvl>
    <w:lvl w:ilvl="8" w:tplc="5414E442" w:tentative="1">
      <w:start w:val="1"/>
      <w:numFmt w:val="bullet"/>
      <w:lvlText w:val=""/>
      <w:lvlJc w:val="left"/>
      <w:pPr>
        <w:ind w:left="6840" w:hanging="360"/>
      </w:pPr>
      <w:rPr>
        <w:rFonts w:ascii="Wingdings" w:hAnsi="Wingdings" w:hint="default"/>
      </w:rPr>
    </w:lvl>
  </w:abstractNum>
  <w:abstractNum w:abstractNumId="81">
    <w:nsid w:val="6F351A53"/>
    <w:multiLevelType w:val="hybridMultilevel"/>
    <w:tmpl w:val="A22E4046"/>
    <w:lvl w:ilvl="0" w:tplc="04F82092">
      <w:start w:val="1"/>
      <w:numFmt w:val="lowerRoman"/>
      <w:pStyle w:val="Textstand-alonenumberingRCIndentJustified"/>
      <w:lvlText w:val="(%1)"/>
      <w:lvlJc w:val="left"/>
      <w:pPr>
        <w:ind w:left="720" w:hanging="360"/>
      </w:pPr>
      <w:rPr>
        <w:rFonts w:hint="default"/>
      </w:rPr>
    </w:lvl>
    <w:lvl w:ilvl="1" w:tplc="F3AA770E" w:tentative="1">
      <w:start w:val="1"/>
      <w:numFmt w:val="lowerLetter"/>
      <w:lvlText w:val="%2."/>
      <w:lvlJc w:val="left"/>
      <w:pPr>
        <w:ind w:left="1440" w:hanging="360"/>
      </w:pPr>
    </w:lvl>
    <w:lvl w:ilvl="2" w:tplc="CFDA791C" w:tentative="1">
      <w:start w:val="1"/>
      <w:numFmt w:val="lowerRoman"/>
      <w:lvlText w:val="%3."/>
      <w:lvlJc w:val="right"/>
      <w:pPr>
        <w:ind w:left="2160" w:hanging="180"/>
      </w:pPr>
    </w:lvl>
    <w:lvl w:ilvl="3" w:tplc="8EBC3C08" w:tentative="1">
      <w:start w:val="1"/>
      <w:numFmt w:val="decimal"/>
      <w:lvlText w:val="%4."/>
      <w:lvlJc w:val="left"/>
      <w:pPr>
        <w:ind w:left="2880" w:hanging="360"/>
      </w:pPr>
    </w:lvl>
    <w:lvl w:ilvl="4" w:tplc="605AE4FA" w:tentative="1">
      <w:start w:val="1"/>
      <w:numFmt w:val="lowerLetter"/>
      <w:lvlText w:val="%5."/>
      <w:lvlJc w:val="left"/>
      <w:pPr>
        <w:ind w:left="3600" w:hanging="360"/>
      </w:pPr>
    </w:lvl>
    <w:lvl w:ilvl="5" w:tplc="EF8C7760" w:tentative="1">
      <w:start w:val="1"/>
      <w:numFmt w:val="lowerRoman"/>
      <w:lvlText w:val="%6."/>
      <w:lvlJc w:val="right"/>
      <w:pPr>
        <w:ind w:left="4320" w:hanging="180"/>
      </w:pPr>
    </w:lvl>
    <w:lvl w:ilvl="6" w:tplc="2DFA1602" w:tentative="1">
      <w:start w:val="1"/>
      <w:numFmt w:val="decimal"/>
      <w:lvlText w:val="%7."/>
      <w:lvlJc w:val="left"/>
      <w:pPr>
        <w:ind w:left="5040" w:hanging="360"/>
      </w:pPr>
    </w:lvl>
    <w:lvl w:ilvl="7" w:tplc="D0386DC4" w:tentative="1">
      <w:start w:val="1"/>
      <w:numFmt w:val="lowerLetter"/>
      <w:lvlText w:val="%8."/>
      <w:lvlJc w:val="left"/>
      <w:pPr>
        <w:ind w:left="5760" w:hanging="360"/>
      </w:pPr>
    </w:lvl>
    <w:lvl w:ilvl="8" w:tplc="57466E56" w:tentative="1">
      <w:start w:val="1"/>
      <w:numFmt w:val="lowerRoman"/>
      <w:lvlText w:val="%9."/>
      <w:lvlJc w:val="right"/>
      <w:pPr>
        <w:ind w:left="6480" w:hanging="180"/>
      </w:pPr>
    </w:lvl>
  </w:abstractNum>
  <w:abstractNum w:abstractNumId="82">
    <w:nsid w:val="6F351A55"/>
    <w:multiLevelType w:val="hybridMultilevel"/>
    <w:tmpl w:val="3D58E1CE"/>
    <w:lvl w:ilvl="0" w:tplc="E8A81B7E">
      <w:start w:val="1"/>
      <w:numFmt w:val="lowerRoman"/>
      <w:lvlText w:val="%1)"/>
      <w:lvlJc w:val="left"/>
      <w:pPr>
        <w:tabs>
          <w:tab w:val="num" w:pos="0"/>
        </w:tabs>
        <w:ind w:left="1077" w:hanging="360"/>
      </w:pPr>
      <w:rPr>
        <w:rFonts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A28ED4DE" w:tentative="1">
      <w:start w:val="1"/>
      <w:numFmt w:val="lowerLetter"/>
      <w:lvlText w:val="%2."/>
      <w:lvlJc w:val="left"/>
      <w:pPr>
        <w:ind w:left="1797" w:hanging="360"/>
      </w:pPr>
    </w:lvl>
    <w:lvl w:ilvl="2" w:tplc="D2B0647E" w:tentative="1">
      <w:start w:val="1"/>
      <w:numFmt w:val="lowerRoman"/>
      <w:lvlText w:val="%3."/>
      <w:lvlJc w:val="right"/>
      <w:pPr>
        <w:ind w:left="2517" w:hanging="180"/>
      </w:pPr>
    </w:lvl>
    <w:lvl w:ilvl="3" w:tplc="CECCFD2C" w:tentative="1">
      <w:start w:val="1"/>
      <w:numFmt w:val="decimal"/>
      <w:lvlText w:val="%4."/>
      <w:lvlJc w:val="left"/>
      <w:pPr>
        <w:ind w:left="3237" w:hanging="360"/>
      </w:pPr>
    </w:lvl>
    <w:lvl w:ilvl="4" w:tplc="2452D1D4" w:tentative="1">
      <w:start w:val="1"/>
      <w:numFmt w:val="lowerLetter"/>
      <w:lvlText w:val="%5."/>
      <w:lvlJc w:val="left"/>
      <w:pPr>
        <w:ind w:left="3957" w:hanging="360"/>
      </w:pPr>
    </w:lvl>
    <w:lvl w:ilvl="5" w:tplc="631CA4B6" w:tentative="1">
      <w:start w:val="1"/>
      <w:numFmt w:val="lowerRoman"/>
      <w:lvlText w:val="%6."/>
      <w:lvlJc w:val="right"/>
      <w:pPr>
        <w:ind w:left="4677" w:hanging="180"/>
      </w:pPr>
    </w:lvl>
    <w:lvl w:ilvl="6" w:tplc="63308C92" w:tentative="1">
      <w:start w:val="1"/>
      <w:numFmt w:val="decimal"/>
      <w:lvlText w:val="%7."/>
      <w:lvlJc w:val="left"/>
      <w:pPr>
        <w:ind w:left="5397" w:hanging="360"/>
      </w:pPr>
    </w:lvl>
    <w:lvl w:ilvl="7" w:tplc="23A243E0" w:tentative="1">
      <w:start w:val="1"/>
      <w:numFmt w:val="lowerLetter"/>
      <w:lvlText w:val="%8."/>
      <w:lvlJc w:val="left"/>
      <w:pPr>
        <w:ind w:left="6117" w:hanging="360"/>
      </w:pPr>
    </w:lvl>
    <w:lvl w:ilvl="8" w:tplc="61BCC764" w:tentative="1">
      <w:start w:val="1"/>
      <w:numFmt w:val="lowerRoman"/>
      <w:lvlText w:val="%9."/>
      <w:lvlJc w:val="right"/>
      <w:pPr>
        <w:ind w:left="6837" w:hanging="180"/>
      </w:pPr>
    </w:lvl>
  </w:abstractNum>
  <w:abstractNum w:abstractNumId="83">
    <w:nsid w:val="6F351A56"/>
    <w:multiLevelType w:val="hybridMultilevel"/>
    <w:tmpl w:val="3DCC318C"/>
    <w:lvl w:ilvl="0" w:tplc="E8A81B7E">
      <w:start w:val="1"/>
      <w:numFmt w:val="lowerRoman"/>
      <w:lvlText w:val="%1)"/>
      <w:lvlJc w:val="left"/>
      <w:pPr>
        <w:tabs>
          <w:tab w:val="num" w:pos="418"/>
        </w:tabs>
        <w:ind w:left="1495" w:hanging="360"/>
      </w:pPr>
      <w:rPr>
        <w:rFonts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0F9649C6" w:tentative="1">
      <w:start w:val="1"/>
      <w:numFmt w:val="lowerLetter"/>
      <w:lvlText w:val="%2."/>
      <w:lvlJc w:val="left"/>
      <w:pPr>
        <w:ind w:left="2215" w:hanging="360"/>
      </w:pPr>
    </w:lvl>
    <w:lvl w:ilvl="2" w:tplc="85441734" w:tentative="1">
      <w:start w:val="1"/>
      <w:numFmt w:val="lowerRoman"/>
      <w:lvlText w:val="%3."/>
      <w:lvlJc w:val="right"/>
      <w:pPr>
        <w:ind w:left="2935" w:hanging="180"/>
      </w:pPr>
    </w:lvl>
    <w:lvl w:ilvl="3" w:tplc="94C01C76" w:tentative="1">
      <w:start w:val="1"/>
      <w:numFmt w:val="decimal"/>
      <w:lvlText w:val="%4."/>
      <w:lvlJc w:val="left"/>
      <w:pPr>
        <w:ind w:left="3655" w:hanging="360"/>
      </w:pPr>
    </w:lvl>
    <w:lvl w:ilvl="4" w:tplc="4E3A8CAC" w:tentative="1">
      <w:start w:val="1"/>
      <w:numFmt w:val="lowerLetter"/>
      <w:lvlText w:val="%5."/>
      <w:lvlJc w:val="left"/>
      <w:pPr>
        <w:ind w:left="4375" w:hanging="360"/>
      </w:pPr>
    </w:lvl>
    <w:lvl w:ilvl="5" w:tplc="0C00A394" w:tentative="1">
      <w:start w:val="1"/>
      <w:numFmt w:val="lowerRoman"/>
      <w:lvlText w:val="%6."/>
      <w:lvlJc w:val="right"/>
      <w:pPr>
        <w:ind w:left="5095" w:hanging="180"/>
      </w:pPr>
    </w:lvl>
    <w:lvl w:ilvl="6" w:tplc="1346A268" w:tentative="1">
      <w:start w:val="1"/>
      <w:numFmt w:val="decimal"/>
      <w:lvlText w:val="%7."/>
      <w:lvlJc w:val="left"/>
      <w:pPr>
        <w:ind w:left="5815" w:hanging="360"/>
      </w:pPr>
    </w:lvl>
    <w:lvl w:ilvl="7" w:tplc="07605344" w:tentative="1">
      <w:start w:val="1"/>
      <w:numFmt w:val="lowerLetter"/>
      <w:lvlText w:val="%8."/>
      <w:lvlJc w:val="left"/>
      <w:pPr>
        <w:ind w:left="6535" w:hanging="360"/>
      </w:pPr>
    </w:lvl>
    <w:lvl w:ilvl="8" w:tplc="B282AEC0" w:tentative="1">
      <w:start w:val="1"/>
      <w:numFmt w:val="lowerRoman"/>
      <w:lvlText w:val="%9."/>
      <w:lvlJc w:val="right"/>
      <w:pPr>
        <w:ind w:left="7255" w:hanging="180"/>
      </w:pPr>
    </w:lvl>
  </w:abstractNum>
  <w:abstractNum w:abstractNumId="84">
    <w:nsid w:val="72230A24"/>
    <w:multiLevelType w:val="multilevel"/>
    <w:tmpl w:val="EA926228"/>
    <w:name w:val="WW8Num5"/>
    <w:lvl w:ilvl="0">
      <w:start w:val="1"/>
      <w:numFmt w:val="decimal"/>
      <w:pStyle w:val="Notes0"/>
      <w:lvlText w:val="%1"/>
      <w:lvlJc w:val="left"/>
      <w:pPr>
        <w:tabs>
          <w:tab w:val="num" w:pos="432"/>
        </w:tabs>
        <w:ind w:left="432" w:hanging="432"/>
      </w:pPr>
      <w:rPr>
        <w:rFonts w:hint="default"/>
        <w:lang w:val="en-GB"/>
      </w:rPr>
    </w:lvl>
    <w:lvl w:ilvl="1">
      <w:start w:val="1"/>
      <w:numFmt w:val="decimal"/>
      <w:pStyle w:val="Title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nsid w:val="72230A25"/>
    <w:multiLevelType w:val="singleLevel"/>
    <w:tmpl w:val="00000002"/>
    <w:name w:val="WW8Num1"/>
    <w:lvl w:ilvl="0">
      <w:start w:val="293"/>
      <w:numFmt w:val="bullet"/>
      <w:lvlText w:val="-"/>
      <w:lvlJc w:val="left"/>
      <w:pPr>
        <w:tabs>
          <w:tab w:val="num" w:pos="720"/>
        </w:tabs>
        <w:ind w:left="720" w:hanging="360"/>
      </w:pPr>
      <w:rPr>
        <w:rFonts w:ascii="Arial" w:hAnsi="Arial" w:cs="Arial"/>
      </w:rPr>
    </w:lvl>
  </w:abstractNum>
  <w:abstractNum w:abstractNumId="86">
    <w:nsid w:val="72230A26"/>
    <w:multiLevelType w:val="singleLevel"/>
    <w:tmpl w:val="00000006"/>
    <w:name w:val="WW8Num8"/>
    <w:lvl w:ilvl="0">
      <w:start w:val="293"/>
      <w:numFmt w:val="bullet"/>
      <w:lvlText w:val="-"/>
      <w:lvlJc w:val="left"/>
      <w:pPr>
        <w:tabs>
          <w:tab w:val="num" w:pos="720"/>
        </w:tabs>
        <w:ind w:left="720" w:hanging="360"/>
      </w:pPr>
      <w:rPr>
        <w:rFonts w:ascii="Arial" w:hAnsi="Arial" w:cs="Arial"/>
      </w:rPr>
    </w:lvl>
  </w:abstractNum>
  <w:abstractNum w:abstractNumId="87">
    <w:nsid w:val="72230A27"/>
    <w:multiLevelType w:val="multilevel"/>
    <w:tmpl w:val="CC101C62"/>
    <w:name w:val="WW8Num5"/>
    <w:lvl w:ilvl="0">
      <w:start w:val="2"/>
      <w:numFmt w:val="decimal"/>
      <w:pStyle w:val="Notes1"/>
      <w:lvlText w:val="%1"/>
      <w:lvlJc w:val="left"/>
      <w:pPr>
        <w:tabs>
          <w:tab w:val="num" w:pos="432"/>
        </w:tabs>
        <w:ind w:left="432" w:hanging="432"/>
      </w:pPr>
      <w:rPr>
        <w:rFonts w:hint="default"/>
        <w:lang w:val="en-GB"/>
      </w:rPr>
    </w:lvl>
    <w:lvl w:ilvl="1">
      <w:start w:val="1"/>
      <w:numFmt w:val="decimal"/>
      <w:pStyle w:val="Title1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nsid w:val="72230A2B"/>
    <w:multiLevelType w:val="hybridMultilevel"/>
    <w:tmpl w:val="6040F0EC"/>
    <w:name w:val="WW8Num82"/>
    <w:lvl w:ilvl="0" w:tplc="449A3E52">
      <w:start w:val="293"/>
      <w:numFmt w:val="bullet"/>
      <w:lvlText w:val="-"/>
      <w:lvlJc w:val="left"/>
      <w:pPr>
        <w:tabs>
          <w:tab w:val="num" w:pos="720"/>
        </w:tabs>
        <w:ind w:left="720" w:hanging="360"/>
      </w:pPr>
      <w:rPr>
        <w:rFonts w:ascii="Arial" w:hAnsi="Arial" w:cs="Arial" w:hint="default"/>
      </w:rPr>
    </w:lvl>
    <w:lvl w:ilvl="1" w:tplc="2654C090" w:tentative="1">
      <w:start w:val="1"/>
      <w:numFmt w:val="bullet"/>
      <w:lvlText w:val="o"/>
      <w:lvlJc w:val="left"/>
      <w:pPr>
        <w:tabs>
          <w:tab w:val="num" w:pos="1440"/>
        </w:tabs>
        <w:ind w:left="1440" w:hanging="360"/>
      </w:pPr>
      <w:rPr>
        <w:rFonts w:ascii="Courier New" w:hAnsi="Courier New" w:cs="Courier New" w:hint="default"/>
      </w:rPr>
    </w:lvl>
    <w:lvl w:ilvl="2" w:tplc="D1809CBC" w:tentative="1">
      <w:start w:val="1"/>
      <w:numFmt w:val="bullet"/>
      <w:lvlText w:val=""/>
      <w:lvlJc w:val="left"/>
      <w:pPr>
        <w:tabs>
          <w:tab w:val="num" w:pos="2160"/>
        </w:tabs>
        <w:ind w:left="2160" w:hanging="360"/>
      </w:pPr>
      <w:rPr>
        <w:rFonts w:ascii="Wingdings" w:hAnsi="Wingdings" w:hint="default"/>
      </w:rPr>
    </w:lvl>
    <w:lvl w:ilvl="3" w:tplc="754A2FE4" w:tentative="1">
      <w:start w:val="1"/>
      <w:numFmt w:val="bullet"/>
      <w:lvlText w:val=""/>
      <w:lvlJc w:val="left"/>
      <w:pPr>
        <w:tabs>
          <w:tab w:val="num" w:pos="2880"/>
        </w:tabs>
        <w:ind w:left="2880" w:hanging="360"/>
      </w:pPr>
      <w:rPr>
        <w:rFonts w:ascii="Symbol" w:hAnsi="Symbol" w:hint="default"/>
      </w:rPr>
    </w:lvl>
    <w:lvl w:ilvl="4" w:tplc="C4A210C6" w:tentative="1">
      <w:start w:val="1"/>
      <w:numFmt w:val="bullet"/>
      <w:lvlText w:val="o"/>
      <w:lvlJc w:val="left"/>
      <w:pPr>
        <w:tabs>
          <w:tab w:val="num" w:pos="3600"/>
        </w:tabs>
        <w:ind w:left="3600" w:hanging="360"/>
      </w:pPr>
      <w:rPr>
        <w:rFonts w:ascii="Courier New" w:hAnsi="Courier New" w:cs="Courier New" w:hint="default"/>
      </w:rPr>
    </w:lvl>
    <w:lvl w:ilvl="5" w:tplc="E5DCD146" w:tentative="1">
      <w:start w:val="1"/>
      <w:numFmt w:val="bullet"/>
      <w:lvlText w:val=""/>
      <w:lvlJc w:val="left"/>
      <w:pPr>
        <w:tabs>
          <w:tab w:val="num" w:pos="4320"/>
        </w:tabs>
        <w:ind w:left="4320" w:hanging="360"/>
      </w:pPr>
      <w:rPr>
        <w:rFonts w:ascii="Wingdings" w:hAnsi="Wingdings" w:hint="default"/>
      </w:rPr>
    </w:lvl>
    <w:lvl w:ilvl="6" w:tplc="037AC028" w:tentative="1">
      <w:start w:val="1"/>
      <w:numFmt w:val="bullet"/>
      <w:lvlText w:val=""/>
      <w:lvlJc w:val="left"/>
      <w:pPr>
        <w:tabs>
          <w:tab w:val="num" w:pos="5040"/>
        </w:tabs>
        <w:ind w:left="5040" w:hanging="360"/>
      </w:pPr>
      <w:rPr>
        <w:rFonts w:ascii="Symbol" w:hAnsi="Symbol" w:hint="default"/>
      </w:rPr>
    </w:lvl>
    <w:lvl w:ilvl="7" w:tplc="3B464562" w:tentative="1">
      <w:start w:val="1"/>
      <w:numFmt w:val="bullet"/>
      <w:lvlText w:val="o"/>
      <w:lvlJc w:val="left"/>
      <w:pPr>
        <w:tabs>
          <w:tab w:val="num" w:pos="5760"/>
        </w:tabs>
        <w:ind w:left="5760" w:hanging="360"/>
      </w:pPr>
      <w:rPr>
        <w:rFonts w:ascii="Courier New" w:hAnsi="Courier New" w:cs="Courier New" w:hint="default"/>
      </w:rPr>
    </w:lvl>
    <w:lvl w:ilvl="8" w:tplc="54385F32" w:tentative="1">
      <w:start w:val="1"/>
      <w:numFmt w:val="bullet"/>
      <w:lvlText w:val=""/>
      <w:lvlJc w:val="left"/>
      <w:pPr>
        <w:tabs>
          <w:tab w:val="num" w:pos="6480"/>
        </w:tabs>
        <w:ind w:left="6480" w:hanging="360"/>
      </w:pPr>
      <w:rPr>
        <w:rFonts w:ascii="Wingdings" w:hAnsi="Wingdings" w:hint="default"/>
      </w:rPr>
    </w:lvl>
  </w:abstractNum>
  <w:abstractNum w:abstractNumId="89">
    <w:nsid w:val="72230A31"/>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00"/>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nsid w:val="72230A34"/>
    <w:multiLevelType w:val="multilevel"/>
    <w:tmpl w:val="1C9AA89E"/>
    <w:name w:val="WW8Num2"/>
    <w:lvl w:ilvl="0">
      <w:start w:val="1"/>
      <w:numFmt w:val="bullet"/>
      <w:lvlText w:val=""/>
      <w:lvlJc w:val="left"/>
      <w:pPr>
        <w:tabs>
          <w:tab w:val="num" w:pos="1080"/>
        </w:tabs>
        <w:ind w:left="1080" w:hanging="360"/>
      </w:pPr>
      <w:rPr>
        <w:rFonts w:ascii="Wingdings" w:hAnsi="Wingding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left"/>
      <w:pPr>
        <w:tabs>
          <w:tab w:val="num" w:pos="357"/>
        </w:tabs>
        <w:ind w:left="357" w:hanging="357"/>
      </w:pPr>
      <w:rPr>
        <w:rFont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1">
    <w:nsid w:val="72230A38"/>
    <w:multiLevelType w:val="multilevel"/>
    <w:tmpl w:val="E8FA3B46"/>
    <w:name w:val="WW8Num5"/>
    <w:lvl w:ilvl="0">
      <w:start w:val="3"/>
      <w:numFmt w:val="decimal"/>
      <w:pStyle w:val="Notes2"/>
      <w:lvlText w:val="%1"/>
      <w:lvlJc w:val="left"/>
      <w:pPr>
        <w:tabs>
          <w:tab w:val="num" w:pos="432"/>
        </w:tabs>
        <w:ind w:left="432" w:hanging="432"/>
      </w:pPr>
      <w:rPr>
        <w:rFonts w:hint="default"/>
        <w:lang w:val="en-GB"/>
      </w:rPr>
    </w:lvl>
    <w:lvl w:ilvl="1">
      <w:start w:val="1"/>
      <w:numFmt w:val="decimal"/>
      <w:pStyle w:val="Title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nsid w:val="72230A3A"/>
    <w:multiLevelType w:val="multilevel"/>
    <w:tmpl w:val="DE90D416"/>
    <w:name w:val="WW8Num5"/>
    <w:lvl w:ilvl="0">
      <w:start w:val="3"/>
      <w:numFmt w:val="decimal"/>
      <w:pStyle w:val="Notes3"/>
      <w:lvlText w:val="%1"/>
      <w:lvlJc w:val="left"/>
      <w:pPr>
        <w:tabs>
          <w:tab w:val="num" w:pos="432"/>
        </w:tabs>
        <w:ind w:left="432" w:hanging="432"/>
      </w:pPr>
      <w:rPr>
        <w:rFonts w:hint="default"/>
        <w:lang w:val="en-GB"/>
      </w:rPr>
    </w:lvl>
    <w:lvl w:ilvl="1">
      <w:start w:val="2"/>
      <w:numFmt w:val="decimal"/>
      <w:pStyle w:val="Title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nsid w:val="72230A3B"/>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nsid w:val="72230A3D"/>
    <w:multiLevelType w:val="multilevel"/>
    <w:tmpl w:val="313ADC1A"/>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0"/>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5">
    <w:nsid w:val="72230A3E"/>
    <w:multiLevelType w:val="multilevel"/>
    <w:tmpl w:val="EA926228"/>
    <w:name w:val="WW8Num5"/>
    <w:lvl w:ilvl="0">
      <w:start w:val="1"/>
      <w:numFmt w:val="decimal"/>
      <w:pStyle w:val="Notes4"/>
      <w:lvlText w:val="%1"/>
      <w:lvlJc w:val="left"/>
      <w:pPr>
        <w:tabs>
          <w:tab w:val="num" w:pos="432"/>
        </w:tabs>
        <w:ind w:left="432" w:hanging="432"/>
      </w:pPr>
      <w:rPr>
        <w:rFonts w:hint="default"/>
        <w:lang w:val="en-GB"/>
      </w:rPr>
    </w:lvl>
    <w:lvl w:ilvl="1">
      <w:start w:val="1"/>
      <w:numFmt w:val="decimal"/>
      <w:pStyle w:val="Title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nsid w:val="72230A3F"/>
    <w:multiLevelType w:val="multilevel"/>
    <w:tmpl w:val="02F24F5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pStyle w:val="Title321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nsid w:val="72230A40"/>
    <w:multiLevelType w:val="multilevel"/>
    <w:tmpl w:val="EA926228"/>
    <w:name w:val="WW8Num5"/>
    <w:lvl w:ilvl="0">
      <w:start w:val="1"/>
      <w:numFmt w:val="decimal"/>
      <w:pStyle w:val="Notes5"/>
      <w:lvlText w:val="%1"/>
      <w:lvlJc w:val="left"/>
      <w:pPr>
        <w:tabs>
          <w:tab w:val="num" w:pos="432"/>
        </w:tabs>
        <w:ind w:left="432" w:hanging="432"/>
      </w:pPr>
      <w:rPr>
        <w:rFonts w:hint="default"/>
        <w:lang w:val="en-GB"/>
      </w:rPr>
    </w:lvl>
    <w:lvl w:ilvl="1">
      <w:start w:val="1"/>
      <w:numFmt w:val="decimal"/>
      <w:pStyle w:val="Title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nsid w:val="72230A43"/>
    <w:multiLevelType w:val="hybridMultilevel"/>
    <w:tmpl w:val="36C6AE94"/>
    <w:lvl w:ilvl="0" w:tplc="3B30335A">
      <w:start w:val="1"/>
      <w:numFmt w:val="lowerRoman"/>
      <w:pStyle w:val="Listi0"/>
      <w:lvlText w:val="%1)"/>
      <w:lvlJc w:val="left"/>
      <w:pPr>
        <w:tabs>
          <w:tab w:val="num" w:pos="1080"/>
        </w:tabs>
        <w:ind w:left="1080" w:hanging="720"/>
      </w:pPr>
      <w:rPr>
        <w:rFonts w:cs="Times New Roman" w:hint="default"/>
      </w:rPr>
    </w:lvl>
    <w:lvl w:ilvl="1" w:tplc="66EAC064">
      <w:start w:val="1"/>
      <w:numFmt w:val="lowerLetter"/>
      <w:lvlText w:val="%2."/>
      <w:lvlJc w:val="left"/>
      <w:pPr>
        <w:tabs>
          <w:tab w:val="num" w:pos="1440"/>
        </w:tabs>
        <w:ind w:left="1440" w:hanging="360"/>
      </w:pPr>
      <w:rPr>
        <w:rFonts w:cs="Times New Roman"/>
      </w:rPr>
    </w:lvl>
    <w:lvl w:ilvl="2" w:tplc="5830C5A4">
      <w:start w:val="1"/>
      <w:numFmt w:val="lowerRoman"/>
      <w:lvlText w:val="%3."/>
      <w:lvlJc w:val="right"/>
      <w:pPr>
        <w:tabs>
          <w:tab w:val="num" w:pos="2160"/>
        </w:tabs>
        <w:ind w:left="2160" w:hanging="180"/>
      </w:pPr>
      <w:rPr>
        <w:rFonts w:cs="Times New Roman"/>
      </w:rPr>
    </w:lvl>
    <w:lvl w:ilvl="3" w:tplc="DF28BBF4">
      <w:start w:val="1"/>
      <w:numFmt w:val="decimal"/>
      <w:lvlText w:val="%4."/>
      <w:lvlJc w:val="left"/>
      <w:pPr>
        <w:tabs>
          <w:tab w:val="num" w:pos="2880"/>
        </w:tabs>
        <w:ind w:left="2880" w:hanging="360"/>
      </w:pPr>
      <w:rPr>
        <w:rFonts w:cs="Times New Roman"/>
      </w:rPr>
    </w:lvl>
    <w:lvl w:ilvl="4" w:tplc="108C1518">
      <w:start w:val="1"/>
      <w:numFmt w:val="lowerLetter"/>
      <w:lvlText w:val="%5."/>
      <w:lvlJc w:val="left"/>
      <w:pPr>
        <w:tabs>
          <w:tab w:val="num" w:pos="3600"/>
        </w:tabs>
        <w:ind w:left="3600" w:hanging="360"/>
      </w:pPr>
      <w:rPr>
        <w:rFonts w:cs="Times New Roman"/>
      </w:rPr>
    </w:lvl>
    <w:lvl w:ilvl="5" w:tplc="B61E0DCE">
      <w:start w:val="1"/>
      <w:numFmt w:val="lowerRoman"/>
      <w:lvlText w:val="%6."/>
      <w:lvlJc w:val="right"/>
      <w:pPr>
        <w:tabs>
          <w:tab w:val="num" w:pos="4320"/>
        </w:tabs>
        <w:ind w:left="4320" w:hanging="180"/>
      </w:pPr>
      <w:rPr>
        <w:rFonts w:cs="Times New Roman"/>
      </w:rPr>
    </w:lvl>
    <w:lvl w:ilvl="6" w:tplc="F6E8CB68">
      <w:start w:val="1"/>
      <w:numFmt w:val="decimal"/>
      <w:lvlText w:val="%7."/>
      <w:lvlJc w:val="left"/>
      <w:pPr>
        <w:tabs>
          <w:tab w:val="num" w:pos="5040"/>
        </w:tabs>
        <w:ind w:left="5040" w:hanging="360"/>
      </w:pPr>
      <w:rPr>
        <w:rFonts w:cs="Times New Roman"/>
      </w:rPr>
    </w:lvl>
    <w:lvl w:ilvl="7" w:tplc="F6BAE576">
      <w:start w:val="1"/>
      <w:numFmt w:val="lowerLetter"/>
      <w:lvlText w:val="%8."/>
      <w:lvlJc w:val="left"/>
      <w:pPr>
        <w:tabs>
          <w:tab w:val="num" w:pos="5760"/>
        </w:tabs>
        <w:ind w:left="5760" w:hanging="360"/>
      </w:pPr>
      <w:rPr>
        <w:rFonts w:cs="Times New Roman"/>
      </w:rPr>
    </w:lvl>
    <w:lvl w:ilvl="8" w:tplc="826CD342">
      <w:start w:val="1"/>
      <w:numFmt w:val="lowerRoman"/>
      <w:lvlText w:val="%9."/>
      <w:lvlJc w:val="right"/>
      <w:pPr>
        <w:tabs>
          <w:tab w:val="num" w:pos="6480"/>
        </w:tabs>
        <w:ind w:left="6480" w:hanging="180"/>
      </w:pPr>
      <w:rPr>
        <w:rFonts w:cs="Times New Roman"/>
      </w:rPr>
    </w:lvl>
  </w:abstractNum>
  <w:abstractNum w:abstractNumId="99">
    <w:nsid w:val="72230A44"/>
    <w:multiLevelType w:val="multilevel"/>
    <w:tmpl w:val="EA926228"/>
    <w:name w:val="WW8Num5"/>
    <w:lvl w:ilvl="0">
      <w:start w:val="1"/>
      <w:numFmt w:val="decimal"/>
      <w:pStyle w:val="Notes6"/>
      <w:lvlText w:val="%1"/>
      <w:lvlJc w:val="left"/>
      <w:pPr>
        <w:tabs>
          <w:tab w:val="num" w:pos="432"/>
        </w:tabs>
        <w:ind w:left="432" w:hanging="432"/>
      </w:pPr>
      <w:rPr>
        <w:rFonts w:hint="default"/>
        <w:lang w:val="en-GB"/>
      </w:rPr>
    </w:lvl>
    <w:lvl w:ilvl="1">
      <w:start w:val="1"/>
      <w:numFmt w:val="decimal"/>
      <w:pStyle w:val="Title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nsid w:val="72230A46"/>
    <w:multiLevelType w:val="multilevel"/>
    <w:tmpl w:val="EA926228"/>
    <w:name w:val="WW8Num5"/>
    <w:lvl w:ilvl="0">
      <w:start w:val="1"/>
      <w:numFmt w:val="decimal"/>
      <w:pStyle w:val="Notes7"/>
      <w:lvlText w:val="%1"/>
      <w:lvlJc w:val="left"/>
      <w:pPr>
        <w:tabs>
          <w:tab w:val="num" w:pos="432"/>
        </w:tabs>
        <w:ind w:left="432" w:hanging="432"/>
      </w:pPr>
      <w:rPr>
        <w:rFonts w:hint="default"/>
        <w:lang w:val="en-GB"/>
      </w:rPr>
    </w:lvl>
    <w:lvl w:ilvl="1">
      <w:start w:val="1"/>
      <w:numFmt w:val="decimal"/>
      <w:pStyle w:val="Title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nsid w:val="72230A48"/>
    <w:multiLevelType w:val="multilevel"/>
    <w:tmpl w:val="EA926228"/>
    <w:name w:val="WW8Num5"/>
    <w:lvl w:ilvl="0">
      <w:start w:val="1"/>
      <w:numFmt w:val="decimal"/>
      <w:pStyle w:val="Notes8"/>
      <w:lvlText w:val="%1"/>
      <w:lvlJc w:val="left"/>
      <w:pPr>
        <w:tabs>
          <w:tab w:val="num" w:pos="432"/>
        </w:tabs>
        <w:ind w:left="432" w:hanging="432"/>
      </w:pPr>
      <w:rPr>
        <w:rFonts w:hint="default"/>
        <w:lang w:val="en-GB"/>
      </w:rPr>
    </w:lvl>
    <w:lvl w:ilvl="1">
      <w:start w:val="1"/>
      <w:numFmt w:val="decimal"/>
      <w:pStyle w:val="Title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nsid w:val="72230A4A"/>
    <w:multiLevelType w:val="multilevel"/>
    <w:tmpl w:val="EA926228"/>
    <w:name w:val="WW8Num5"/>
    <w:lvl w:ilvl="0">
      <w:start w:val="1"/>
      <w:numFmt w:val="decimal"/>
      <w:pStyle w:val="Notes9"/>
      <w:lvlText w:val="%1"/>
      <w:lvlJc w:val="left"/>
      <w:pPr>
        <w:tabs>
          <w:tab w:val="num" w:pos="432"/>
        </w:tabs>
        <w:ind w:left="432" w:hanging="432"/>
      </w:pPr>
      <w:rPr>
        <w:rFonts w:hint="default"/>
        <w:lang w:val="en-GB"/>
      </w:rPr>
    </w:lvl>
    <w:lvl w:ilvl="1">
      <w:start w:val="1"/>
      <w:numFmt w:val="decimal"/>
      <w:pStyle w:val="Title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nsid w:val="72230A4C"/>
    <w:multiLevelType w:val="multilevel"/>
    <w:tmpl w:val="EA926228"/>
    <w:name w:val="WW8Num5"/>
    <w:lvl w:ilvl="0">
      <w:start w:val="1"/>
      <w:numFmt w:val="decimal"/>
      <w:pStyle w:val="Notes10"/>
      <w:lvlText w:val="%1"/>
      <w:lvlJc w:val="left"/>
      <w:pPr>
        <w:tabs>
          <w:tab w:val="num" w:pos="432"/>
        </w:tabs>
        <w:ind w:left="432" w:hanging="432"/>
      </w:pPr>
      <w:rPr>
        <w:rFonts w:hint="default"/>
        <w:lang w:val="en-GB"/>
      </w:rPr>
    </w:lvl>
    <w:lvl w:ilvl="1">
      <w:start w:val="1"/>
      <w:numFmt w:val="decimal"/>
      <w:pStyle w:val="Title1110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nsid w:val="72230A4E"/>
    <w:multiLevelType w:val="multilevel"/>
    <w:tmpl w:val="EA926228"/>
    <w:name w:val="WW8Num5"/>
    <w:lvl w:ilvl="0">
      <w:start w:val="1"/>
      <w:numFmt w:val="decimal"/>
      <w:pStyle w:val="Notes11"/>
      <w:lvlText w:val="%1"/>
      <w:lvlJc w:val="left"/>
      <w:pPr>
        <w:tabs>
          <w:tab w:val="num" w:pos="432"/>
        </w:tabs>
        <w:ind w:left="432" w:hanging="432"/>
      </w:pPr>
      <w:rPr>
        <w:rFonts w:hint="default"/>
        <w:lang w:val="en-GB"/>
      </w:rPr>
    </w:lvl>
    <w:lvl w:ilvl="1">
      <w:start w:val="1"/>
      <w:numFmt w:val="decimal"/>
      <w:pStyle w:val="Title11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nsid w:val="72230A50"/>
    <w:multiLevelType w:val="multilevel"/>
    <w:tmpl w:val="580E6384"/>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4"/>
      <w:numFmt w:val="decimal"/>
      <w:pStyle w:val="Title3212"/>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6">
    <w:nsid w:val="72230A51"/>
    <w:multiLevelType w:val="multilevel"/>
    <w:tmpl w:val="EA926228"/>
    <w:name w:val="WW8Num5"/>
    <w:lvl w:ilvl="0">
      <w:start w:val="1"/>
      <w:numFmt w:val="decimal"/>
      <w:pStyle w:val="Notes12"/>
      <w:lvlText w:val="%1"/>
      <w:lvlJc w:val="left"/>
      <w:pPr>
        <w:tabs>
          <w:tab w:val="num" w:pos="432"/>
        </w:tabs>
        <w:ind w:left="432" w:hanging="432"/>
      </w:pPr>
      <w:rPr>
        <w:rFonts w:hint="default"/>
        <w:lang w:val="en-GB"/>
      </w:rPr>
    </w:lvl>
    <w:lvl w:ilvl="1">
      <w:start w:val="1"/>
      <w:numFmt w:val="decimal"/>
      <w:pStyle w:val="Title1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nsid w:val="72230A52"/>
    <w:multiLevelType w:val="multilevel"/>
    <w:tmpl w:val="EA926228"/>
    <w:name w:val="WW8Num5"/>
    <w:lvl w:ilvl="0">
      <w:start w:val="1"/>
      <w:numFmt w:val="decimal"/>
      <w:pStyle w:val="Notes13"/>
      <w:lvlText w:val="%1"/>
      <w:lvlJc w:val="left"/>
      <w:pPr>
        <w:tabs>
          <w:tab w:val="num" w:pos="432"/>
        </w:tabs>
        <w:ind w:left="432" w:hanging="432"/>
      </w:pPr>
      <w:rPr>
        <w:rFonts w:hint="default"/>
        <w:lang w:val="en-GB"/>
      </w:rPr>
    </w:lvl>
    <w:lvl w:ilvl="1">
      <w:start w:val="1"/>
      <w:numFmt w:val="decimal"/>
      <w:pStyle w:val="Title1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nsid w:val="72230A54"/>
    <w:multiLevelType w:val="multilevel"/>
    <w:tmpl w:val="EA926228"/>
    <w:name w:val="WW8Num5"/>
    <w:lvl w:ilvl="0">
      <w:start w:val="1"/>
      <w:numFmt w:val="decimal"/>
      <w:pStyle w:val="Notes14"/>
      <w:lvlText w:val="%1"/>
      <w:lvlJc w:val="left"/>
      <w:pPr>
        <w:tabs>
          <w:tab w:val="num" w:pos="432"/>
        </w:tabs>
        <w:ind w:left="432" w:hanging="432"/>
      </w:pPr>
      <w:rPr>
        <w:rFonts w:hint="default"/>
        <w:lang w:val="en-GB"/>
      </w:rPr>
    </w:lvl>
    <w:lvl w:ilvl="1">
      <w:start w:val="1"/>
      <w:numFmt w:val="decimal"/>
      <w:pStyle w:val="Title1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9">
    <w:nsid w:val="72230A56"/>
    <w:multiLevelType w:val="multilevel"/>
    <w:tmpl w:val="EA926228"/>
    <w:name w:val="WW8Num5"/>
    <w:lvl w:ilvl="0">
      <w:start w:val="1"/>
      <w:numFmt w:val="decimal"/>
      <w:pStyle w:val="Notes15"/>
      <w:lvlText w:val="%1"/>
      <w:lvlJc w:val="left"/>
      <w:pPr>
        <w:tabs>
          <w:tab w:val="num" w:pos="432"/>
        </w:tabs>
        <w:ind w:left="432" w:hanging="432"/>
      </w:pPr>
      <w:rPr>
        <w:rFonts w:hint="default"/>
        <w:lang w:val="en-GB"/>
      </w:rPr>
    </w:lvl>
    <w:lvl w:ilvl="1">
      <w:start w:val="1"/>
      <w:numFmt w:val="decimal"/>
      <w:pStyle w:val="Title1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nsid w:val="72230A58"/>
    <w:multiLevelType w:val="multilevel"/>
    <w:tmpl w:val="71C885E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6"/>
      <w:numFmt w:val="decimal"/>
      <w:pStyle w:val="Title3213"/>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1">
    <w:nsid w:val="72230A59"/>
    <w:multiLevelType w:val="multilevel"/>
    <w:tmpl w:val="EA926228"/>
    <w:name w:val="WW8Num5"/>
    <w:lvl w:ilvl="0">
      <w:start w:val="1"/>
      <w:numFmt w:val="decimal"/>
      <w:pStyle w:val="Notes16"/>
      <w:lvlText w:val="%1"/>
      <w:lvlJc w:val="left"/>
      <w:pPr>
        <w:tabs>
          <w:tab w:val="num" w:pos="432"/>
        </w:tabs>
        <w:ind w:left="432" w:hanging="432"/>
      </w:pPr>
      <w:rPr>
        <w:rFonts w:hint="default"/>
        <w:lang w:val="en-GB"/>
      </w:rPr>
    </w:lvl>
    <w:lvl w:ilvl="1">
      <w:start w:val="1"/>
      <w:numFmt w:val="decimal"/>
      <w:pStyle w:val="Title1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2">
    <w:nsid w:val="72230A5A"/>
    <w:multiLevelType w:val="multilevel"/>
    <w:tmpl w:val="EA926228"/>
    <w:lvl w:ilvl="0">
      <w:start w:val="1"/>
      <w:numFmt w:val="decimal"/>
      <w:pStyle w:val="Notes160"/>
      <w:lvlText w:val="%1"/>
      <w:lvlJc w:val="left"/>
      <w:pPr>
        <w:tabs>
          <w:tab w:val="num" w:pos="432"/>
        </w:tabs>
        <w:ind w:left="432" w:hanging="432"/>
      </w:pPr>
      <w:rPr>
        <w:lang w:val="en-GB"/>
      </w:rPr>
    </w:lvl>
    <w:lvl w:ilvl="1">
      <w:start w:val="1"/>
      <w:numFmt w:val="decimal"/>
      <w:pStyle w:val="Title11160"/>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3">
    <w:nsid w:val="72230A5B"/>
    <w:multiLevelType w:val="multilevel"/>
    <w:tmpl w:val="EA926228"/>
    <w:name w:val="WW8Num5"/>
    <w:lvl w:ilvl="0">
      <w:start w:val="1"/>
      <w:numFmt w:val="decimal"/>
      <w:pStyle w:val="Notes17"/>
      <w:lvlText w:val="%1"/>
      <w:lvlJc w:val="left"/>
      <w:pPr>
        <w:tabs>
          <w:tab w:val="num" w:pos="432"/>
        </w:tabs>
        <w:ind w:left="432" w:hanging="432"/>
      </w:pPr>
      <w:rPr>
        <w:rFonts w:hint="default"/>
        <w:lang w:val="en-GB"/>
      </w:rPr>
    </w:lvl>
    <w:lvl w:ilvl="1">
      <w:start w:val="1"/>
      <w:numFmt w:val="decimal"/>
      <w:pStyle w:val="Title1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nsid w:val="72230A5D"/>
    <w:multiLevelType w:val="multilevel"/>
    <w:tmpl w:val="EA926228"/>
    <w:name w:val="WW8Num5"/>
    <w:lvl w:ilvl="0">
      <w:start w:val="1"/>
      <w:numFmt w:val="decimal"/>
      <w:pStyle w:val="Notes18"/>
      <w:lvlText w:val="%1"/>
      <w:lvlJc w:val="left"/>
      <w:pPr>
        <w:tabs>
          <w:tab w:val="num" w:pos="432"/>
        </w:tabs>
        <w:ind w:left="432" w:hanging="432"/>
      </w:pPr>
      <w:rPr>
        <w:rFonts w:hint="default"/>
        <w:lang w:val="en-GB"/>
      </w:rPr>
    </w:lvl>
    <w:lvl w:ilvl="1">
      <w:start w:val="1"/>
      <w:numFmt w:val="decimal"/>
      <w:pStyle w:val="Title1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nsid w:val="72230A5F"/>
    <w:multiLevelType w:val="multilevel"/>
    <w:tmpl w:val="EA926228"/>
    <w:name w:val="WW8Num5"/>
    <w:lvl w:ilvl="0">
      <w:start w:val="1"/>
      <w:numFmt w:val="decimal"/>
      <w:pStyle w:val="Notes19"/>
      <w:lvlText w:val="%1"/>
      <w:lvlJc w:val="left"/>
      <w:pPr>
        <w:tabs>
          <w:tab w:val="num" w:pos="432"/>
        </w:tabs>
        <w:ind w:left="432" w:hanging="432"/>
      </w:pPr>
      <w:rPr>
        <w:rFonts w:hint="default"/>
        <w:lang w:val="en-GB"/>
      </w:rPr>
    </w:lvl>
    <w:lvl w:ilvl="1">
      <w:start w:val="1"/>
      <w:numFmt w:val="decimal"/>
      <w:pStyle w:val="Title1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nsid w:val="72230A62"/>
    <w:multiLevelType w:val="multilevel"/>
    <w:tmpl w:val="EA926228"/>
    <w:name w:val="WW8Num5"/>
    <w:lvl w:ilvl="0">
      <w:start w:val="1"/>
      <w:numFmt w:val="decimal"/>
      <w:pStyle w:val="Notes20"/>
      <w:lvlText w:val="%1"/>
      <w:lvlJc w:val="left"/>
      <w:pPr>
        <w:tabs>
          <w:tab w:val="num" w:pos="432"/>
        </w:tabs>
        <w:ind w:left="432" w:hanging="432"/>
      </w:pPr>
      <w:rPr>
        <w:rFonts w:hint="default"/>
        <w:lang w:val="en-GB"/>
      </w:rPr>
    </w:lvl>
    <w:lvl w:ilvl="1">
      <w:start w:val="1"/>
      <w:numFmt w:val="decimal"/>
      <w:pStyle w:val="Title112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7">
    <w:nsid w:val="72230A63"/>
    <w:multiLevelType w:val="multilevel"/>
    <w:tmpl w:val="2294FCA2"/>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8">
    <w:nsid w:val="72230A66"/>
    <w:multiLevelType w:val="multilevel"/>
    <w:tmpl w:val="EA926228"/>
    <w:name w:val="WW8Num5"/>
    <w:lvl w:ilvl="0">
      <w:start w:val="1"/>
      <w:numFmt w:val="decimal"/>
      <w:pStyle w:val="Notes21"/>
      <w:lvlText w:val="%1"/>
      <w:lvlJc w:val="left"/>
      <w:pPr>
        <w:tabs>
          <w:tab w:val="num" w:pos="432"/>
        </w:tabs>
        <w:ind w:left="432" w:hanging="432"/>
      </w:pPr>
      <w:rPr>
        <w:rFonts w:hint="default"/>
        <w:lang w:val="en-GB"/>
      </w:rPr>
    </w:lvl>
    <w:lvl w:ilvl="1">
      <w:start w:val="1"/>
      <w:numFmt w:val="decimal"/>
      <w:pStyle w:val="Title112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9">
    <w:nsid w:val="72230A67"/>
    <w:multiLevelType w:val="multilevel"/>
    <w:tmpl w:val="408EED60"/>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0">
    <w:nsid w:val="72230A6A"/>
    <w:multiLevelType w:val="multilevel"/>
    <w:tmpl w:val="EA926228"/>
    <w:name w:val="WW8Num5"/>
    <w:lvl w:ilvl="0">
      <w:start w:val="1"/>
      <w:numFmt w:val="decimal"/>
      <w:pStyle w:val="Notes22"/>
      <w:lvlText w:val="%1"/>
      <w:lvlJc w:val="left"/>
      <w:pPr>
        <w:tabs>
          <w:tab w:val="num" w:pos="432"/>
        </w:tabs>
        <w:ind w:left="432" w:hanging="432"/>
      </w:pPr>
      <w:rPr>
        <w:rFonts w:hint="default"/>
        <w:lang w:val="en-GB"/>
      </w:rPr>
    </w:lvl>
    <w:lvl w:ilvl="1">
      <w:start w:val="1"/>
      <w:numFmt w:val="decimal"/>
      <w:pStyle w:val="Title112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1">
    <w:nsid w:val="72230A6B"/>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2">
    <w:nsid w:val="72230A6C"/>
    <w:multiLevelType w:val="multilevel"/>
    <w:tmpl w:val="C37624AE"/>
    <w:name w:val="WW8Num5"/>
    <w:lvl w:ilvl="0">
      <w:start w:val="4"/>
      <w:numFmt w:val="decimal"/>
      <w:pStyle w:val="Notes23"/>
      <w:lvlText w:val="%1"/>
      <w:lvlJc w:val="left"/>
      <w:pPr>
        <w:tabs>
          <w:tab w:val="num" w:pos="432"/>
        </w:tabs>
        <w:ind w:left="432" w:hanging="432"/>
      </w:pPr>
      <w:rPr>
        <w:rFonts w:hint="default"/>
        <w:lang w:val="en-GB"/>
      </w:rPr>
    </w:lvl>
    <w:lvl w:ilvl="1">
      <w:start w:val="1"/>
      <w:numFmt w:val="decimal"/>
      <w:pStyle w:val="Title112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3">
    <w:nsid w:val="72230A6D"/>
    <w:multiLevelType w:val="multilevel"/>
    <w:tmpl w:val="C37624AE"/>
    <w:name w:val="WW8Num5"/>
    <w:lvl w:ilvl="0">
      <w:start w:val="4"/>
      <w:numFmt w:val="decimal"/>
      <w:pStyle w:val="Notes24"/>
      <w:lvlText w:val="%1"/>
      <w:lvlJc w:val="left"/>
      <w:pPr>
        <w:tabs>
          <w:tab w:val="num" w:pos="432"/>
        </w:tabs>
        <w:ind w:left="432" w:hanging="432"/>
      </w:pPr>
      <w:rPr>
        <w:rFonts w:hint="default"/>
        <w:lang w:val="en-GB"/>
      </w:rPr>
    </w:lvl>
    <w:lvl w:ilvl="1">
      <w:start w:val="1"/>
      <w:numFmt w:val="decimal"/>
      <w:pStyle w:val="Title112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nsid w:val="72230A6E"/>
    <w:multiLevelType w:val="multilevel"/>
    <w:tmpl w:val="5B401FA0"/>
    <w:name w:val="WW8Num5"/>
    <w:lvl w:ilvl="0">
      <w:start w:val="4"/>
      <w:numFmt w:val="decimal"/>
      <w:pStyle w:val="Notes25"/>
      <w:lvlText w:val="%1"/>
      <w:lvlJc w:val="left"/>
      <w:pPr>
        <w:tabs>
          <w:tab w:val="num" w:pos="432"/>
        </w:tabs>
        <w:ind w:left="432" w:hanging="432"/>
      </w:pPr>
      <w:rPr>
        <w:rFonts w:hint="default"/>
        <w:lang w:val="en-GB"/>
      </w:rPr>
    </w:lvl>
    <w:lvl w:ilvl="1">
      <w:start w:val="2"/>
      <w:numFmt w:val="decimal"/>
      <w:pStyle w:val="Title112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5">
    <w:nsid w:val="72230A70"/>
    <w:multiLevelType w:val="multilevel"/>
    <w:tmpl w:val="BCF0F7F4"/>
    <w:name w:val="WW8Num5"/>
    <w:lvl w:ilvl="0">
      <w:start w:val="4"/>
      <w:numFmt w:val="decimal"/>
      <w:pStyle w:val="Notes26"/>
      <w:lvlText w:val="%1"/>
      <w:lvlJc w:val="left"/>
      <w:pPr>
        <w:tabs>
          <w:tab w:val="num" w:pos="432"/>
        </w:tabs>
        <w:ind w:left="432" w:hanging="432"/>
      </w:pPr>
      <w:rPr>
        <w:rFonts w:hint="default"/>
        <w:lang w:val="en-GB"/>
      </w:rPr>
    </w:lvl>
    <w:lvl w:ilvl="1">
      <w:start w:val="2"/>
      <w:numFmt w:val="decimal"/>
      <w:pStyle w:val="Title1126"/>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6">
    <w:nsid w:val="72230A71"/>
    <w:multiLevelType w:val="multilevel"/>
    <w:tmpl w:val="DE1EA1B0"/>
    <w:name w:val="WW8Num5"/>
    <w:lvl w:ilvl="0">
      <w:start w:val="12"/>
      <w:numFmt w:val="decimal"/>
      <w:pStyle w:val="Notes27"/>
      <w:lvlText w:val="%1"/>
      <w:lvlJc w:val="left"/>
      <w:pPr>
        <w:tabs>
          <w:tab w:val="num" w:pos="432"/>
        </w:tabs>
        <w:ind w:left="432" w:hanging="432"/>
      </w:pPr>
      <w:rPr>
        <w:rFonts w:hint="default"/>
        <w:lang w:val="en-GB"/>
      </w:rPr>
    </w:lvl>
    <w:lvl w:ilvl="1">
      <w:start w:val="1"/>
      <w:numFmt w:val="decimal"/>
      <w:pStyle w:val="Title112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7">
    <w:nsid w:val="72230A73"/>
    <w:multiLevelType w:val="multilevel"/>
    <w:tmpl w:val="EA926228"/>
    <w:name w:val="WW8Num5"/>
    <w:lvl w:ilvl="0">
      <w:start w:val="1"/>
      <w:numFmt w:val="decimal"/>
      <w:pStyle w:val="Notes28"/>
      <w:lvlText w:val="%1"/>
      <w:lvlJc w:val="left"/>
      <w:pPr>
        <w:tabs>
          <w:tab w:val="num" w:pos="432"/>
        </w:tabs>
        <w:ind w:left="432" w:hanging="432"/>
      </w:pPr>
      <w:rPr>
        <w:lang w:val="en-GB"/>
      </w:rPr>
    </w:lvl>
    <w:lvl w:ilvl="1">
      <w:start w:val="1"/>
      <w:numFmt w:val="decimal"/>
      <w:pStyle w:val="Title1128"/>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8">
    <w:nsid w:val="7A270A9A"/>
    <w:multiLevelType w:val="multilevel"/>
    <w:tmpl w:val="CB42430C"/>
    <w:lvl w:ilvl="0">
      <w:start w:val="4"/>
      <w:numFmt w:val="decimal"/>
      <w:lvlText w:val="%1"/>
      <w:lvlJc w:val="left"/>
      <w:pPr>
        <w:ind w:left="360" w:hanging="360"/>
      </w:pPr>
      <w:rPr>
        <w:rFonts w:hint="default"/>
      </w:rPr>
    </w:lvl>
    <w:lvl w:ilvl="1">
      <w:start w:val="2"/>
      <w:numFmt w:val="decimal"/>
      <w:lvlText w:val="%1.%2.1"/>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7"/>
  </w:num>
  <w:num w:numId="4">
    <w:abstractNumId w:val="56"/>
  </w:num>
  <w:num w:numId="5">
    <w:abstractNumId w:val="0"/>
  </w:num>
  <w:num w:numId="6">
    <w:abstractNumId w:val="62"/>
  </w:num>
  <w:num w:numId="7">
    <w:abstractNumId w:val="69"/>
  </w:num>
  <w:num w:numId="8">
    <w:abstractNumId w:val="6"/>
  </w:num>
  <w:num w:numId="9">
    <w:abstractNumId w:val="80"/>
  </w:num>
  <w:num w:numId="10">
    <w:abstractNumId w:val="65"/>
  </w:num>
  <w:num w:numId="11">
    <w:abstractNumId w:val="81"/>
  </w:num>
  <w:num w:numId="12">
    <w:abstractNumId w:val="3"/>
  </w:num>
  <w:num w:numId="13">
    <w:abstractNumId w:val="58"/>
  </w:num>
  <w:num w:numId="14">
    <w:abstractNumId w:val="2"/>
  </w:num>
  <w:num w:numId="15">
    <w:abstractNumId w:val="82"/>
  </w:num>
  <w:num w:numId="16">
    <w:abstractNumId w:val="83"/>
  </w:num>
  <w:num w:numId="17">
    <w:abstractNumId w:val="70"/>
  </w:num>
  <w:num w:numId="18">
    <w:abstractNumId w:val="74"/>
  </w:num>
  <w:num w:numId="19">
    <w:abstractNumId w:val="76"/>
  </w:num>
  <w:num w:numId="20">
    <w:abstractNumId w:val="71"/>
  </w:num>
  <w:num w:numId="21">
    <w:abstractNumId w:val="55"/>
  </w:num>
  <w:num w:numId="22">
    <w:abstractNumId w:val="63"/>
  </w:num>
  <w:num w:numId="23">
    <w:abstractNumId w:val="84"/>
  </w:num>
  <w:num w:numId="24">
    <w:abstractNumId w:val="87"/>
  </w:num>
  <w:num w:numId="25">
    <w:abstractNumId w:val="89"/>
  </w:num>
  <w:num w:numId="26">
    <w:abstractNumId w:val="91"/>
  </w:num>
  <w:num w:numId="27">
    <w:abstractNumId w:val="92"/>
  </w:num>
  <w:num w:numId="28">
    <w:abstractNumId w:val="93"/>
  </w:num>
  <w:num w:numId="29">
    <w:abstractNumId w:val="94"/>
  </w:num>
  <w:num w:numId="30">
    <w:abstractNumId w:val="95"/>
  </w:num>
  <w:num w:numId="31">
    <w:abstractNumId w:val="96"/>
  </w:num>
  <w:num w:numId="32">
    <w:abstractNumId w:val="97"/>
  </w:num>
  <w:num w:numId="33">
    <w:abstractNumId w:val="98"/>
  </w:num>
  <w:num w:numId="34">
    <w:abstractNumId w:val="99"/>
  </w:num>
  <w:num w:numId="35">
    <w:abstractNumId w:val="100"/>
  </w:num>
  <w:num w:numId="36">
    <w:abstractNumId w:val="101"/>
  </w:num>
  <w:num w:numId="37">
    <w:abstractNumId w:val="102"/>
  </w:num>
  <w:num w:numId="38">
    <w:abstractNumId w:val="103"/>
  </w:num>
  <w:num w:numId="39">
    <w:abstractNumId w:val="104"/>
  </w:num>
  <w:num w:numId="40">
    <w:abstractNumId w:val="105"/>
  </w:num>
  <w:num w:numId="41">
    <w:abstractNumId w:val="106"/>
  </w:num>
  <w:num w:numId="42">
    <w:abstractNumId w:val="107"/>
  </w:num>
  <w:num w:numId="43">
    <w:abstractNumId w:val="108"/>
  </w:num>
  <w:num w:numId="44">
    <w:abstractNumId w:val="109"/>
  </w:num>
  <w:num w:numId="45">
    <w:abstractNumId w:val="110"/>
  </w:num>
  <w:num w:numId="46">
    <w:abstractNumId w:val="111"/>
  </w:num>
  <w:num w:numId="4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3"/>
  </w:num>
  <w:num w:numId="49">
    <w:abstractNumId w:val="114"/>
  </w:num>
  <w:num w:numId="50">
    <w:abstractNumId w:val="115"/>
  </w:num>
  <w:num w:numId="51">
    <w:abstractNumId w:val="116"/>
  </w:num>
  <w:num w:numId="52">
    <w:abstractNumId w:val="118"/>
  </w:num>
  <w:num w:numId="53">
    <w:abstractNumId w:val="120"/>
  </w:num>
  <w:num w:numId="54">
    <w:abstractNumId w:val="122"/>
  </w:num>
  <w:num w:numId="55">
    <w:abstractNumId w:val="123"/>
  </w:num>
  <w:num w:numId="56">
    <w:abstractNumId w:val="124"/>
  </w:num>
  <w:num w:numId="57">
    <w:abstractNumId w:val="125"/>
  </w:num>
  <w:num w:numId="58">
    <w:abstractNumId w:val="4"/>
  </w:num>
  <w:num w:numId="59">
    <w:abstractNumId w:val="126"/>
  </w:num>
  <w:num w:numId="6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num>
  <w:num w:numId="62">
    <w:abstractNumId w:val="8"/>
  </w:num>
  <w:num w:numId="63">
    <w:abstractNumId w:val="9"/>
  </w:num>
  <w:num w:numId="64">
    <w:abstractNumId w:val="10"/>
  </w:num>
  <w:num w:numId="65">
    <w:abstractNumId w:val="11"/>
  </w:num>
  <w:num w:numId="66">
    <w:abstractNumId w:val="12"/>
  </w:num>
  <w:num w:numId="67">
    <w:abstractNumId w:val="13"/>
  </w:num>
  <w:num w:numId="68">
    <w:abstractNumId w:val="14"/>
  </w:num>
  <w:num w:numId="69">
    <w:abstractNumId w:val="15"/>
  </w:num>
  <w:num w:numId="70">
    <w:abstractNumId w:val="16"/>
  </w:num>
  <w:num w:numId="71">
    <w:abstractNumId w:val="17"/>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
  </w:num>
  <w:num w:numId="77">
    <w:abstractNumId w:val="23"/>
  </w:num>
  <w:num w:numId="78">
    <w:abstractNumId w:val="24"/>
  </w:num>
  <w:num w:numId="79">
    <w:abstractNumId w:val="25"/>
  </w:num>
  <w:num w:numId="80">
    <w:abstractNumId w:val="26"/>
  </w:num>
  <w:num w:numId="81">
    <w:abstractNumId w:val="27"/>
  </w:num>
  <w:num w:numId="82">
    <w:abstractNumId w:val="28"/>
  </w:num>
  <w:num w:numId="83">
    <w:abstractNumId w:val="29"/>
  </w:num>
  <w:num w:numId="84">
    <w:abstractNumId w:val="30"/>
  </w:num>
  <w:num w:numId="85">
    <w:abstractNumId w:val="31"/>
  </w:num>
  <w:num w:numId="86">
    <w:abstractNumId w:val="32"/>
  </w:num>
  <w:num w:numId="87">
    <w:abstractNumId w:val="33"/>
  </w:num>
  <w:num w:numId="88">
    <w:abstractNumId w:val="34"/>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5"/>
  </w:num>
  <w:num w:numId="90">
    <w:abstractNumId w:val="36"/>
  </w:num>
  <w:num w:numId="91">
    <w:abstractNumId w:val="37"/>
  </w:num>
  <w:num w:numId="92">
    <w:abstractNumId w:val="38"/>
  </w:num>
  <w:num w:numId="93">
    <w:abstractNumId w:val="39"/>
  </w:num>
  <w:num w:numId="94">
    <w:abstractNumId w:val="40"/>
  </w:num>
  <w:num w:numId="95">
    <w:abstractNumId w:val="41"/>
  </w:num>
  <w:num w:numId="96">
    <w:abstractNumId w:val="42"/>
  </w:num>
  <w:num w:numId="97">
    <w:abstractNumId w:val="43"/>
  </w:num>
  <w:num w:numId="98">
    <w:abstractNumId w:val="44"/>
  </w:num>
  <w:num w:numId="99">
    <w:abstractNumId w:val="45"/>
  </w:num>
  <w:num w:numId="100">
    <w:abstractNumId w:val="46"/>
  </w:num>
  <w:num w:numId="101">
    <w:abstractNumId w:val="47"/>
  </w:num>
  <w:num w:numId="102">
    <w:abstractNumId w:val="48"/>
  </w:num>
  <w:num w:numId="103">
    <w:abstractNumId w:val="49"/>
  </w:num>
  <w:num w:numId="104">
    <w:abstractNumId w:val="50"/>
  </w:num>
  <w:num w:numId="105">
    <w:abstractNumId w:val="51"/>
  </w:num>
  <w:num w:numId="106">
    <w:abstractNumId w:val="52"/>
  </w:num>
  <w:num w:numId="107">
    <w:abstractNumId w:val="53"/>
  </w:num>
  <w:num w:numId="108">
    <w:abstractNumId w:val="54"/>
  </w:num>
  <w:num w:numId="109">
    <w:abstractNumId w:val="59"/>
  </w:num>
  <w:num w:numId="110">
    <w:abstractNumId w:val="61"/>
  </w:num>
  <w:num w:numId="111">
    <w:abstractNumId w:val="128"/>
  </w:num>
  <w:num w:numId="112">
    <w:abstractNumId w:val="72"/>
  </w:num>
  <w:num w:numId="113">
    <w:abstractNumId w:val="79"/>
  </w:num>
  <w:num w:numId="114">
    <w:abstractNumId w:val="78"/>
  </w:num>
  <w:num w:numId="115">
    <w:abstractNumId w:val="73"/>
  </w:num>
  <w:num w:numId="116">
    <w:abstractNumId w:val="64"/>
  </w:num>
  <w:num w:numId="117">
    <w:abstractNumId w:val="67"/>
  </w:num>
  <w:num w:numId="118">
    <w:abstractNumId w:val="75"/>
  </w:num>
  <w:num w:numId="119">
    <w:abstractNumId w:val="60"/>
  </w:num>
  <w:num w:numId="120">
    <w:abstractNumId w:val="77"/>
  </w:num>
  <w:num w:numId="121">
    <w:abstractNumId w:val="66"/>
  </w:num>
  <w:num w:numId="122">
    <w:abstractNumId w:val="66"/>
    <w:lvlOverride w:ilvl="0">
      <w:startOverride w:val="1"/>
    </w:lvlOverride>
  </w:num>
  <w:num w:numId="123">
    <w:abstractNumId w:val="66"/>
  </w:num>
  <w:num w:numId="124">
    <w:abstractNumId w:val="66"/>
    <w:lvlOverride w:ilvl="0">
      <w:startOverride w:val="1"/>
    </w:lvlOverride>
  </w:num>
  <w:num w:numId="125">
    <w:abstractNumId w:val="6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907"/>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carlben&lt;/DYNAMIZEDBY&gt;&lt;DYNAMIZEDON&gt;15-05-2019 15:29:07&lt;/DYNAMIZEDON&gt;&lt;LASTUPDATEDBY&gt;carlben&lt;/LASTUPDATEDBY&gt;&lt;LASTUPDATEDON&gt;5/28/2019 10:10:20 AM&lt;/LASTUPDATEDON&gt;&lt;UTC&gt;1&lt;/UTC&gt;&lt;/UPDATE&gt;&lt;QUERIES bbk=&quot;14126&quot; bbkdesc=&quot;2018 Annual Accounts/EDF Annual Accounts/DC - Aggregated balance sheet&quot; datapro=&quot;BS&quot; tdatapro=&quot;BS&quot; author=&quot;&quot; modtime=&quot;5/28/2019 10:09:02 AM&quot; moduser=&quot;carlben&quot; rolluptime=&quot;&quot; syuser=&quot;carlben&quot; syuzeit=&quot;5/28/2019 10:09:02 AM&quot; root=&quot;/BBOOK/DATAPROVIDER[./META/PROPS/ID='BS']/DATA&quot; colcount=&quot;4&quot; rowcount=&quot;32&quot; url=&quot;&quot; dynamizeds=&quot;SAP Disclosure Management - Production&quot; dynamizedstype=&quot;9&quot; refreshds=&quot;&quot; viewtype=&quot;1&quot;&gt;&lt;QUERY reftype=&quot;ABS&quot; elmntsel=&quot;TABLE&quot; bbk=&quot;14126&quot; bbkdesc=&quot;2018 Annual Accounts/EDF Annual Accounts/DC - Aggregated balance sheet&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preutan&lt;/DYNAMIZEDBY&gt;&lt;DYNAMIZEDON&gt;17/05/2017 10:13:49&lt;/DYNAMIZEDON&gt;&lt;LASTUPDATEDBY&gt;carlben&lt;/LASTUPDATEDBY&gt;&lt;LASTUPDATEDON&gt;5/28/2019 10:00:23 AM&lt;/LASTUPDATEDON&gt;&lt;UTC&gt;1&lt;/UTC&gt;&lt;/UPDATE&gt;&lt;QUERIES bbk=&quot;14156&quot; bbkdesc=&quot;2018 Annual Accounts/EDF Annual Accounts/DC - Aggregated Statement of financial performance&quot; datapro=&quot;PL&quot; tdatapro=&quot;PL&quot; author=&quot;&quot; modtime=&quot;12/2/2014 8:39:14 AM&quot; moduser=&quot;vignale&quot; rolluptime=&quot;&quot; syuser=&quot;vignale&quot; syuzeit=&quot;12/2/2014 8:39:14 AM&quot; root=&quot;/DATA&quot; colcount=&quot;4&quot; rowcount=&quot;19&quot; url=&quot;&quot; dynamizeds=&quot;SAP Disclosure Management - Production&quot; dynamizedstype=&quot;9&quot; refreshds=&quot;&quot; viewtype=&quot;1&quot;&gt;&lt;QUERY reftype=&quot;ABS&quot; elmntsel=&quot;TABLE&quot; bbk=&quot;14156&quot; bbkdesc=&quot;2018 Annual Accounts/EDF Annual Accounts/DC - Aggregated Statement of financial performance&quot; datapro=&quot;PL&quot; infos=&quot;&quot; iscomment=&quot;0&quot;&gt;&lt;SELECT&gt;/BBOOK/DATAPROVIDER[./META/PROPS/ID='PL']/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WITTAAN&lt;/DYNAMIZEDBY&gt;&lt;DYNAMIZEDON&gt;3/18/2019 4:00:03 PM&lt;/DYNAMIZEDON&gt;&lt;LASTUPDATEDBY&gt;carlben&lt;/LASTUPDATEDBY&gt;&lt;LASTUPDATEDON&gt;5/28/2019 10:10:20 AM&lt;/LASTUPDATEDON&gt;&lt;UTC&gt;1&lt;/UTC&gt;&lt;/UPDATE&gt;&lt;QUERIES bbk=&quot;14107&quot; bbkdesc=&quot;2018 Annual Accounts/EDF Annual Accounts/DC - Aggregated cashflow statement&quot; datapro=&quot;CF&quot; tdatapro=&quot;CF&quot; author=&quot;&quot; modtime=&quot;3/25/2015 8:13:45 AM&quot; moduser=&quot;wittaan&quot; rolluptime=&quot;&quot; syuser=&quot;wittaan&quot; syuzeit=&quot;3/25/2015 8:13:45 AM&quot; root=&quot;/DATA&quot; colcount=&quot;4&quot; rowcount=&quot;22&quot; url=&quot;&quot; dynamizeds=&quot;SAP Disclosure Management - Production&quot; dynamizedstype=&quot;9&quot; refreshds=&quot;&quot; viewtype=&quot;1&quot;&gt;&lt;QUERY reftype=&quot;ABS&quot; elmntsel=&quot;TABLE&quot; bbk=&quot;14107&quot; bbkdesc=&quot;2018 Annual Accounts/EDF Annual Accounts/DC - Aggregated cashflow statement&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WITTAAN&lt;/DYNAMIZEDBY&gt;&lt;DYNAMIZEDON&gt;20-03-2019 14:19:02&lt;/DYNAMIZEDON&gt;&lt;LASTUPDATEDBY&gt;carlben&lt;/LASTUPDATEDBY&gt;&lt;LASTUPDATEDON&gt;5/28/2019 10:09:27 AM&lt;/LASTUPDATEDON&gt;&lt;UTC&gt;1&lt;/UTC&gt;&lt;/UPDATE&gt;&lt;QUERIES bbk=&quot;14154&quot; bbkdesc=&quot;2018 Annual Accounts/EDF Annual Accounts/DC - Aggregated statement of changes in net assets&quot; datapro=&quot;CNA&quot; tdatapro=&quot;CNA&quot; author=&quot;&quot; modtime=&quot;5/28/2019 10:09:18 AM&quot; moduser=&quot;carlben&quot; rolluptime=&quot;&quot; syuser=&quot;carlben&quot; syuzeit=&quot;5/28/2019 10:09:18 AM&quot; root=&quot;/BBOOK/DATAPROVIDER[./META/PROPS/ID='CNA']/DATA&quot; colcount=&quot;7&quot; rowcount=&quot;12&quot; url=&quot;&quot; dynamizeds=&quot;SAP Disclosure Management - Production&quot; dynamizedstype=&quot;9&quot; refreshds=&quot;&quot; viewtype=&quot;1&quot;&gt;&lt;QUERY reftype=&quot;ABS&quot; elmntsel=&quot;TABLE&quot; bbk=&quot;14154&quot; bbkdesc=&quot;2018 Annual Accounts/EDF Annual Accounts/DC - Aggregated statement of changes in net assets&quot; datapro=&quot;CNA&quot; infos=&quot;&quot; iscomment=&quot;0&quot;&gt;&lt;SELECT&gt;/BBOOK/DATAPROVIDER[./META/PROPS/ID='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15-11-2018 16:55:20&lt;/DYNAMIZEDON&gt;&lt;LASTUPDATEDBY&gt;carlben&lt;/LASTUPDATEDBY&gt;&lt;LASTUPDATEDON&gt;5/28/2019 9:59:50 AM&lt;/LASTUPDATEDON&gt;&lt;UTC&gt;1&lt;/UTC&gt;&lt;/UPDATE&gt;&lt;QUERIES bbk=&quot;14139&quot; bbkdesc=&quot;2018 Annual Accounts/EDF Annual Accounts/DC - Balance sheet of the eighth ninth 10th and 11th EDF&quot; datapro=&quot;BSEDF&quot; tdatapro=&quot;BSEDF&quot; author=&quot;&quot; modtime=&quot;5/28/2019 9:59:43 AM&quot; moduser=&quot;carlben&quot; rolluptime=&quot;&quot; syuser=&quot;carlben&quot; syuzeit=&quot;5/28/2019 9:59:43 AM&quot; root=&quot;/BBOOK/DATAPROVIDER[./META/PROPS/ID='BSEDF']/DATA&quot; colcount=&quot;12&quot; rowcount=&quot;36&quot; url=&quot;&quot; dynamizeds=&quot;SAP Disclosure Management - Production&quot; dynamizedstype=&quot;9&quot; refreshds=&quot;&quot; viewtype=&quot;1&quot;&gt;&lt;QUERY reftype=&quot;ABS&quot; elmntsel=&quot;TABLE&quot; bbk=&quot;14139&quot; bbkdesc=&quot;2018 Annual Accounts/EDF Annual Accounts/DC - Balance sheet of the eighth ninth 10th and 11th EDF&quot; datapro=&quot;BSEDF&quot; infos=&quot;&quot; iscomment=&quot;0&quot;&gt;&lt;SELECT&gt;/BBOOK/DATAPROVIDER[./META/PROPS/ID='BSEDF']/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3072&lt;/FLCID&gt;&lt;RELATION&gt;&lt;/RELATION&gt;&lt;LINKED&gt;&lt;/LINKED&gt;&lt;SVALUE&gt;&lt;/SVALUE&gt;&lt;INFO&gt;&lt;/INFO&gt;&lt;/META&gt;&lt;UPDATE&gt;&lt;DATE&gt;10.1.10.2&lt;/DATE&gt;&lt;DYNAMIZEDBY&gt;preutan&lt;/DYNAMIZEDBY&gt;&lt;DYNAMIZEDON&gt;3/18/2019 4:19:04 PM&lt;/DYNAMIZEDON&gt;&lt;LASTUPDATEDBY&gt;carlben&lt;/LASTUPDATEDBY&gt;&lt;LASTUPDATEDON&gt;5/28/2019 10:00:54 AM&lt;/LASTUPDATEDON&gt;&lt;UTC&gt;1&lt;/UTC&gt;&lt;/UPDATE&gt;&lt;QUERIES bbk=&quot;14105&quot; bbkdesc=&quot;2018 Annual Accounts/EDF Annual Accounts/DC - Statement of financial performance of the eighth ninth 10th and 11th EDF&quot; datapro=&quot;PLEDF&quot; tdatapro=&quot;PLEDF&quot; author=&quot;&quot; modtime=&quot;5/2/2017 9:35:35 AM&quot; moduser=&quot;carlben&quot; rolluptime=&quot;&quot; syuser=&quot;carlben&quot; syuzeit=&quot;5/2/2017 9:35:35 AM&quot; root=&quot;/DATA&quot; colcount=&quot;12&quot; rowcount=&quot;21&quot; url=&quot;&quot; dynamizeds=&quot;SAP Disclosure Management - Production&quot; dynamizedstype=&quot;9&quot; refreshds=&quot;&quot; viewtype=&quot;1&quot;&gt;&lt;QUERY reftype=&quot;ABS&quot; elmntsel=&quot;TABLE&quot; bbk=&quot;14105&quot; bbkdesc=&quot;2018 Annual Accounts/EDF Annual Accounts/DC - Statement of financial performance of the eighth ninth 10th and 11th EDF&quot; datapro=&quot;PLEDF&quot; infos=&quot;&quot; iscomment=&quot;0&quot;&gt;&lt;SELECT&gt;/BBOOK/DATAPROVIDER[./META/PROPS/ID='PLEDF']/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WITTAAN&lt;/DYNAMIZEDBY&gt;&lt;DYNAMIZEDON&gt;3/20/2019 10:50:11 AM&lt;/DYNAMIZEDON&gt;&lt;LASTUPDATEDBY&gt;carlben&lt;/LASTUPDATEDBY&gt;&lt;LASTUPDATEDON&gt;5/28/2019 10:00:14 AM&lt;/LASTUPDATEDON&gt;&lt;UTC&gt;1&lt;/UTC&gt;&lt;/UPDATE&gt;&lt;QUERIES bbk=&quot;14070&quot; bbkdesc=&quot;2018 Annual Accounts/EDF Annual Accounts/DC - Statement of changes in net assets of the eighth EDF&quot; datapro=&quot;CNA8&quot; tdatapro=&quot;CNA8&quot; author=&quot;&quot; modtime=&quot;3/21/2015 3:06:47 PM&quot; moduser=&quot;wittaan&quot; rolluptime=&quot;&quot; syuser=&quot;wittaan&quot; syuzeit=&quot;3/21/2015 3:06:47 PM&quot; root=&quot;/DATA&quot; colcount=&quot;8&quot; rowcount=&quot;12&quot; url=&quot;&quot; dynamizeds=&quot;SAP Disclosure Management - Production&quot; dynamizedstype=&quot;9&quot; refreshds=&quot;&quot; viewtype=&quot;1&quot;&gt;&lt;QUERY reftype=&quot;ABS&quot; elmntsel=&quot;TABLE&quot; bbk=&quot;14070&quot; bbkdesc=&quot;2018 Annual Accounts/EDF Annual Accounts/DC - Statement of changes in net assets of the eighth EDF&quot; datapro=&quot;CNA8&quot; infos=&quot;&quot; iscomment=&quot;0&quot;&gt;&lt;SELECT&gt;/BBOOK/DATAPROVIDER[./META/PROPS/ID='CNA8']/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WITTAAN&lt;/DYNAMIZEDBY&gt;&lt;DYNAMIZEDON&gt;3/20/2019 10:51:56 AM&lt;/DYNAMIZEDON&gt;&lt;LASTUPDATEDBY&gt;carlben&lt;/LASTUPDATEDBY&gt;&lt;LASTUPDATEDON&gt;5/28/2019 10:00:14 AM&lt;/LASTUPDATEDON&gt;&lt;UTC&gt;1&lt;/UTC&gt;&lt;/UPDATE&gt;&lt;QUERIES bbk=&quot;14124&quot; bbkdesc=&quot;2018 Annual Accounts/EDF Annual Accounts/DC - Statement of changes in net assets of the ninth EDF&quot; datapro=&quot;CNA9&quot; tdatapro=&quot;CNA9&quot; author=&quot;&quot; modtime=&quot;3/19/2018 10:59:03 AM&quot; moduser=&quot;wittaan&quot; rolluptime=&quot;&quot; syuser=&quot;wittaan&quot; syuzeit=&quot;3/19/2018 10:59:03 AM&quot; root=&quot;/DATA&quot; colcount=&quot;8&quot; rowcount=&quot;13&quot; url=&quot;&quot; dynamizeds=&quot;SAP Disclosure Management - Production&quot; dynamizedstype=&quot;9&quot; refreshds=&quot;&quot; viewtype=&quot;1&quot;&gt;&lt;QUERY reftype=&quot;ABS&quot; elmntsel=&quot;TABLE&quot; bbk=&quot;14124&quot; bbkdesc=&quot;2018 Annual Accounts/EDF Annual Accounts/DC - Statement of changes in net assets of the ninth EDF&quot; datapro=&quot;CNA9&quot; infos=&quot;&quot; iscomment=&quot;0&quot;&gt;&lt;SELECT&gt;/BBOOK/DATAPROVIDER[./META/PROPS/ID='CNA9']/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WITTAAN&lt;/DYNAMIZEDBY&gt;&lt;DYNAMIZEDON&gt;3/20/2019 11:00:55 AM&lt;/DYNAMIZEDON&gt;&lt;LASTUPDATEDBY&gt;carlben&lt;/LASTUPDATEDBY&gt;&lt;LASTUPDATEDON&gt;5/28/2019 10:00:14 AM&lt;/LASTUPDATEDON&gt;&lt;UTC&gt;1&lt;/UTC&gt;&lt;/UPDATE&gt;&lt;QUERIES bbk=&quot;14108&quot; bbkdesc=&quot;2018 Annual Accounts/EDF Annual Accounts/DC - Statement of changes in net assets of the 10th EDF&quot; datapro=&quot;CNA10&quot; tdatapro=&quot;CNA10&quot; author=&quot;&quot; modtime=&quot;3/19/2019 4:59:57 PM&quot; moduser=&quot;wittaan&quot; rolluptime=&quot;&quot; syuser=&quot;wittaan&quot; syuzeit=&quot;3/19/2019 4:59:57 PM&quot; root=&quot;/DATA&quot; colcount=&quot;8&quot; rowcount=&quot;14&quot; url=&quot;&quot; dynamizeds=&quot;SAP Disclosure Management - Production&quot; dynamizedstype=&quot;9&quot; refreshds=&quot;&quot; viewtype=&quot;1&quot;&gt;&lt;QUERY reftype=&quot;ABS&quot; elmntsel=&quot;TABLE&quot; bbk=&quot;14108&quot; bbkdesc=&quot;2018 Annual Accounts/EDF Annual Accounts/DC - Statement of changes in net assets of the 10th EDF&quot; datapro=&quot;CNA10&quot; infos=&quot;&quot; iscomment=&quot;0&quot;&gt;&lt;SELECT&gt;/BBOOK/DATAPROVIDER[./META/PROPS/ID='CNA10']/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18-12-2018 15:19:41&lt;/DYNAMIZEDON&gt;&lt;LASTUPDATEDBY&gt;carlben&lt;/LASTUPDATEDBY&gt;&lt;LASTUPDATEDON&gt;5/28/2019 10:00:14 AM&lt;/LASTUPDATEDON&gt;&lt;UTC&gt;1&lt;/UTC&gt;&lt;/UPDATE&gt;&lt;QUERIES bbk=&quot;14111&quot; bbkdesc=&quot;2018 Annual Accounts/EDF Annual Accounts/DC - Statement of changes in net assets of the 11th EDF&quot; datapro=&quot;CNA11&quot; tdatapro=&quot;CNA11&quot; author=&quot;&quot; modtime=&quot;3/21/2018 10:13:10 AM&quot; moduser=&quot;wittaan&quot; rolluptime=&quot;&quot; syuser=&quot;wittaan&quot; syuzeit=&quot;3/21/2018 10:13:10 AM&quot; root=&quot;/DATA&quot; colcount=&quot;8&quot; rowcount=&quot;11&quot; url=&quot;&quot; dynamizeds=&quot;SAP Disclosure Management - Production&quot; dynamizedstype=&quot;9&quot; refreshds=&quot;&quot; viewtype=&quot;1&quot;&gt;&lt;QUERY reftype=&quot;ABS&quot; elmntsel=&quot;TABLE&quot; bbk=&quot;14111&quot; bbkdesc=&quot;2018 Annual Accounts/EDF Annual Accounts/DC - Statement of changes in net assets of the 11th EDF&quot; datapro=&quot;CNA11&quot; infos=&quot;&quot; iscomment=&quot;0&quot;&gt;&lt;SELECT&gt;/BBOOK/DATAPROVIDER[./META/PROPS/ID='CNA11']/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preutan&lt;/DYNAMIZEDBY&gt;&lt;DYNAMIZEDON&gt;31/01/2018 12:44:53&lt;/DYNAMIZEDON&gt;&lt;LASTUPDATEDBY&gt;kythrst&lt;/LASTUPDATEDBY&gt;&lt;LASTUPDATEDON&gt;5/17/2019 3:08:13 PM&lt;/LASTUPDATEDON&gt;&lt;UTC&gt;1&lt;/UTC&gt;&lt;/UPDATE&gt;&lt;QUERIES bbk=&quot;14767&quot; bbkdesc=&quot;2018 Annual Accounts/EU Annual Accounts/DC - Currency table&quot; datapro=&quot;CURRENCY&quot; tdatapro=&quot;CURRENCY&quot; author=&quot;&quot; modtime=&quot;2/6/2017 4:36:20 PM&quot; moduser=&quot;koehlmn&quot; rolluptime=&quot;&quot; syuser=&quot;koehlmn&quot; syuzeit=&quot;2/6/2017 4:36:20 PM&quot; root=&quot;/DATA&quot; colcount=&quot;6&quot; rowcount=&quot;7&quot; url=&quot;&quot; dynamizeds=&quot;SAP Disclosure Management - Production&quot; dynamizedstype=&quot;9&quot; refreshds=&quot;&quot; viewtype=&quot;1&quot;&gt;&lt;QUERY reftype=&quot;ABS&quot; elmntsel=&quot;TABLE&quot; bbk=&quot;14767&quot; bbkdesc=&quot;2018 Annual Accounts/EU Annual Accounts/DC - Currency table&quot; datapro=&quot;CURRENCY&quot; infos=&quot;&quot; iscomment=&quot;0&quot;&gt;&lt;SELECT&gt;/BBOOK/DATAPROVIDER[./META/PROPS/ID='CURRENCY']/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57&lt;/FLCID&gt;&lt;RELATION&gt;&lt;/RELATION&gt;&lt;LINKED&gt;&lt;/LINKED&gt;&lt;SVALUE&gt;&lt;/SVALUE&gt;&lt;INFO&gt;&lt;/INFO&gt;&lt;/META&gt;&lt;UPDATE&gt;&lt;DATE&gt;10.1.6.35&lt;/DATE&gt;&lt;DYNAMIZEDBY&gt;carlben&lt;/DYNAMIZEDBY&gt;&lt;DYNAMIZEDON&gt;11/05/2017 14:17:12&lt;/DYNAMIZEDON&gt;&lt;LASTUPDATEDBY&gt;carlben&lt;/LASTUPDATEDBY&gt;&lt;LASTUPDATEDON&gt;5/28/2019 10:15:25 AM&lt;/LASTUPDATEDON&gt;&lt;UTC&gt;1&lt;/UTC&gt;&lt;/UPDATE&gt;&lt;QUERIES bbk=&quot;14195&quot; bbkdesc=&quot;2018 Annual Accounts/EDF Annual Accounts/DC - Pre financing&quot; datapro=&quot;NCAssetsPF&quot; tdatapro=&quot;NCAssetsPF&quot; author=&quot;&quot; modtime=&quot;5/28/2019 10:15:09 AM&quot; moduser=&quot;carlben&quot; rolluptime=&quot;&quot; syuser=&quot;carlben&quot; syuzeit=&quot;5/28/2019 10:15:09 AM&quot; root=&quot;/BBOOK/DATAPROVIDER[./META/PROPS/ID='NCAssetsPF']/DATA&quot; colcount=&quot;8&quot; rowcount=&quot;5&quot; url=&quot;&quot; dynamizeds=&quot;SAP Disclosure Management - Production&quot; dynamizedstype=&quot;9&quot; refreshds=&quot;&quot; viewtype=&quot;1&quot;&gt;&lt;QUERY reftype=&quot;ABS&quot; elmntsel=&quot;TABLE&quot; bbk=&quot;14195&quot; bbkdesc=&quot;2018 Annual Accounts/EDF Annual Accounts/DC - Pre financing&quot; datapro=&quot;NCAssetsPF&quot; infos=&quot;&quot; iscomment=&quot;0&quot;&gt;&lt;SELECT&gt;/BBOOK/DATAPROVIDER[./META/PROPS/ID='NCAssetsPF']/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carlben&lt;/DYNAMIZEDBY&gt;&lt;DYNAMIZEDON&gt;20-03-2019 14:12:48&lt;/DYNAMIZEDON&gt;&lt;LASTUPDATEDBY&gt;carlben&lt;/LASTUPDATEDBY&gt;&lt;LASTUPDATEDON&gt;5/28/2019 12:34:28 PM&lt;/LASTUPDATEDON&gt;&lt;UTC&gt;1&lt;/UTC&gt;&lt;/UPDATE&gt;&lt;QUERIES bbk=&quot;14130&quot; bbkdesc=&quot;2018 Annual Accounts/EDF Annual Accounts/DC - Non current Pre financing&quot; datapro=&quot;NCAssetsPFMgmt&quot; tdatapro=&quot;NCAssetsPFMgmt&quot; author=&quot;&quot; modtime=&quot;12/14/2015 9:15:07 AM&quot; moduser=&quot;wittaan&quot; rolluptime=&quot;&quot; syuser=&quot;wittaan&quot; syuzeit=&quot;12/14/2015 9:15:07 AM&quot; root=&quot;/DATA&quot; colcount=&quot;3&quot; rowcount=&quot;18&quot; url=&quot;&quot; dynamizeds=&quot;SAP Disclosure Management - Production&quot; dynamizedstype=&quot;9&quot; refreshds=&quot;&quot; viewtype=&quot;1&quot;&gt;&lt;QUERY reftype=&quot;ABS&quot; elmntsel=&quot;TABLE&quot; bbk=&quot;14130&quot; bbkdesc=&quot;2018 Annual Accounts/EDF Annual Accounts/DC - Non current Pre financing&quot; datapro=&quot;NCAssetsPFMgmt&quot; infos=&quot;&quot; iscomment=&quot;0&quot;&gt;&lt;SELECT&gt;/BBOOK/DATAPROVIDER[./META/PROPS/ID='NCAssetsPFMgmt']/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10.2&lt;/DATE&gt;&lt;DYNAMIZEDBY&gt;wittaan&lt;/DYNAMIZEDBY&gt;&lt;DYNAMIZEDON&gt;19/03/2018 13:07:02&lt;/DYNAMIZEDON&gt;&lt;LASTUPDATEDBY&gt;kythrst&lt;/LASTUPDATEDBY&gt;&lt;LASTUPDATEDON&gt;5/28/2019 12:41:43 PM&lt;/LASTUPDATEDON&gt;&lt;UTC&gt;1&lt;/UTC&gt;&lt;/UPDATE&gt;&lt;QUERIES bbk=&quot;14144&quot; bbkdesc=&quot;2018 Annual Accounts/EDF Annual Accounts/DC - Current Pre financing&quot; datapro=&quot;CAssetsPF&quot; tdatapro=&quot;CAssetsPF&quot; author=&quot;&quot; modtime=&quot;5/28/2019 12:36:00 PM&quot; moduser=&quot;carlben&quot; rolluptime=&quot;&quot; syuser=&quot;carlben&quot; syuzeit=&quot;5/28/2019 12:36:00 PM&quot; root=&quot;/BBOOK/DATAPROVIDER[./META/PROPS/ID='CAssetsPF']/DATA&quot; colcount=&quot;7&quot; rowcount=&quot;5&quot; url=&quot;&quot; dynamizeds=&quot;SAP Disclosure Management - Production&quot; dynamizedstype=&quot;9&quot; refreshds=&quot;&quot; viewtype=&quot;1&quot;&gt;&lt;QUERY reftype=&quot;ABS&quot; elmntsel=&quot;TABLE&quot; bbk=&quot;14144&quot; bbkdesc=&quot;2018 Annual Accounts/EDF Annual Accounts/DC - Current Pre financing&quot; datapro=&quot;CAssetsPF&quot; infos=&quot;&quot; iscomment=&quot;0&quot;&gt;&lt;SELECT&gt;/BBOOK/DATAPROVIDER[./META/PROPS/ID='CAssets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carlben&lt;/DYNAMIZEDBY&gt;&lt;DYNAMIZEDON&gt;20-03-2019 14:04:24&lt;/DYNAMIZEDON&gt;&lt;LASTUPDATEDBY&gt;kythrst&lt;/LASTUPDATEDBY&gt;&lt;LASTUPDATEDON&gt;5/28/2019 12:41:47 PM&lt;/LASTUPDATEDON&gt;&lt;UTC&gt;1&lt;/UTC&gt;&lt;/UPDATE&gt;&lt;QUERIES bbk=&quot;14144&quot; bbkdesc=&quot;2018 Annual Accounts/EDF Annual Accounts/DC - Current Pre financing&quot; datapro=&quot;CAssetsPFMgmt&quot; tdatapro=&quot;CAssetsPFMgmt&quot; author=&quot;&quot; modtime=&quot;5/28/2019 12:36:00 PM&quot; moduser=&quot;carlben&quot; rolluptime=&quot;&quot; syuser=&quot;carlben&quot; syuzeit=&quot;5/28/2019 12:36:00 PM&quot; root=&quot;/BBOOK/DATAPROVIDER[./META/PROPS/ID='CAssetsPF']/DATA&quot; colcount=&quot;3&quot; rowcount=&quot;18&quot; url=&quot;&quot; dynamizeds=&quot;SAP Disclosure Management - Production&quot; dynamizedstype=&quot;9&quot; refreshds=&quot;&quot; viewtype=&quot;1&quot;&gt;&lt;QUERY reftype=&quot;ABS&quot; elmntsel=&quot;TABLE&quot; bbk=&quot;14144&quot; bbkdesc=&quot;2018 Annual Accounts/EDF Annual Accounts/DC - Current Pre financing&quot; datapro=&quot;CAssetsPFMgmt&quot; infos=&quot;&quot; iscomment=&quot;0&quot;&gt;&lt;SELECT&gt;/BBOOK/DATAPROVIDER[./META/PROPS/ID='CAssetsPFMgmt']/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carlben&lt;/DYNAMIZEDBY&gt;&lt;DYNAMIZEDON&gt;12/05/2017 09:37:09&lt;/DYNAMIZEDON&gt;&lt;LASTUPDATEDBY&gt;carlben&lt;/LASTUPDATEDBY&gt;&lt;LASTUPDATEDON&gt;5/28/2019 10:09:13 AM&lt;/LASTUPDATEDON&gt;&lt;UTC&gt;1&lt;/UTC&gt;&lt;/UPDATE&gt;&lt;QUERIES bbk=&quot;14068&quot; bbkdesc=&quot;2018 Annual Accounts/EDF Annual Accounts/DC - Trust fund contributions&quot; datapro=&quot;TFCONTRIB&quot; tdatapro=&quot;TFCONTRIB&quot; author=&quot;&quot; modtime=&quot;5/12/2017 8:22:40 AM&quot; moduser=&quot;carlben&quot; rolluptime=&quot;&quot; syuser=&quot;carlben&quot; syuzeit=&quot;5/12/2017 8:22:40 AM&quot; root=&quot;/DATA&quot; colcount=&quot;5&quot; rowcount=&quot;5&quot; url=&quot;&quot; dynamizeds=&quot;SAP Disclosure Management - Production&quot; dynamizedstype=&quot;9&quot; refreshds=&quot;&quot; viewtype=&quot;1&quot;&gt;&lt;QUERY reftype=&quot;ABS&quot; elmntsel=&quot;TABLE&quot; bbk=&quot;14068&quot; bbkdesc=&quot;2018 Annual Accounts/EDF Annual Accounts/DC - Trust fund contributions&quot; datapro=&quot;TFCONTRIB&quot; infos=&quot;&quot; iscomment=&quot;0&quot;&gt;&lt;SELECT&gt;/BBOOK/DATAPROVIDER[./META/PROPS/ID='TFCONTRIB']/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22/03/2017 15:28:09&lt;/DYNAMIZEDON&gt;&lt;LASTUPDATEDBY&gt;carlben&lt;/LASTUPDATEDBY&gt;&lt;LASTUPDATEDON&gt;5/28/2019 9:59:38 AM&lt;/LASTUPDATEDON&gt;&lt;UTC&gt;1&lt;/UTC&gt;&lt;/UPDATE&gt;&lt;QUERIES bbk=&quot;14175&quot; bbkdesc=&quot;2018 Annual Accounts/EDF Annual Accounts/DC - Exchange receivables and Non-exchange recoverables&quot; datapro=&quot;ERNER&quot; tdatapro=&quot;ERNER&quot; author=&quot;&quot; modtime=&quot;5/28/2019 9:59:23 AM&quot; moduser=&quot;carlben&quot; rolluptime=&quot;&quot; syuser=&quot;carlben&quot; syuzeit=&quot;5/28/2019 9:59:23 AM&quot; root=&quot;/BBOOK/DATAPROVIDER[./META/PROPS/ID='ERNER']/DATA&quot; colcount=&quot;4&quot; rowcount=&quot;5&quot; url=&quot;&quot; dynamizeds=&quot;SAP Disclosure Management - Production&quot; dynamizedstype=&quot;9&quot; refreshds=&quot;&quot; viewtype=&quot;1&quot;&gt;&lt;QUERY reftype=&quot;ABS&quot; elmntsel=&quot;TABLE&quot; bbk=&quot;14175&quot; bbkdesc=&quot;2018 Annual Accounts/EDF Annual Accounts/DC - Exchange receivables and Non-exchange recoverables&quot; datapro=&quot;ERNER&quot; infos=&quot;&quot; iscomment=&quot;0&quot;&gt;&lt;SELECT&gt;/BBOOK/DATAPROVIDER[./META/PROPS/ID='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12/21/2016 9:46:24 PM&lt;/DYNAMIZEDON&gt;&lt;LASTUPDATEDBY&gt;carlben&lt;/LASTUPDATEDBY&gt;&lt;LASTUPDATEDON&gt;5/28/2019 9:59:38 AM&lt;/LASTUPDATEDON&gt;&lt;UTC&gt;1&lt;/UTC&gt;&lt;/UPDATE&gt;&lt;QUERIES bbk=&quot;14167&quot; bbkdesc=&quot;2018 Annual Accounts/EDF Annual Accounts/DC - Non-exchange receivables-detail&quot; datapro=&quot;CAssetsReceivables&quot; tdatapro=&quot;CAssetsReceivables&quot; author=&quot;&quot; modtime=&quot;5/28/2019 9:59:22 AM&quot; moduser=&quot;carlben&quot; rolluptime=&quot;&quot; syuser=&quot;carlben&quot; syuzeit=&quot;5/28/2019 9:59:22 AM&quot; root=&quot;/BBOOK/DATAPROVIDER[./META/PROPS/ID='CAssetsReceivables']/DATA&quot; colcount=&quot;7&quot; rowcount=&quot;9&quot; url=&quot;&quot; dynamizeds=&quot;SAP Disclosure Management - Production&quot; dynamizedstype=&quot;9&quot; refreshds=&quot;&quot; viewtype=&quot;1&quot;&gt;&lt;QUERY reftype=&quot;ABS&quot; elmntsel=&quot;TABLE&quot; bbk=&quot;14167&quot; bbkdesc=&quot;2018 Annual Accounts/EDF Annual Accounts/DC - Non-exchange receivables-detail&quot; datapro=&quot;CAssetsReceivables&quot; infos=&quot;&quot; iscomment=&quot;0&quot;&gt;&lt;SELECT&gt;/BBOOK/DATAPROVIDER[./META/PROPS/ID='CAssetsReceivables']/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12/21/2016 9:44:30 PM&lt;/DYNAMIZEDON&gt;&lt;LASTUPDATEDBY&gt;carlben&lt;/LASTUPDATEDBY&gt;&lt;LASTUPDATEDON&gt;5/28/2019 9:59:38 AM&lt;/LASTUPDATEDON&gt;&lt;UTC&gt;1&lt;/UTC&gt;&lt;/UPDATE&gt;&lt;QUERIES bbk=&quot;14190&quot; bbkdesc=&quot;2018 Annual Accounts/EDF Annual Accounts/DC - Exchange receivables-detail&quot; datapro=&quot;CAssetsReceivables&quot; tdatapro=&quot;CAssetsReceivables&quot; author=&quot;&quot; modtime=&quot;5/28/2019 9:59:25 AM&quot; moduser=&quot;carlben&quot; rolluptime=&quot;&quot; syuser=&quot;carlben&quot; syuzeit=&quot;5/28/2019 9:59:25 AM&quot; root=&quot;/BBOOK/DATAPROVIDER[./META/PROPS/ID='CAssetsReceivables']/DATA&quot; colcount=&quot;7&quot; rowcount=&quot;6&quot; url=&quot;&quot; dynamizeds=&quot;SAP Disclosure Management - Production&quot; dynamizedstype=&quot;9&quot; refreshds=&quot;&quot; viewtype=&quot;1&quot;&gt;&lt;QUERY reftype=&quot;ABS&quot; elmntsel=&quot;TABLE&quot; bbk=&quot;14190&quot; bbkdesc=&quot;2018 Annual Accounts/EDF Annual Accounts/DC - Exchange receivables-detail&quot; datapro=&quot;CAssetsReceivables&quot; infos=&quot;&quot; iscomment=&quot;0&quot;&gt;&lt;SELECT&gt;/BBOOK/DATAPROVIDER[./META/PROPS/ID='CAssetsReceivables']/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carlben&lt;/DYNAMIZEDBY&gt;&lt;DYNAMIZEDON&gt;13-03-2019 09:11:28&lt;/DYNAMIZEDON&gt;&lt;LASTUPDATEDBY&gt;carlben&lt;/LASTUPDATEDBY&gt;&lt;LASTUPDATEDON&gt;5/28/2019 10:10:21 AM&lt;/LASTUPDATEDON&gt;&lt;UTC&gt;1&lt;/UTC&gt;&lt;/UPDATE&gt;&lt;QUERIES bbk=&quot;14136&quot; bbkdesc=&quot;2018 Annual Accounts/EDF Annual Accounts/DC - Cash and cash equivalents current assets&quot; datapro=&quot;CAssetsCash&quot; tdatapro=&quot;CAssetsCash&quot; author=&quot;&quot; modtime=&quot;12/3/2015 1:30:42 PM&quot; moduser=&quot;MILOTLU&quot; rolluptime=&quot;&quot; syuser=&quot;MILOTLU&quot; syuzeit=&quot;12/3/2015 1:30:42 PM&quot; root=&quot;/DATA&quot; colcount=&quot;7&quot; rowcount=&quot;8&quot; url=&quot;&quot; dynamizeds=&quot;SAP Disclosure Management - Production&quot; dynamizedstype=&quot;9&quot; refreshds=&quot;&quot; viewtype=&quot;1&quot;&gt;&lt;QUERY reftype=&quot;ABS&quot; elmntsel=&quot;TABLE&quot; bbk=&quot;14136&quot; bbkdesc=&quot;2018 Annual Accounts/EDF Annual Accounts/DC - Cash and cash equivalents current assets&quot; datapro=&quot;CAssetsCash&quot; infos=&quot;&quot; iscomment=&quot;0&quot;&gt;&lt;SELECT&gt;/BBOOK/DATAPROVIDER[./META/PROPS/ID='CAssetsCash']/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03-12-2018 12:09:33&lt;/DYNAMIZEDON&gt;&lt;LASTUPDATEDBY&gt;carlben&lt;/LASTUPDATEDBY&gt;&lt;LASTUPDATEDON&gt;5/28/2019 10:00:38 AM&lt;/LASTUPDATEDON&gt;&lt;UTC&gt;1&lt;/UTC&gt;&lt;/UPDATE&gt;&lt;QUERIES bbk=&quot;14188&quot; bbkdesc=&quot;2018 Annual Accounts/EDF Annual Accounts/DC Non current provisions&quot; datapro=&quot;NCLiabPayables&quot; tdatapro=&quot;NCLiabPayables&quot; author=&quot;&quot; modtime=&quot;5/28/2019 10:00:28 AM&quot; moduser=&quot;carlben&quot; rolluptime=&quot;&quot; syuser=&quot;carlben&quot; syuzeit=&quot;5/28/2019 10:00:28 AM&quot; root=&quot;/BBOOK/DATAPROVIDER[./META/PROPS/ID='NCLiabPayables']/DATA&quot; colcount=&quot;7&quot; rowcount=&quot;4&quot; url=&quot;&quot; dynamizeds=&quot;SAP Disclosure Management - Production&quot; dynamizedstype=&quot;9&quot; refreshds=&quot;&quot; viewtype=&quot;1&quot;&gt;&lt;QUERY reftype=&quot;ABS&quot; elmntsel=&quot;TABLE&quot; bbk=&quot;14188&quot; bbkdesc=&quot;2018 Annual Accounts/EDF Annual Accounts/DC Non current provisions&quot; datapro=&quot;NCLiabPayables&quot; infos=&quot;&quot; iscomment=&quot;0&quot;&gt;&lt;SELECT&gt;/BBOOK/DATAPROVIDER[./META/PROPS/ID='NCLiabPayables']/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57&lt;/FLCID&gt;&lt;RELATION&gt;&lt;/RELATION&gt;&lt;LINKED&gt;&lt;/LINKED&gt;&lt;SVALUE&gt;&lt;/SVALUE&gt;&lt;INFO&gt;&lt;/INFO&gt;&lt;/META&gt;&lt;UPDATE&gt;&lt;DATE&gt;10.1.6.35&lt;/DATE&gt;&lt;DYNAMIZEDBY&gt;carlben&lt;/DYNAMIZEDBY&gt;&lt;DYNAMIZEDON&gt;29/05/2017 06:16:16&lt;/DYNAMIZEDON&gt;&lt;LASTUPDATEDBY&gt;carlben&lt;/LASTUPDATEDBY&gt;&lt;LASTUPDATEDON&gt;5/28/2019 10:02:39 AM&lt;/LASTUPDATEDON&gt;&lt;UTC&gt;1&lt;/UTC&gt;&lt;/UPDATE&gt;&lt;QUERIES bbk=&quot;14169&quot; bbkdesc=&quot;2018 Annual Accounts/EDF Annual Accounts/DC - NC Financial liabilities&quot; datapro=&quot;NCLiabPayables&quot; tdatapro=&quot;NCLiabPayables&quot; author=&quot;&quot; modtime=&quot;12/3/2015 11:43:40 AM&quot; moduser=&quot;MILOTLU&quot; rolluptime=&quot;&quot; syuser=&quot;MILOTLU&quot; syuzeit=&quot;12/3/2015 11:43:40 AM&quot; root=&quot;/DATA&quot; colcount=&quot;7&quot; rowcount=&quot;4&quot; url=&quot;&quot; dynamizeds=&quot;SAP Disclosure Management - Production&quot; dynamizedstype=&quot;9&quot; refreshds=&quot;&quot; viewtype=&quot;1&quot;&gt;&lt;QUERY reftype=&quot;ABS&quot; elmntsel=&quot;TABLE&quot; bbk=&quot;14169&quot; bbkdesc=&quot;2018 Annual Accounts/EDF Annual Accounts/DC - NC Financial liabilities&quot; datapro=&quot;NCLiabPayables&quot; infos=&quot;&quot; iscomment=&quot;0&quot;&gt;&lt;SELECT&gt;/BBOOK/DATAPROVIDER[./META/PROPS/ID='NCLiabPayables']/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6.35&lt;/DATE&gt;&lt;DYNAMIZEDBY&gt;milotlu&lt;/DYNAMIZEDBY&gt;&lt;DYNAMIZEDON&gt;02/12/2016 16:55:58&lt;/DYNAMIZEDON&gt;&lt;LASTUPDATEDBY&gt;carlben&lt;/LASTUPDATEDBY&gt;&lt;LASTUPDATEDON&gt;5/28/2019 10:09:55 AM&lt;/LASTUPDATEDON&gt;&lt;UTC&gt;1&lt;/UTC&gt;&lt;/UPDATE&gt;&lt;QUERIES bbk=&quot;14104&quot; bbkdesc=&quot;2018 Annual Accounts/EDF Annual Accounts/DC - Payables&quot; datapro=&quot;CLIABPAYABLES&quot; tdatapro=&quot;CLIABPAYABLES&quot; author=&quot;&quot; modtime=&quot;5/28/2019 10:07:11 AM&quot; moduser=&quot;carlben&quot; rolluptime=&quot;&quot; syuser=&quot;carlben&quot; syuzeit=&quot;5/28/2019 10:07:11 AM&quot; root=&quot;/BBOOK/DATAPROVIDER[./META/PROPS/ID='CLIABPAYABLES']/DATA&quot; colcount=&quot;8&quot; rowcount=&quot;5&quot; url=&quot;&quot; dynamizeds=&quot;SAP Disclosure Management - Production&quot; dynamizedstype=&quot;9&quot; refreshds=&quot;&quot; viewtype=&quot;1&quot;&gt;&lt;QUERY reftype=&quot;ABS&quot; elmntsel=&quot;TABLE&quot; bbk=&quot;14104&quot; bbkdesc=&quot;2018 Annual Accounts/EDF Annual Accounts/DC - Payables&quot; datapro=&quot;CLIABPAYABLES&quot; infos=&quot;&quot; iscomment=&quot;0&quot;&gt;&lt;SELECT&gt;/BBOOK/DATAPROVIDER[./META/PROPS/ID='CLIABPAYABLES']/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5/17/2019 8:08:45 AM&lt;/DYNAMIZEDON&gt;&lt;LASTUPDATEDBY&gt;carlben&lt;/LASTUPDATEDBY&gt;&lt;LASTUPDATEDON&gt;5/28/2019 10:09:55 AM&lt;/LASTUPDATEDON&gt;&lt;UTC&gt;1&lt;/UTC&gt;&lt;/UPDATE&gt;&lt;QUERIES bbk=&quot;14093&quot; bbkdesc=&quot;2018 Annual Accounts/EDF Annual Accounts/DC - Current payables&quot; datapro=&quot;CPAYABLES&quot; tdatapro=&quot;CPAYABLES&quot; author=&quot;&quot; modtime=&quot;7/4/2018 9:51:37 AM&quot; moduser=&quot;preutan&quot; rolluptime=&quot;&quot; syuser=&quot;preutan&quot; syuzeit=&quot;7/4/2018 9:51:37 AM&quot; root=&quot;/DATA&quot; colcount=&quot;7&quot; rowcount=&quot;9&quot; url=&quot;&quot; dynamizeds=&quot;SAP Disclosure Management - Production&quot; dynamizedstype=&quot;9&quot; refreshds=&quot;&quot; viewtype=&quot;1&quot;&gt;&lt;QUERY reftype=&quot;ABS&quot; elmntsel=&quot;TABLE&quot; bbk=&quot;14093&quot; bbkdesc=&quot;2018 Annual Accounts/EDF Annual Accounts/DC - Current payables&quot; datapro=&quot;CPAYABLES&quot; infos=&quot;&quot; iscomment=&quot;0&quot;&gt;&lt;SELECT&gt;/BBOOK/DATAPROVIDER[./META/PROPS/ID='CPAYABLE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6.35&lt;/DATE&gt;&lt;DYNAMIZEDBY&gt;milotlu&lt;/DYNAMIZEDBY&gt;&lt;DYNAMIZEDON&gt;02/12/2016 17:54:08&lt;/DYNAMIZEDON&gt;&lt;LASTUPDATEDBY&gt;carlben&lt;/LASTUPDATEDBY&gt;&lt;LASTUPDATEDON&gt;5/28/2019 10:09:55 AM&lt;/LASTUPDATEDON&gt;&lt;UTC&gt;1&lt;/UTC&gt;&lt;/UPDATE&gt;&lt;QUERIES bbk=&quot;14194&quot; bbkdesc=&quot;2018 Annual Accounts/EDF Annual Accounts/DC - Sundry payables&quot; datapro=&quot;SUNPAY&quot; tdatapro=&quot;SUNPAY&quot; author=&quot;&quot; modtime=&quot;5/28/2019 10:09:36 AM&quot; moduser=&quot;carlben&quot; rolluptime=&quot;&quot; syuser=&quot;carlben&quot; syuzeit=&quot;5/28/2019 10:09:36 AM&quot; root=&quot;/BBOOK/DATAPROVIDER[./META/PROPS/ID='SUNPAY']/DATA&quot; colcount=&quot;8&quot; rowcount=&quot;6&quot; url=&quot;&quot; dynamizeds=&quot;SAP Disclosure Management - Production&quot; dynamizedstype=&quot;9&quot; refreshds=&quot;&quot; viewtype=&quot;1&quot;&gt;&lt;QUERY reftype=&quot;ABS&quot; elmntsel=&quot;TABLE&quot; bbk=&quot;14194&quot; bbkdesc=&quot;2018 Annual Accounts/EDF Annual Accounts/DC - Sundry payables&quot; datapro=&quot;SUNPAY&quot; infos=&quot;&quot; iscomment=&quot;0&quot;&gt;&lt;SELECT&gt;/BBOOK/DATAPROVIDER[./META/PROPS/ID='SUNPAY']/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18-03-2019 15:09:26&lt;/DYNAMIZEDON&gt;&lt;LASTUPDATEDBY&gt;carlben&lt;/LASTUPDATEDBY&gt;&lt;LASTUPDATEDON&gt;5/28/2019 10:09:55 AM&lt;/LASTUPDATEDON&gt;&lt;UTC&gt;1&lt;/UTC&gt;&lt;/UPDATE&gt;&lt;QUERIES bbk=&quot;14192&quot; bbkdesc=&quot;2018 Annual Accounts/EDF Annual Accounts/DC - Cofinancing payables&quot; datapro=&quot;COFIPAY&quot; tdatapro=&quot;COFIPAY&quot; author=&quot;&quot; modtime=&quot;3/21/2017 10:18:08 AM&quot; moduser=&quot;MILOTLU&quot; rolluptime=&quot;&quot; syuser=&quot;MILOTLU&quot; syuzeit=&quot;3/21/2017 10:18:08 AM&quot; root=&quot;/DATA&quot; colcount=&quot;7&quot; rowcount=&quot;71&quot; url=&quot;&quot; dynamizeds=&quot;SAP Disclosure Management - Production&quot; dynamizedstype=&quot;9&quot; refreshds=&quot;&quot; viewtype=&quot;1&quot;&gt;&lt;QUERY reftype=&quot;ABS&quot; elmntsel=&quot;TABLE&quot; bbk=&quot;14192&quot; bbkdesc=&quot;2018 Annual Accounts/EDF Annual Accounts/DC - Cofinancing payables&quot; datapro=&quot;COFIPAY&quot; infos=&quot;&quot; iscomment=&quot;0&quot;&gt;&lt;SELECT&gt;/BBOOK/DATAPROVIDER[./META/PROPS/ID='COFIPAY']/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5/17/2019 8:14:43 AM&lt;/DYNAMIZEDON&gt;&lt;LASTUPDATEDBY&gt;carlben&lt;/LASTUPDATEDBY&gt;&lt;LASTUPDATEDON&gt;5/28/2019 10:09:55 AM&lt;/LASTUPDATEDON&gt;&lt;UTC&gt;1&lt;/UTC&gt;&lt;/UPDATE&gt;&lt;QUERIES bbk=&quot;14109&quot; bbkdesc=&quot;2018 Annual Accounts/EDF Annual Accounts/DC - Deferred capital contribution detail&quot; datapro=&quot;DFCC&quot; tdatapro=&quot;DFCC&quot; author=&quot;&quot; modtime=&quot;5/8/2017 12:37:36 PM&quot; moduser=&quot;carlben&quot; rolluptime=&quot;&quot; syuser=&quot;carlben&quot; syuzeit=&quot;5/8/2017 12:37:36 PM&quot; root=&quot;/DATA&quot; colcount=&quot;7&quot; rowcount=&quot;7&quot; url=&quot;&quot; dynamizeds=&quot;SAP Disclosure Management - Production&quot; dynamizedstype=&quot;9&quot; refreshds=&quot;&quot; viewtype=&quot;1&quot;&gt;&lt;QUERY reftype=&quot;ABS&quot; elmntsel=&quot;TABLE&quot; bbk=&quot;14109&quot; bbkdesc=&quot;2018 Annual Accounts/EDF Annual Accounts/DC - Deferred capital contribution detail&quot; datapro=&quot;DFCC&quot; infos=&quot;&quot; iscomment=&quot;0&quot;&gt;&lt;SELECT&gt;/BBOOK/DATAPROVIDER[./META/PROPS/ID='DFCC']/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57&lt;/FLCID&gt;&lt;RELATION&gt;&lt;/RELATION&gt;&lt;LINKED&gt;&lt;/LINKED&gt;&lt;SVALUE&gt;&lt;/SVALUE&gt;&lt;INFO&gt;&lt;/INFO&gt;&lt;/META&gt;&lt;UPDATE&gt;&lt;DATE&gt;10.1.6.35&lt;/DATE&gt;&lt;DYNAMIZEDBY&gt;carlben&lt;/DYNAMIZEDBY&gt;&lt;DYNAMIZEDON&gt;29/05/2017 06:24:35&lt;/DYNAMIZEDON&gt;&lt;LASTUPDATEDBY&gt;carlben&lt;/LASTUPDATEDBY&gt;&lt;LASTUPDATEDON&gt;5/28/2019 10:06:07 AM&lt;/LASTUPDATEDON&gt;&lt;UTC&gt;1&lt;/UTC&gt;&lt;/UPDATE&gt;&lt;QUERIES bbk=&quot;14150&quot; bbkdesc=&quot;2018 Annual Accounts/EDF Annual Accounts/DC - Accrued charges&quot; datapro=&quot;ACCRUEDCHARGES&quot; tdatapro=&quot;ACCRUEDCHARGES&quot; author=&quot;&quot; modtime=&quot;12/3/2015 11:45:06 AM&quot; moduser=&quot;MILOTLU&quot; rolluptime=&quot;&quot; syuser=&quot;MILOTLU&quot; syuzeit=&quot;12/3/2015 11:45:06 AM&quot; root=&quot;/DATA&quot; colcount=&quot;7&quot; rowcount=&quot;5&quot; url=&quot;&quot; dynamizeds=&quot;SAP Disclosure Management - Production&quot; dynamizedstype=&quot;9&quot; refreshds=&quot;&quot; viewtype=&quot;1&quot;&gt;&lt;QUERY reftype=&quot;ABS&quot; elmntsel=&quot;TABLE&quot; bbk=&quot;14150&quot; bbkdesc=&quot;2018 Annual Accounts/EDF Annual Accounts/DC - Accrued charges&quot; datapro=&quot;ACCRUEDCHARGES&quot; infos=&quot;&quot; iscomment=&quot;0&quot;&gt;&lt;SELECT&gt;/BBOOK/DATAPROVIDER[./META/PROPS/ID='ACCRUEDCHARGES']/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6.35&lt;/DATE&gt;&lt;DYNAMIZEDBY&gt;carlben&lt;/DYNAMIZEDBY&gt;&lt;DYNAMIZEDON&gt;29/05/2017 06:31:41&lt;/DYNAMIZEDON&gt;&lt;LASTUPDATEDBY&gt;carlben&lt;/LASTUPDATEDBY&gt;&lt;LASTUPDATEDON&gt;5/28/2019 10:10:19 AM&lt;/LASTUPDATEDON&gt;&lt;UTC&gt;1&lt;/UTC&gt;&lt;/UPDATE&gt;&lt;QUERIES bbk=&quot;14098&quot; bbkdesc=&quot;2018 Annual Accounts/EDF Annual Accounts/DC - Called fund capital&quot; datapro=&quot;NACalledFundCapital&quot; tdatapro=&quot;NACalledFundCapital&quot; author=&quot;&quot; modtime=&quot;5/8/2017 12:27:43 PM&quot; moduser=&quot;carlben&quot; rolluptime=&quot;&quot; syuser=&quot;carlben&quot; syuzeit=&quot;5/8/2017 12:27:43 PM&quot; root=&quot;/DATA&quot; colcount=&quot;6&quot; rowcount=&quot;9&quot; url=&quot;&quot; dynamizeds=&quot;SAP Disclosure Management - Production&quot; dynamizedstype=&quot;9&quot; refreshds=&quot;&quot; viewtype=&quot;1&quot;&gt;&lt;QUERY reftype=&quot;ABS&quot; elmntsel=&quot;TABLE&quot; bbk=&quot;14098&quot; bbkdesc=&quot;2018 Annual Accounts/EDF Annual Accounts/DC - Called fund capital&quot; datapro=&quot;NACalledFundCapital&quot; infos=&quot;&quot; iscomment=&quot;0&quot;&gt;&lt;SELECT&gt;/BBOOK/DATAPROVIDER[./META/PROPS/ID='NACalledFundCapital']/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carlben&lt;/DYNAMIZEDBY&gt;&lt;DYNAMIZEDON&gt;08/12/2017 09:58:42&lt;/DYNAMIZEDON&gt;&lt;LASTUPDATEDBY&gt;carlben&lt;/LASTUPDATEDBY&gt;&lt;LASTUPDATEDON&gt;5/28/2019 10:10:19 AM&lt;/LASTUPDATEDON&gt;&lt;UTC&gt;1&lt;/UTC&gt;&lt;/UPDATE&gt;&lt;QUERIES bbk=&quot;14098&quot; bbkdesc=&quot;2018 Annual Accounts/EDF Annual Accounts/DC - Called fund capital&quot; datapro=&quot;NACalledFundCapitalMS11th&quot; tdatapro=&quot;NACalledFundCapitalMS11th&quot; author=&quot;&quot; modtime=&quot;5/28/2019 10:05:48 AM&quot; moduser=&quot;carlben&quot; rolluptime=&quot;&quot; syuser=&quot;carlben&quot; syuzeit=&quot;5/28/2019 10:05:48 AM&quot; root=&quot;/BBOOK/DATAPROVIDER[./META/PROPS/ID='NACalledFundCapitalMS11th']/DATA&quot; colcount=&quot;5&quot; rowcount=&quot;31&quot; url=&quot;&quot; dynamizeds=&quot;SAP Disclosure Management - Production&quot; dynamizedstype=&quot;9&quot; refreshds=&quot;&quot; viewtype=&quot;1&quot;&gt;&lt;QUERY reftype=&quot;ABS&quot; elmntsel=&quot;TABLE&quot; bbk=&quot;14098&quot; bbkdesc=&quot;2018 Annual Accounts/EDF Annual Accounts/DC - Called fund capital&quot; datapro=&quot;NACalledFundCapitalMS11th&quot; infos=&quot;&quot; iscomment=&quot;0&quot;&gt;&lt;SELECT&gt;/BBOOK/DATAPROVIDER[./META/PROPS/ID='NACalledFundCapitalMS11th']/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14-12-2018 10:23:40&lt;/DYNAMIZEDON&gt;&lt;LASTUPDATEDBY&gt;carlben&lt;/LASTUPDATEDBY&gt;&lt;LASTUPDATEDON&gt;5/28/2019 10:05:34 AM&lt;/LASTUPDATEDON&gt;&lt;UTC&gt;1&lt;/UTC&gt;&lt;/UPDATE&gt;&lt;QUERIES bbk=&quot;14085&quot; bbkdesc=&quot;2018 Annual Accounts/EDF Annual Accounts/DC - Called fund capital from closed EDFs carried forward&quot; datapro=&quot;NAOtherReserves&quot; tdatapro=&quot;NAOtherReserves&quot; author=&quot;&quot; modtime=&quot;3/16/2016 5:33:27 PM&quot; moduser=&quot;vanbena&quot; rolluptime=&quot;&quot; syuser=&quot;vanbena&quot; syuzeit=&quot;3/16/2016 5:33:27 PM&quot; root=&quot;/DATA&quot; colcount=&quot;7&quot; rowcount=&quot;4&quot; url=&quot;&quot; dynamizeds=&quot;SAP Disclosure Management - Production&quot; dynamizedstype=&quot;9&quot; refreshds=&quot;&quot; viewtype=&quot;1&quot;&gt;&lt;QUERY reftype=&quot;ABS&quot; elmntsel=&quot;TABLE&quot; bbk=&quot;14085&quot; bbkdesc=&quot;2018 Annual Accounts/EDF Annual Accounts/DC - Called fund capital from closed EDFs carried forward&quot; datapro=&quot;NAOtherReserves&quot; infos=&quot;&quot; iscomment=&quot;0&quot;&gt;&lt;SELECT&gt;/BBOOK/DATAPROVIDER[./META/PROPS/ID='NAOtherReserves']/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carlben&lt;/DYNAMIZEDBY&gt;&lt;DYNAMIZEDON&gt;20-12-2018 10:17:54&lt;/DYNAMIZEDON&gt;&lt;LASTUPDATEDBY&gt;carlben&lt;/LASTUPDATEDBY&gt;&lt;LASTUPDATEDON&gt;5/28/2019 10:15:04 AM&lt;/LASTUPDATEDON&gt;&lt;UTC&gt;1&lt;/UTC&gt;&lt;/UPDATE&gt;&lt;QUERIES bbk=&quot;14187&quot; bbkdesc=&quot;2018 Annual Accounts/EDF Annual Accounts/DC - Transfers between Active EDFs&quot; datapro=&quot;NAOtherReserves&quot; tdatapro=&quot;NAOtherReserves&quot; author=&quot;&quot; modtime=&quot;5/28/2019 10:14:57 AM&quot; moduser=&quot;carlben&quot; rolluptime=&quot;&quot; syuser=&quot;carlben&quot; syuzeit=&quot;5/28/2019 10:14:57 AM&quot; root=&quot;/BBOOK/DATAPROVIDER[./META/PROPS/ID='NAOtherReserves']/DATA&quot; colcount=&quot;6&quot; rowcount=&quot;13&quot; url=&quot;&quot; dynamizeds=&quot;SAP Disclosure Management - Production&quot; dynamizedstype=&quot;9&quot; refreshds=&quot;&quot; viewtype=&quot;1&quot;&gt;&lt;QUERY reftype=&quot;ABS&quot; elmntsel=&quot;TABLE&quot; bbk=&quot;14187&quot; bbkdesc=&quot;2018 Annual Accounts/EDF Annual Accounts/DC - Transfers between Active EDFs&quot; datapro=&quot;NAOtherReserves&quot; infos=&quot;&quot; iscomment=&quot;0&quot;&gt;&lt;SELECT&gt;/BBOOK/DATAPROVIDER[./META/PROPS/ID='NAOtherReserves']/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6.35&lt;/DATE&gt;&lt;DYNAMIZEDBY&gt;milotlu&lt;/DYNAMIZEDBY&gt;&lt;DYNAMIZEDON&gt;12/21/2016 10:38:49 PM&lt;/DYNAMIZEDON&gt;&lt;LASTUPDATEDBY&gt;carlben&lt;/LASTUPDATEDBY&gt;&lt;LASTUPDATEDON&gt;5/28/2019 9:57:53 AM&lt;/LASTUPDATEDON&gt;&lt;UTC&gt;1&lt;/UTC&gt;&lt;/UPDATE&gt;&lt;QUERIES bbk=&quot;14114&quot; bbkdesc=&quot;2018 Annual Accounts/EDF Annual Accounts/DC - Exchange and non-exchange revenue&quot; datapro=&quot;REVEXCHNONEX&quot; tdatapro=&quot;REVEXCHNONEX&quot; author=&quot;&quot; modtime=&quot;12/3/2015 11:47:35 AM&quot; moduser=&quot;MILOTLU&quot; rolluptime=&quot;&quot; syuser=&quot;MILOTLU&quot; syuzeit=&quot;12/3/2015 11:47:35 AM&quot; root=&quot;/DATA&quot; colcount=&quot;4&quot; rowcount=&quot;5&quot; url=&quot;&quot; dynamizeds=&quot;SAP Disclosure Management - Production&quot; dynamizedstype=&quot;9&quot; refreshds=&quot;&quot; viewtype=&quot;1&quot;&gt;&lt;QUERY reftype=&quot;ABS&quot; elmntsel=&quot;TABLE&quot; bbk=&quot;14114&quot; bbkdesc=&quot;2018 Annual Accounts/EDF Annual Accounts/DC - Exchange and non-exchange revenue&quot; datapro=&quot;REVEXCHNONEX&quot; infos=&quot;&quot; iscomment=&quot;0&quot;&gt;&lt;SELECT&gt;/BBOOK/DATAPROVIDER[./META/PROPS/ID='REVEXCHNONEX']/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0.36&lt;/DATE&gt;&lt;DYNAMIZEDBY&gt;milotlu&lt;/DYNAMIZEDBY&gt;&lt;DYNAMIZEDON&gt;24/03/2015 12:12:48&lt;/DYNAMIZEDON&gt;&lt;LASTUPDATEDBY&gt;carlben&lt;/LASTUPDATEDBY&gt;&lt;LASTUPDATEDON&gt;5/28/2019 9:57:53 AM&lt;/LASTUPDATEDON&gt;&lt;UTC&gt;1&lt;/UTC&gt;&lt;/UPDATE&gt;&lt;QUERIES bbk=&quot;14077&quot; bbkdesc=&quot;2018 Annual Accounts/EDF Annual Accounts/DC - Revenue non-ex transactions&quot; datapro=&quot;OR&quot; tdatapro=&quot;OR&quot; author=&quot;&quot; modtime=&quot;5/28/2019 9:57:41 AM&quot; moduser=&quot;carlben&quot; rolluptime=&quot;&quot; syuser=&quot;carlben&quot; syuzeit=&quot;5/28/2019 9:57:41 AM&quot; root=&quot;/BBOOK/DATAPROVIDER[./META/PROPS/ID='OR']/DATA&quot; colcount=&quot;8&quot; rowcount=&quot;6&quot; url=&quot;&quot; dynamizeds=&quot;SAP Disclosure Management - Production&quot; dynamizedstype=&quot;9&quot; refreshds=&quot;&quot; viewtype=&quot;1&quot;&gt;&lt;QUERY reftype=&quot;ABS&quot; elmntsel=&quot;TABLE&quot; bbk=&quot;14077&quot; bbkdesc=&quot;2018 Annual Accounts/EDF Annual Accounts/DC - Revenue non-ex transactions&quot; datapro=&quot;OR&quot; infos=&quot;&quot; iscomment=&quot;0&quot;&gt;&lt;SELECT&gt;/BBOOK/DATAPROVIDER[./META/PROPS/ID='OR']/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4.9&lt;/DATE&gt;&lt;DYNAMIZEDBY&gt;vanbena&lt;/DYNAMIZEDBY&gt;&lt;DYNAMIZEDON&gt;17/03/2016 09:47:17&lt;/DYNAMIZEDON&gt;&lt;LASTUPDATEDBY&gt;carlben&lt;/LASTUPDATEDBY&gt;&lt;LASTUPDATEDON&gt;5/28/2019 9:57:53 AM&lt;/LASTUPDATEDON&gt;&lt;UTC&gt;1&lt;/UTC&gt;&lt;/UPDATE&gt;&lt;QUERIES bbk=&quot;14077&quot; bbkdesc=&quot;2018 Annual Accounts/EDF Annual Accounts/DC - Revenue non-ex transactions&quot; datapro=&quot;ORbyMgmtMode&quot; tdatapro=&quot;ORbyMgmtMode&quot; author=&quot;&quot; modtime=&quot;5/28/2019 9:57:41 AM&quot; moduser=&quot;carlben&quot; rolluptime=&quot;&quot; syuser=&quot;carlben&quot; syuzeit=&quot;5/28/2019 9:57:41 AM&quot; root=&quot;/BBOOK/DATAPROVIDER[./META/PROPS/ID='ORbyMgmtMode']/DATA&quot; colcount=&quot;3&quot; rowcount=&quot;13&quot; url=&quot;&quot; dynamizeds=&quot;SAP Disclosure Management - Production&quot; dynamizedstype=&quot;9&quot; refreshds=&quot;&quot; viewtype=&quot;1&quot;&gt;&lt;QUERY reftype=&quot;ABS&quot; elmntsel=&quot;TABLE&quot; bbk=&quot;14077&quot; bbkdesc=&quot;2018 Annual Accounts/EDF Annual Accounts/DC - Revenue non-ex transactions&quot; datapro=&quot;ORbyMgmtMode&quot; infos=&quot;&quot; iscomment=&quot;0&quot;&gt;&lt;SELECT&gt;/BBOOK/DATAPROVIDER[./META/PROPS/ID='ORbyMgmtMode']/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14-12-2018 10:53:12&lt;/DYNAMIZEDON&gt;&lt;LASTUPDATEDBY&gt;carlben&lt;/LASTUPDATEDBY&gt;&lt;LASTUPDATEDON&gt;5/28/2019 9:57:53 AM&lt;/LASTUPDATEDON&gt;&lt;UTC&gt;1&lt;/UTC&gt;&lt;/UPDATE&gt;&lt;QUERIES bbk=&quot;14197&quot; bbkdesc=&quot;2018 Annual Accounts/EDF Annual Accounts/DC - Exchange revenue&quot; datapro=&quot;EXREV&quot; tdatapro=&quot;EXREV&quot; author=&quot;&quot; modtime=&quot;11/5/2018 1:26:50 PM&quot; moduser=&quot;carlben&quot; rolluptime=&quot;&quot; syuser=&quot;carlben&quot; syuzeit=&quot;11/5/2018 1:26:50 PM&quot; root=&quot;/DATA&quot; colcount=&quot;7&quot; rowcount=&quot;6&quot; url=&quot;&quot; dynamizeds=&quot;SAP Disclosure Management - Production&quot; dynamizedstype=&quot;9&quot; refreshds=&quot;&quot; viewtype=&quot;1&quot;&gt;&lt;QUERY reftype=&quot;ABS&quot; elmntsel=&quot;TABLE&quot; bbk=&quot;14197&quot; bbkdesc=&quot;2018 Annual Accounts/EDF Annual Accounts/DC - Exchange revenue&quot; datapro=&quot;EXREV&quot; infos=&quot;&quot; iscomment=&quot;0&quot;&gt;&lt;SELECT&gt;/BBOOK/DATAPROVIDER[./META/PROPS/ID='EXREV']/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14-12-2018 11:02:11&lt;/DYNAMIZEDON&gt;&lt;LASTUPDATEDBY&gt;kythrst&lt;/LASTUPDATEDBY&gt;&lt;LASTUPDATEDON&gt;5/28/2019 12:51:33 PM&lt;/LASTUPDATEDON&gt;&lt;UTC&gt;1&lt;/UTC&gt;&lt;/UPDATE&gt;&lt;QUERIES bbk=&quot;14162&quot; bbkdesc=&quot;2018 Annual Accounts/EDF Annual Accounts/DC - Aid instruments&quot; datapro=&quot;OEAI&quot; tdatapro=&quot;OEAI&quot; author=&quot;&quot; modtime=&quot;11/5/2018 1:30:18 PM&quot; moduser=&quot;carlben&quot; rolluptime=&quot;&quot; syuser=&quot;carlben&quot; syuzeit=&quot;11/5/2018 1:30:18 PM&quot; root=&quot;/DATA&quot; colcount=&quot;7&quot; rowcount=&quot;15&quot; url=&quot;&quot; dynamizeds=&quot;SAP Disclosure Management - Production&quot; dynamizedstype=&quot;9&quot; refreshds=&quot;&quot; viewtype=&quot;1&quot;&gt;&lt;QUERY reftype=&quot;ABS&quot; elmntsel=&quot;TABLE&quot; bbk=&quot;14162&quot; bbkdesc=&quot;2018 Annual Accounts/EDF Annual Accounts/DC - Aid instruments&quot; datapro=&quot;OEAI&quot; infos=&quot;&quot; iscomment=&quot;0&quot;&gt;&lt;SELECT&gt;/BBOOK/DATAPROVIDER[./META/PROPS/ID='OEAI']/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14-12-2018 11:06:47&lt;/DYNAMIZEDON&gt;&lt;LASTUPDATEDBY&gt;kythrst&lt;/LASTUPDATEDBY&gt;&lt;LASTUPDATEDON&gt;5/28/2019 12:51:33 PM&lt;/LASTUPDATEDON&gt;&lt;UTC&gt;1&lt;/UTC&gt;&lt;/UPDATE&gt;&lt;QUERIES bbk=&quot;14199&quot; bbkdesc=&quot;2018 Annual Accounts/EDF Annual Accounts/DC - Co-financing&quot; datapro=&quot;COFIN&quot; tdatapro=&quot;COFIN&quot; author=&quot;&quot; modtime=&quot;11/5/2018 1:30:20 PM&quot; moduser=&quot;carlben&quot; rolluptime=&quot;&quot; syuser=&quot;carlben&quot; syuzeit=&quot;11/5/2018 1:30:20 PM&quot; root=&quot;/DATA&quot; colcount=&quot;7&quot; rowcount=&quot;3&quot; url=&quot;&quot; dynamizeds=&quot;SAP Disclosure Management - Production&quot; dynamizedstype=&quot;9&quot; refreshds=&quot;&quot; viewtype=&quot;1&quot;&gt;&lt;QUERY reftype=&quot;ABS&quot; elmntsel=&quot;TABLE&quot; bbk=&quot;14199&quot; bbkdesc=&quot;2018 Annual Accounts/EDF Annual Accounts/DC - Co-financing&quot; datapro=&quot;COFIN&quot; infos=&quot;&quot; iscomment=&quot;0&quot;&gt;&lt;SELECT&gt;/BBOOK/DATAPROVIDER[./META/PROPS/ID='COFIN']/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60&lt;/FLCID&gt;&lt;RELATION&gt;&lt;/RELATION&gt;&lt;LINKED&gt;&lt;/LINKED&gt;&lt;SVALUE&gt;&lt;/SVALUE&gt;&lt;INFO&gt;&lt;/INFO&gt;&lt;/META&gt;&lt;UPDATE&gt;&lt;DATE&gt;10.1.10.2&lt;/DATE&gt;&lt;DYNAMIZEDBY&gt;carlben&lt;/DYNAMIZEDBY&gt;&lt;DYNAMIZEDON&gt;20-03-2019 14:39:08&lt;/DYNAMIZEDON&gt;&lt;LASTUPDATEDBY&gt;kythrst&lt;/LASTUPDATEDBY&gt;&lt;LASTUPDATEDON&gt;5/28/2019 12:51:33 PM&lt;/LASTUPDATEDON&gt;&lt;UTC&gt;1&lt;/UTC&gt;&lt;/UPDATE&gt;&lt;QUERIES bbk=&quot;14117&quot; bbkdesc=&quot;2018 Annual Accounts/EDF Annual Accounts/DC - Aid_cofinancing by mng type&quot; datapro=&quot;OEbyMgmtMode&quot; tdatapro=&quot;OEbyMgmtMode&quot; author=&quot;&quot; modtime=&quot;5/28/2019 12:47:36 PM&quot; moduser=&quot;carlben&quot; rolluptime=&quot;&quot; syuser=&quot;carlben&quot; syuzeit=&quot;5/28/2019 12:47:36 PM&quot; root=&quot;/BBOOK/DATAPROVIDER[./META/PROPS/ID='OEbyMgmtMode']/DATA&quot; colcount=&quot;3&quot; rowcount=&quot;18&quot; url=&quot;&quot; dynamizeds=&quot;SAP Disclosure Management - Production&quot; dynamizedstype=&quot;9&quot; refreshds=&quot;&quot; viewtype=&quot;1&quot;&gt;&lt;QUERY reftype=&quot;ABS&quot; elmntsel=&quot;TABLE&quot; bbk=&quot;14117&quot; bbkdesc=&quot;2018 Annual Accounts/EDF Annual Accounts/DC - Aid_cofinancing by mng type&quot; datapro=&quot;OEbyMgmtMode&quot; infos=&quot;&quot; iscomment=&quot;0&quot;&gt;&lt;SELECT&gt;/BBOOK/DATAPROVIDER[./META/PROPS/ID='OEbyMgmtMode']/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14-12-2018 11:09:25&lt;/DYNAMIZEDON&gt;&lt;LASTUPDATEDBY&gt;kythrst&lt;/LASTUPDATEDBY&gt;&lt;LASTUPDATEDON&gt;5/28/2019 12:51:33 PM&lt;/LASTUPDATEDON&gt;&lt;UTC&gt;1&lt;/UTC&gt;&lt;/UPDATE&gt;&lt;QUERIES bbk=&quot;14200&quot; bbkdesc=&quot;2018 Annual Accounts/EDF Annual Accounts/DC - Finance costs&quot; datapro=&quot;FINCOST&quot; tdatapro=&quot;FINCOST&quot; author=&quot;&quot; modtime=&quot;11/5/2018 1:30:22 PM&quot; moduser=&quot;carlben&quot; rolluptime=&quot;&quot; syuser=&quot;carlben&quot; syuzeit=&quot;11/5/2018 1:30:22 PM&quot; root=&quot;/DATA&quot; colcount=&quot;7&quot; rowcount=&quot;5&quot; url=&quot;&quot; dynamizeds=&quot;SAP Disclosure Management - Production&quot; dynamizedstype=&quot;9&quot; refreshds=&quot;&quot; viewtype=&quot;1&quot;&gt;&lt;QUERY reftype=&quot;ABS&quot; elmntsel=&quot;TABLE&quot; bbk=&quot;14200&quot; bbkdesc=&quot;2018 Annual Accounts/EDF Annual Accounts/DC - Finance costs&quot; datapro=&quot;FINCOST&quot; infos=&quot;&quot; iscomment=&quot;0&quot;&gt;&lt;SELECT&gt;/BBOOK/DATAPROVIDER[./META/PROPS/ID='FINCOST']/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10.2&lt;/DATE&gt;&lt;DYNAMIZEDBY&gt;carlben&lt;/DYNAMIZEDBY&gt;&lt;DYNAMIZEDON&gt;5/17/2019 9:07:17 AM&lt;/DYNAMIZEDON&gt;&lt;LASTUPDATEDBY&gt;kythrst&lt;/LASTUPDATEDBY&gt;&lt;LASTUPDATEDON&gt;5/28/2019 12:51:33 PM&lt;/LASTUPDATEDON&gt;&lt;UTC&gt;1&lt;/UTC&gt;&lt;/UPDATE&gt;&lt;QUERIES bbk=&quot;14203&quot; bbkdesc=&quot;2018 Annual Accounts/EDF Annual Accounts/DC - Other Expenses&quot; datapro=&quot;OTHEXP&quot; tdatapro=&quot;OTHEXP&quot; author=&quot;&quot; modtime=&quot;5/8/2017 11:25:18 AM&quot; moduser=&quot;carlben&quot; rolluptime=&quot;&quot; syuser=&quot;carlben&quot; syuzeit=&quot;5/8/2017 11:25:18 AM&quot; root=&quot;/DATA&quot; colcount=&quot;7&quot; rowcount=&quot;8&quot; url=&quot;&quot; dynamizeds=&quot;SAP Disclosure Management - Production&quot; dynamizedstype=&quot;9&quot; refreshds=&quot;&quot; viewtype=&quot;1&quot;&gt;&lt;QUERY reftype=&quot;ABS&quot; elmntsel=&quot;TABLE&quot; bbk=&quot;14203&quot; bbkdesc=&quot;2018 Annual Accounts/EDF Annual Accounts/DC - Other Expenses&quot; datapro=&quot;OTHEXP&quot; infos=&quot;&quot; iscomment=&quot;0&quot;&gt;&lt;SELECT&gt;/BBOOK/DATAPROVIDER[./META/PROPS/ID='OTHEXP']/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1033&lt;/FLCID&gt;&lt;RELATION&gt;&lt;/RELATION&gt;&lt;LINKED&gt;&lt;/LINKED&gt;&lt;SVALUE&gt;&lt;/SVALUE&gt;&lt;INFO&gt;&lt;/INFO&gt;&lt;/META&gt;&lt;UPDATE&gt;&lt;DATE&gt;10.1.6.35&lt;/DATE&gt;&lt;DYNAMIZEDBY&gt;carlben&lt;/DYNAMIZEDBY&gt;&lt;DYNAMIZEDON&gt;29/05/2017 06:34:02&lt;/DYNAMIZEDON&gt;&lt;LASTUPDATEDBY&gt;carlben&lt;/LASTUPDATEDBY&gt;&lt;LASTUPDATEDON&gt;5/28/2019 10:07:06 AM&lt;/LASTUPDATEDON&gt;&lt;UTC&gt;1&lt;/UTC&gt;&lt;/UPDATE&gt;&lt;QUERIES bbk=&quot;14067&quot; bbkdesc=&quot;2018 Annual Accounts/EDF Annual Accounts/DC - Contingent assets&quot; datapro=&quot;CONA&quot; tdatapro=&quot;CONA&quot; author=&quot;&quot; modtime=&quot;3/21/2017 12:55:35 PM&quot; moduser=&quot;MILOTLU&quot; rolluptime=&quot;&quot; syuser=&quot;MILOTLU&quot; syuzeit=&quot;3/21/2017 12:55:35 PM&quot; root=&quot;/DATA&quot; colcount=&quot;7&quot; rowcount=&quot;5&quot; url=&quot;&quot; dynamizeds=&quot;SAP Disclosure Management - Production&quot; dynamizedstype=&quot;9&quot; refreshds=&quot;&quot; viewtype=&quot;1&quot;&gt;&lt;QUERY reftype=&quot;ABS&quot; elmntsel=&quot;TABLE&quot; bbk=&quot;14067&quot; bbkdesc=&quot;2018 Annual Accounts/EDF Annual Accounts/DC - Contingent assets&quot; datapro=&quot;CONA&quot; infos=&quot;&quot; iscomment=&quot;0&quot;&gt;&lt;SELECT&gt;/BBOOK/DATAPROVIDER[./META/PROPS/ID='CONA']/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1&lt;/FXC&gt;&lt;FXR&gt;1&lt;/FXR&gt;&lt;FORMAT&gt;&lt;/FORMAT&gt;&lt;FMODUS&gt;&lt;/FMODUS&gt;&lt;FLCID&gt;2057&lt;/FLCID&gt;&lt;RELATION&gt;&lt;/RELATION&gt;&lt;LINKED&gt;&lt;/LINKED&gt;&lt;SVALUE&gt;&lt;/SVALUE&gt;&lt;INFO&gt;&lt;/INFO&gt;&lt;/META&gt;&lt;UPDATE&gt;&lt;DATE&gt;10.1.6.35&lt;/DATE&gt;&lt;DYNAMIZEDBY&gt;carlben&lt;/DYNAMIZEDBY&gt;&lt;DYNAMIZEDON&gt;29/05/2017 06:37:05&lt;/DYNAMIZEDON&gt;&lt;LASTUPDATEDBY&gt;carlben&lt;/LASTUPDATEDBY&gt;&lt;LASTUPDATEDON&gt;5/28/2019 10:09:12 AM&lt;/LASTUPDATEDON&gt;&lt;UTC&gt;1&lt;/UTC&gt;&lt;/UPDATE&gt;&lt;QUERIES bbk=&quot;14125&quot; bbkdesc=&quot;2018 Annual Accounts/EDF Annual Accounts/DC - Outstanding commitments not yet expensed&quot; datapro=&quot;OCNYE&quot; tdatapro=&quot;OCNYE&quot; author=&quot;&quot; modtime=&quot;5/8/2017 12:27:30 PM&quot; moduser=&quot;carlben&quot; rolluptime=&quot;&quot; syuser=&quot;carlben&quot; syuzeit=&quot;5/8/2017 12:27:30 PM&quot; root=&quot;/DATA&quot; colcount=&quot;7&quot; rowcount=&quot;4&quot; url=&quot;&quot; dynamizeds=&quot;SAP Disclosure Management - Production&quot; dynamizedstype=&quot;9&quot; refreshds=&quot;&quot; viewtype=&quot;1&quot;&gt;&lt;QUERY reftype=&quot;ABS&quot; elmntsel=&quot;TABLE&quot; bbk=&quot;14125&quot; bbkdesc=&quot;2018 Annual Accounts/EDF Annual Accounts/DC - Outstanding commitments not yet expensed&quot; datapro=&quot;OCNYE&quot; infos=&quot;&quot; iscomment=&quot;0&quot;&gt;&lt;SELECT&gt;/BBOOK/DATAPROVIDER[./META/PROPS/ID='OCNYE']/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carlben&lt;/DYNAMIZEDBY&gt;&lt;DYNAMIZEDON&gt;10/05/2017 14:17:58&lt;/DYNAMIZEDON&gt;&lt;LASTUPDATEDBY&gt;carlben&lt;/LASTUPDATEDBY&gt;&lt;LASTUPDATEDON&gt;5/28/2019 10:10:33 AM&lt;/LASTUPDATEDON&gt;&lt;UTC&gt;1&lt;/UTC&gt;&lt;/UPDATE&gt;&lt;QUERIES bbk=&quot;14176&quot; bbkdesc=&quot;2018 Annual Accounts/EDF Annual Accounts/DC - Exposure of the EDF to currency risk at year end&quot; datapro=&quot;CR&quot; tdatapro=&quot;CR&quot; author=&quot;&quot; modtime=&quot;5/28/2019 10:10:29 AM&quot; moduser=&quot;carlben&quot; rolluptime=&quot;&quot; syuser=&quot;carlben&quot; syuzeit=&quot;5/28/2019 10:10:29 AM&quot; root=&quot;/BBOOK/DATAPROVIDER[./META/PROPS/ID='CR']/DATA&quot; colcount=&quot;16&quot; rowcount=&quot;12&quot; url=&quot;&quot; dynamizeds=&quot;SAP Disclosure Management - Production&quot; dynamizedstype=&quot;9&quot; refreshds=&quot;&quot; viewtype=&quot;1&quot;&gt;&lt;QUERY reftype=&quot;ABS&quot; elmntsel=&quot;TABLE&quot; bbk=&quot;14176&quot; bbkdesc=&quot;2018 Annual Accounts/EDF Annual Accounts/DC - Exposure of the EDF to currency risk at year end&quot; datapro=&quot;CR&quot; infos=&quot;&quot; iscomment=&quot;0&quot;&gt;&lt;SELECT&gt;/BBOOK/DATAPROVIDER[./META/PROPS/ID='CR']/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0.36&lt;/DATE&gt;&lt;DYNAMIZEDBY&gt;vignoal&lt;/DYNAMIZEDBY&gt;&lt;DYNAMIZEDON&gt;13/02/2015 09:32:01&lt;/DYNAMIZEDON&gt;&lt;LASTUPDATEDBY&gt;carlben&lt;/LASTUPDATEDBY&gt;&lt;LASTUPDATEDON&gt;5/28/2019 10:10:40 AM&lt;/LASTUPDATEDON&gt;&lt;UTC&gt;1&lt;/UTC&gt;&lt;/UPDATE&gt;&lt;QUERIES bbk=&quot;14177&quot; bbkdesc=&quot;2018 Annual Accounts/EDF Annual Accounts/DC - Credit risk&quot; datapro=&quot;CDTR&quot; tdatapro=&quot;CDTR&quot; author=&quot;&quot; modtime=&quot;5/28/2019 10:10:36 AM&quot; moduser=&quot;carlben&quot; rolluptime=&quot;&quot; syuser=&quot;carlben&quot; syuzeit=&quot;5/28/2019 10:10:36 AM&quot; root=&quot;/BBOOK/DATAPROVIDER[./META/PROPS/ID='CDTR']/DATA&quot; colcount=&quot;6&quot; rowcount=&quot;7&quot; url=&quot;&quot; dynamizeds=&quot;SAP Disclosure Management - Production&quot; dynamizedstype=&quot;9&quot; refreshds=&quot;&quot; viewtype=&quot;1&quot;&gt;&lt;QUERY reftype=&quot;ABS&quot; elmntsel=&quot;TABLE&quot; bbk=&quot;14177&quot; bbkdesc=&quot;2018 Annual Accounts/EDF Annual Accounts/DC - Credit risk&quot; datapro=&quot;CDTR&quot; infos=&quot;&quot; iscomment=&quot;0&quot;&gt;&lt;SELECT&gt;/BBOOK/DATAPROVIDER[./META/PROPS/ID='CDTR']/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0.36&lt;/DATE&gt;&lt;DYNAMIZEDBY&gt;vignoal&lt;/DYNAMIZEDBY&gt;&lt;DYNAMIZEDON&gt;25/03/2015 08:50:09&lt;/DYNAMIZEDON&gt;&lt;LASTUPDATEDBY&gt;carlben&lt;/LASTUPDATEDBY&gt;&lt;LASTUPDATEDON&gt;5/28/2019 10:10:40 AM&lt;/LASTUPDATEDON&gt;&lt;UTC&gt;1&lt;/UTC&gt;&lt;/UPDATE&gt;&lt;QUERIES bbk=&quot;14177&quot; bbkdesc=&quot;2018 Annual Accounts/EDF Annual Accounts/DC - Credit risk&quot; datapro=&quot;FARC&quot; tdatapro=&quot;FARC&quot; author=&quot;&quot; modtime=&quot;5/28/2019 10:10:36 AM&quot; moduser=&quot;carlben&quot; rolluptime=&quot;&quot; syuser=&quot;carlben&quot; syuzeit=&quot;5/28/2019 10:10:36 AM&quot; root=&quot;/BBOOK/DATAPROVIDER[./META/PROPS/ID='FARC']/DATA&quot; colcount=&quot;7&quot; rowcount=&quot;14&quot; url=&quot;&quot; dynamizeds=&quot;SAP Disclosure Management - Production&quot; dynamizedstype=&quot;9&quot; refreshds=&quot;&quot; viewtype=&quot;1&quot;&gt;&lt;QUERY reftype=&quot;ABS&quot; elmntsel=&quot;TABLE&quot; bbk=&quot;14177&quot; bbkdesc=&quot;2018 Annual Accounts/EDF Annual Accounts/DC - Credit risk&quot; datapro=&quot;FARC&quot; infos=&quot;&quot; iscomment=&quot;0&quot;&gt;&lt;SELECT&gt;/BBOOK/DATAPROVIDER[./META/PROPS/ID='FARC']/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preutan&lt;/DYNAMIZEDBY&gt;&lt;DYNAMIZEDON&gt;17/05/2017 13:06:50&lt;/DYNAMIZEDON&gt;&lt;LASTUPDATEDBY&gt;carlben&lt;/LASTUPDATEDBY&gt;&lt;LASTUPDATEDON&gt;5/28/2019 10:10:57 AM&lt;/LASTUPDATEDON&gt;&lt;UTC&gt;1&lt;/UTC&gt;&lt;/UPDATE&gt;&lt;QUERIES bbk=&quot;14178&quot; bbkdesc=&quot;2018 Annual Accounts/EDF Annual Accounts/DC - Maturity analysis of financial liabilities&quot; datapro=&quot;LR&quot; tdatapro=&quot;LR&quot; author=&quot;&quot; modtime=&quot;5/28/2019 10:10:43 AM&quot; moduser=&quot;carlben&quot; rolluptime=&quot;&quot; syuser=&quot;carlben&quot; syuzeit=&quot;5/28/2019 10:10:43 AM&quot; root=&quot;/BBOOK/DATAPROVIDER[./META/PROPS/ID='LR']/DATA&quot; colcount=&quot;5&quot; rowcount=&quot;6&quot; url=&quot;&quot; dynamizeds=&quot;SAP Disclosure Management - Production&quot; dynamizedstype=&quot;9&quot; refreshds=&quot;&quot; viewtype=&quot;1&quot;&gt;&lt;QUERY reftype=&quot;ABS&quot; elmntsel=&quot;TABLE&quot; bbk=&quot;14178&quot; bbkdesc=&quot;2018 Annual Accounts/EDF Annual Accounts/DC - Maturity analysis of financial liabilities&quot; datapro=&quot;LR&quot; infos=&quot;&quot; iscomment=&quot;0&quot;&gt;&lt;SELECT&gt;/BBOOK/DATAPROVIDER[./META/PROPS/ID='LR']/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wittaan&lt;/DYNAMIZEDBY&gt;&lt;DYNAMIZEDON&gt;3/23/2018 11:02:34 AM&lt;/DYNAMIZEDON&gt;&lt;LASTUPDATEDBY&gt;carlben&lt;/LASTUPDATEDBY&gt;&lt;LASTUPDATEDON&gt;5/28/2019 10:10:21 AM&lt;/LASTUPDATEDON&gt;&lt;UTC&gt;1&lt;/UTC&gt;&lt;/UPDATE&gt;&lt;QUERIES bbk=&quot;14115&quot; bbkdesc=&quot;2018 Annual Accounts/EDF Annual Accounts/DC - Economic result and Budget result&quot; datapro=&quot;ECRBDGR&quot; tdatapro=&quot;ECRBDGR&quot; author=&quot;&quot; modtime=&quot;5/28/2019 10:07:15 AM&quot; moduser=&quot;carlben&quot; rolluptime=&quot;&quot; syuser=&quot;carlben&quot; syuzeit=&quot;5/28/2019 10:07:15 AM&quot; root=&quot;/BBOOK/DATAPROVIDER[./META/PROPS/ID='ECRBDGR']/DATA&quot; colcount=&quot;3&quot; rowcount=&quot;19&quot; url=&quot;&quot; dynamizeds=&quot;SAP Disclosure Management - Production&quot; dynamizedstype=&quot;9&quot; refreshds=&quot;&quot; viewtype=&quot;1&quot;&gt;&lt;QUERY reftype=&quot;ABS&quot; elmntsel=&quot;TABLE&quot; bbk=&quot;14115&quot; bbkdesc=&quot;2018 Annual Accounts/EDF Annual Accounts/DC - Economic result and Budget result&quot; datapro=&quot;ECRBDGR&quot; infos=&quot;&quot; iscomment=&quot;0&quot;&gt;&lt;SELECT&gt;/BBOOK/DATAPROVIDER[./META/PROPS/ID='ECRBDGR']/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2060&lt;/FLCID&gt;&lt;RELATION&gt;&lt;/RELATION&gt;&lt;LINKED&gt;&lt;/LINKED&gt;&lt;SVALUE&gt;&lt;/SVALUE&gt;&lt;INFO&gt;&lt;/INFO&gt;&lt;/META&gt;&lt;UPDATE&gt;&lt;DATE&gt;10.1.10.2&lt;/DATE&gt;&lt;DYNAMIZEDBY&gt;carlben&lt;/DYNAMIZEDBY&gt;&lt;DYNAMIZEDON&gt;11-03-2019 15:15:43&lt;/DYNAMIZEDON&gt;&lt;LASTUPDATEDBY&gt;carlben&lt;/LASTUPDATEDBY&gt;&lt;LASTUPDATEDON&gt;5/28/2019 10:10:58 AM&lt;/LASTUPDATEDON&gt;&lt;UTC&gt;1&lt;/UTC&gt;&lt;/UPDATE&gt;&lt;QUERIES bbk=&quot;13470&quot; bbkdesc=&quot;2018 Annual Accounts/BEKOU Annual accounts/DC - Balance Sheet&quot; datapro=&quot;BS&quot; tdatapro=&quot;BS&quot; author=&quot;&quot; modtime=&quot;2/6/2015 10:28:46 AM&quot; moduser=&quot;vignale&quot; rolluptime=&quot;&quot; syuser=&quot;vignale&quot; syuzeit=&quot;2/6/2015 10:28:46 AM&quot; root=&quot;/DATA&quot; colcount=&quot;4&quot; rowcount=&quot;38&quot; url=&quot;&quot; dynamizeds=&quot;SAP Disclosure Management - Production&quot; dynamizedstype=&quot;9&quot; refreshds=&quot;&quot; viewtype=&quot;1&quot;&gt;&lt;QUERY reftype=&quot;ABS&quot; elmntsel=&quot;TABLE&quot; bbk=&quot;13470&quot; bbkdesc=&quot;2018 Annual Accounts/BEKOU Annual accounts/DC - Balance Sheet&quot; datapro=&quot;BS&quot; infos=&quot;&quot; iscomment=&quot;0&quot;&gt;&lt;SELECT&gt;/BBOOK/DATAPROVIDER[./META/PROPS/ID='BS']/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2/10/2017 3:48:59 PM&lt;/DYNAMIZEDON&gt;&lt;LASTUPDATEDBY&gt;carlben&lt;/LASTUPDATEDBY&gt;&lt;LASTUPDATEDON&gt;5/28/2019 10:10:59 AM&lt;/LASTUPDATEDON&gt;&lt;UTC&gt;1&lt;/UTC&gt;&lt;/UPDATE&gt;&lt;QUERIES bbk=&quot;13472&quot; bbkdesc=&quot;2018 Annual Accounts/BEKOU Annual accounts/DC - Statement of Financial Performance&quot; datapro=&quot;FP&quot; tdatapro=&quot;FP&quot; author=&quot;&quot; modtime=&quot;11/16/2015 11:13:17 AM&quot; moduser=&quot;vanbena&quot; rolluptime=&quot;&quot; syuser=&quot;vanbena&quot; syuzeit=&quot;11/16/2015 11:13:17 AM&quot; root=&quot;/DATA&quot; colcount=&quot;4&quot; rowcount=&quot;19&quot; url=&quot;&quot; dynamizeds=&quot;SAP Disclosure Management - Production&quot; dynamizedstype=&quot;9&quot; refreshds=&quot;&quot; viewtype=&quot;1&quot;&gt;&lt;QUERY reftype=&quot;ABS&quot; elmntsel=&quot;TABLE&quot; bbk=&quot;13472&quot; bbkdesc=&quot;2018 Annual Accounts/BEKOU Annual accounts/DC - Statement of Financial Performance&quot; datapro=&quot;FP&quot; infos=&quot;&quot; iscomment=&quot;0&quot;&gt;&lt;SELECT&gt;/BBOOK/DATAPROVIDER[./META/PROPS/ID='FP']/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10.2&lt;/DATE&gt;&lt;DYNAMIZEDBY&gt;carlben&lt;/DYNAMIZEDBY&gt;&lt;DYNAMIZEDON&gt;2/5/2018 9:21:35 AM&lt;/DYNAMIZEDON&gt;&lt;LASTUPDATEDBY&gt;carlben&lt;/LASTUPDATEDBY&gt;&lt;LASTUPDATEDON&gt;5/28/2019 10:10:58 AM&lt;/LASTUPDATEDON&gt;&lt;UTC&gt;1&lt;/UTC&gt;&lt;/UPDATE&gt;&lt;QUERIES bbk=&quot;13482&quot; bbkdesc=&quot;2018 Annual Accounts/BEKOU Annual accounts/DC Cashflow statement Bekou&quot; datapro=&quot;CF&quot; tdatapro=&quot;CF&quot; author=&quot;&quot; modtime=&quot;1/10/2017 3:14:35 PM&quot; moduser=&quot;MILOTLU&quot; rolluptime=&quot;&quot; syuser=&quot;MILOTLU&quot; syuzeit=&quot;1/10/2017 3:14:35 PM&quot; root=&quot;/DATA&quot; colcount=&quot;3&quot; rowcount=&quot;18&quot; url=&quot;&quot; dynamizeds=&quot;SAP Disclosure Management - Production&quot; dynamizedstype=&quot;9&quot; refreshds=&quot;&quot; viewtype=&quot;1&quot;&gt;&lt;QUERY reftype=&quot;ABS&quot; elmntsel=&quot;TABLE&quot; bbk=&quot;13482&quot; bbkdesc=&quot;2018 Annual Accounts/BEKOU Annual accounts/DC Cashflow statement Bekou&quot; datapro=&quot;CF&quot; infos=&quot;&quot; iscomment=&quot;0&quot;&gt;&lt;SELECT&gt;/BBOOK/DATAPROVIDER[./META/PROPS/ID='CF']/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7/10/2016 08:36:12&lt;/DYNAMIZEDON&gt;&lt;LASTUPDATEDBY&gt;carlben&lt;/LASTUPDATEDBY&gt;&lt;LASTUPDATEDON&gt;5/28/2019 10:10:59 AM&lt;/LASTUPDATEDON&gt;&lt;UTC&gt;1&lt;/UTC&gt;&lt;/UPDATE&gt;&lt;QUERIES bbk=&quot;13474&quot; bbkdesc=&quot;2018 Annual Accounts/BEKOU Annual accounts/DC - Statement of changes in net assets&quot; datapro=&quot;CNA&quot; tdatapro=&quot;CNA&quot; author=&quot;&quot; modtime=&quot;2/6/2015 3:08:13 PM&quot; moduser=&quot;oerboan&quot; rolluptime=&quot;&quot; syuser=&quot;oerboan&quot; syuzeit=&quot;2/6/2015 3:08:13 PM&quot; root=&quot;/DATA&quot; colcount=&quot;4&quot; rowcount=&quot;5&quot; url=&quot;&quot; dynamizeds=&quot;SAP Disclosure Management - Production&quot; dynamizedstype=&quot;9&quot; refreshds=&quot;&quot; viewtype=&quot;1&quot;&gt;&lt;QUERY reftype=&quot;ABS&quot; elmntsel=&quot;TABLE&quot; bbk=&quot;13474&quot; bbkdesc=&quot;2018 Annual Accounts/BEKOU Annual accounts/DC - Statement of changes in net assets&quot; datapro=&quot;CNA&quot; infos=&quot;&quot; iscomment=&quot;0&quot;&gt;&lt;SELECT&gt;/BBOOK/DATAPROVIDER[./META/PROPS/ID='CNA']/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10.2&lt;/DATE&gt;&lt;DYNAMIZEDBY&gt;carlben&lt;/DYNAMIZEDBY&gt;&lt;DYNAMIZEDON&gt;18/10/2017 12:45:38&lt;/DYNAMIZEDON&gt;&lt;LASTUPDATEDBY&gt;carlben&lt;/LASTUPDATEDBY&gt;&lt;LASTUPDATEDON&gt;5/28/2019 10:15:26 AM&lt;/LASTUPDATEDON&gt;&lt;UTC&gt;1&lt;/UTC&gt;&lt;/UPDATE&gt;&lt;QUERIES bbk=&quot;13309&quot; bbkdesc=&quot;2018 Annual Accounts/AFRICA EU Annual Accounts/DC - Balance Sheet&quot; datapro=&quot;BS&quot; tdatapro=&quot;BS&quot; author=&quot;&quot; modtime=&quot;2/6/2015 10:28:46 AM&quot; moduser=&quot;vignale&quot; rolluptime=&quot;&quot; syuser=&quot;vignale&quot; syuzeit=&quot;2/6/2015 10:28:46 AM&quot; root=&quot;/DATA&quot; colcount=&quot;4&quot; rowcount=&quot;38&quot; url=&quot;&quot; dynamizeds=&quot;SAP Disclosure Management - Production&quot; dynamizedstype=&quot;9&quot; refreshds=&quot;&quot; viewtype=&quot;1&quot;&gt;&lt;QUERY reftype=&quot;ABS&quot; elmntsel=&quot;TABLE&quot; bbk=&quot;13309&quot; bbkdesc=&quot;2018 Annual Accounts/AFRICA EU Annual Accounts/DC - Balance Sheet&quot; datapro=&quot;BS&quot; infos=&quot;&quot; iscomment=&quot;0&quot;&gt;&lt;SELECT&gt;/BBOOK/DATAPROVIDER[./META/PROPS/ID='BS']/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2057&lt;/FLCID&gt;&lt;RELATION&gt;&lt;/RELATION&gt;&lt;LINKED&gt;&lt;/LINKED&gt;&lt;SVALUE&gt;&lt;/SVALUE&gt;&lt;INFO&gt;&lt;/INFO&gt;&lt;/META&gt;&lt;UPDATE&gt;&lt;DATE&gt;10.1.6.35&lt;/DATE&gt;&lt;DYNAMIZEDBY&gt;milotlu&lt;/DYNAMIZEDBY&gt;&lt;DYNAMIZEDON&gt;2/10/2017 5:40:39 PM&lt;/DYNAMIZEDON&gt;&lt;LASTUPDATEDBY&gt;carlben&lt;/LASTUPDATEDBY&gt;&lt;LASTUPDATEDON&gt;5/28/2019 10:15:26 AM&lt;/LASTUPDATEDON&gt;&lt;UTC&gt;1&lt;/UTC&gt;&lt;/UPDATE&gt;&lt;QUERIES bbk=&quot;13311&quot; bbkdesc=&quot;2018 Annual Accounts/AFRICA EU Annual Accounts/DC - Statement of Financial Performance&quot; datapro=&quot;FP&quot; tdatapro=&quot;FP&quot; author=&quot;&quot; modtime=&quot;11/16/2015 11:13:17 AM&quot; moduser=&quot;vanbena&quot; rolluptime=&quot;&quot; syuser=&quot;vanbena&quot; syuzeit=&quot;11/16/2015 11:13:17 AM&quot; root=&quot;/DATA&quot; colcount=&quot;4&quot; rowcount=&quot;19&quot; url=&quot;&quot; dynamizeds=&quot;SAP Disclosure Management - Production&quot; dynamizedstype=&quot;9&quot; refreshds=&quot;&quot; viewtype=&quot;1&quot;&gt;&lt;QUERY reftype=&quot;ABS&quot; elmntsel=&quot;TABLE&quot; bbk=&quot;13311&quot; bbkdesc=&quot;2018 Annual Accounts/AFRICA EU Annual Accounts/DC - Statement of Financial Performance&quot; datapro=&quot;FP&quot; infos=&quot;&quot; iscomment=&quot;0&quot;&gt;&lt;SELECT&gt;/BBOOK/DATAPROVIDER[./META/PROPS/ID='FP']/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2057&lt;/FLCID&gt;&lt;RELATION&gt;&lt;/RELATION&gt;&lt;LINKED&gt;&lt;/LINKED&gt;&lt;SVALUE&gt;&lt;/SVALUE&gt;&lt;INFO&gt;&lt;/INFO&gt;&lt;/META&gt;&lt;UPDATE&gt;&lt;DATE&gt;10.1.10.2&lt;/DATE&gt;&lt;DYNAMIZEDBY&gt;carlben&lt;/DYNAMIZEDBY&gt;&lt;DYNAMIZEDON&gt;18/10/2017 12:51:39&lt;/DYNAMIZEDON&gt;&lt;LASTUPDATEDBY&gt;carlben&lt;/LASTUPDATEDBY&gt;&lt;LASTUPDATEDON&gt;5/28/2019 10:15:25 AM&lt;/LASTUPDATEDON&gt;&lt;UTC&gt;1&lt;/UTC&gt;&lt;/UPDATE&gt;&lt;QUERIES bbk=&quot;13323&quot; bbkdesc=&quot;2018 Annual Accounts/AFRICA EU Annual Accounts/DC Cashflow statement Africa&quot; datapro=&quot;CF&quot; tdatapro=&quot;CF&quot; author=&quot;&quot; modtime=&quot;10/17/2017 3:00:09 PM&quot; moduser=&quot;carlben&quot; rolluptime=&quot;&quot; syuser=&quot;carlben&quot; syuzeit=&quot;10/17/2017 3:00:09 PM&quot; root=&quot;/DATA&quot; colcount=&quot;3&quot; rowcount=&quot;18&quot; url=&quot;&quot; dynamizeds=&quot;SAP Disclosure Management - Production&quot; dynamizedstype=&quot;9&quot; refreshds=&quot;&quot; viewtype=&quot;1&quot;&gt;&lt;QUERY reftype=&quot;ABS&quot; elmntsel=&quot;TABLE&quot; bbk=&quot;13323&quot; bbkdesc=&quot;2018 Annual Accounts/AFRICA EU Annual Accounts/DC Cashflow statement Africa&quot; datapro=&quot;CF&quot; infos=&quot;&quot; iscomment=&quot;0&quot;&gt;&lt;SELECT&gt;/BBOOK/DATAPROVIDER[./META/PROPS/ID='CF']/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7/10/2016 08:36:12&lt;/DYNAMIZEDON&gt;&lt;LASTUPDATEDBY&gt;carlben&lt;/LASTUPDATEDBY&gt;&lt;LASTUPDATEDON&gt;5/28/2019 10:15:27 AM&lt;/LASTUPDATEDON&gt;&lt;UTC&gt;1&lt;/UTC&gt;&lt;/UPDATE&gt;&lt;QUERIES bbk=&quot;13313&quot; bbkdesc=&quot;2018 Annual Accounts/AFRICA EU Annual Accounts/DC - Statement of changes in net assets&quot; datapro=&quot;CNA&quot; tdatapro=&quot;CNA&quot; author=&quot;&quot; modtime=&quot;2/6/2015 3:08:13 PM&quot; moduser=&quot;oerboan&quot; rolluptime=&quot;&quot; syuser=&quot;oerboan&quot; syuzeit=&quot;2/6/2015 3:08:13 PM&quot; root=&quot;/DATA&quot; colcount=&quot;4&quot; rowcount=&quot;5&quot; url=&quot;&quot; dynamizeds=&quot;SAP Disclosure Management - Production&quot; dynamizedstype=&quot;9&quot; refreshds=&quot;&quot; viewtype=&quot;1&quot;&gt;&lt;QUERY reftype=&quot;ABS&quot; elmntsel=&quot;TABLE&quot; bbk=&quot;13313&quot; bbkdesc=&quot;2018 Annual Accounts/AFRICA EU Annual Accounts/DC - Statement of changes in net assets&quot; datapro=&quot;CNA&quot; infos=&quot;&quot; iscomment=&quot;0&quot;&gt;&lt;SELECT&gt;/BBOOK/DATAPROVIDER[./META/PROPS/ID='CNA']/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wittaan&lt;/DYNAMIZEDBY&gt;&lt;DYNAMIZEDON&gt;3/23/2018 1:14:13 PM&lt;/DYNAMIZEDON&gt;&lt;LASTUPDATEDBY&gt;carlben&lt;/LASTUPDATEDBY&gt;&lt;LASTUPDATEDON&gt;5/28/2019 10:07:22 AM&lt;/LASTUPDATEDON&gt;&lt;UTC&gt;1&lt;/UTC&gt;&lt;/UPDATE&gt;&lt;QUERIES bbk=&quot;14191&quot; bbkdesc=&quot;2018 Annual Accounts/EDF Annual Accounts/DC-Conso BS&quot; datapro=&quot;CONSBS&quot; tdatapro=&quot;CONSBS&quot; author=&quot;&quot; modtime=&quot;3/22/2018 3:45:40 PM&quot; moduser=&quot;wittaan&quot; rolluptime=&quot;&quot; syuser=&quot;wittaan&quot; syuzeit=&quot;3/22/2018 3:45:40 PM&quot; root=&quot;/DATA&quot; colcount=&quot;3&quot; rowcount=&quot;33&quot; url=&quot;&quot; dynamizeds=&quot;SAP Disclosure Management - Production&quot; dynamizedstype=&quot;9&quot; refreshds=&quot;&quot; viewtype=&quot;1&quot;&gt;&lt;QUERY reftype=&quot;ABS&quot; elmntsel=&quot;TABLE&quot; bbk=&quot;14191&quot; bbkdesc=&quot;2018 Annual Accounts/EDF Annual Accounts/DC-Conso BS&quot; datapro=&quot;CONSBS&quot; infos=&quot;&quot; iscomment=&quot;0&quot;&gt;&lt;SELECT&gt;/BBOOK/DATAPROVIDER[./META/PROPS/ID='CONSBS']/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21/03/2017 14:15:26&lt;/DYNAMIZEDON&gt;&lt;LASTUPDATEDBY&gt;carlben&lt;/LASTUPDATEDBY&gt;&lt;LASTUPDATEDON&gt;5/28/2019 10:10:18 AM&lt;/LASTUPDATEDON&gt;&lt;UTC&gt;1&lt;/UTC&gt;&lt;/UPDATE&gt;&lt;QUERIES bbk=&quot;14201&quot; bbkdesc=&quot;2018 Annual Accounts/EDF Annual Accounts/DC-Conso PL&quot; datapro=&quot;CONSPL&quot; tdatapro=&quot;CONSPL&quot; author=&quot;&quot; modtime=&quot;5/28/2019 10:09:59 AM&quot; moduser=&quot;carlben&quot; rolluptime=&quot;&quot; syuser=&quot;carlben&quot; syuzeit=&quot;5/28/2019 10:09:59 AM&quot; root=&quot;/BBOOK/DATAPROVIDER[./META/PROPS/ID='CONSPL']/DATA&quot; colcount=&quot;3&quot; rowcount=&quot;21&quot; url=&quot;&quot; dynamizeds=&quot;SAP Disclosure Management - Production&quot; dynamizedstype=&quot;9&quot; refreshds=&quot;&quot; viewtype=&quot;1&quot;&gt;&lt;QUERY reftype=&quot;ABS&quot; elmntsel=&quot;TABLE&quot; bbk=&quot;14201&quot; bbkdesc=&quot;2018 Annual Accounts/EDF Annual Accounts/DC-Conso PL&quot; datapro=&quot;CONSPL&quot; infos=&quot;&quot; iscomment=&quot;0&quot;&gt;&lt;SELECT&gt;/BBOOK/DATAPROVIDER[./META/PROPS/ID='CONSPL']/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wittaan&lt;/DYNAMIZEDBY&gt;&lt;DYNAMIZEDON&gt;22/03/2018 16:26:37&lt;/DYNAMIZEDON&gt;&lt;LASTUPDATEDBY&gt;carlben&lt;/LASTUPDATEDBY&gt;&lt;LASTUPDATEDON&gt;5/28/2019 9:58:08 AM&lt;/LASTUPDATEDON&gt;&lt;UTC&gt;1&lt;/UTC&gt;&lt;/UPDATE&gt;&lt;QUERIES bbk=&quot;14157&quot; bbkdesc=&quot;2018 Annual Accounts/EDF Annual Accounts/DC - consolidated CF EDF-TFs&quot; datapro=&quot;CF&quot; tdatapro=&quot;CF&quot; author=&quot;&quot; modtime=&quot;5/28/2019 9:57:57 AM&quot; moduser=&quot;carlben&quot; rolluptime=&quot;&quot; syuser=&quot;carlben&quot; syuzeit=&quot;5/28/2019 9:57:57 AM&quot; root=&quot;/BBOOK/DATAPROVIDER[./META/PROPS/ID='CF']/DATA&quot; colcount=&quot;3&quot; rowcount=&quot;22&quot; url=&quot;&quot; dynamizeds=&quot;SAP Disclosure Management - Production&quot; dynamizedstype=&quot;9&quot; refreshds=&quot;&quot; viewtype=&quot;1&quot;&gt;&lt;QUERY reftype=&quot;ABS&quot; elmntsel=&quot;TABLE&quot; bbk=&quot;14157&quot; bbkdesc=&quot;2018 Annual Accounts/EDF Annual Accounts/DC - consolidated CF EDF-TFs&quot; datapro=&quot;CF&quot; infos=&quot;&quot; iscomment=&quot;0&quot;&gt;&lt;SELECT&gt;/BBOOK/DATAPROVIDER[./META/PROPS/ID='CF']/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WITTAAN&lt;/DYNAMIZEDBY&gt;&lt;DYNAMIZEDON&gt;20-03-2019 14:10:04&lt;/DYNAMIZEDON&gt;&lt;LASTUPDATEDBY&gt;carlben&lt;/LASTUPDATEDBY&gt;&lt;LASTUPDATEDON&gt;5/28/2019 10:07:43 AM&lt;/LASTUPDATEDON&gt;&lt;UTC&gt;1&lt;/UTC&gt;&lt;/UPDATE&gt;&lt;QUERIES bbk=&quot;14071&quot; bbkdesc=&quot;2018 Annual Accounts/EDF Annual Accounts/DC - Conso statement net assets EDF-TFs&quot; datapro=&quot;CNA&quot; tdatapro=&quot;CNA&quot; author=&quot;&quot; modtime=&quot;3/24/2017 1:09:56 PM&quot; moduser=&quot;MILOTLU&quot; rolluptime=&quot;&quot; syuser=&quot;MILOTLU&quot; syuzeit=&quot;3/24/2017 1:09:56 PM&quot; root=&quot;/DATA&quot; colcount=&quot;7&quot; rowcount=&quot;13&quot; url=&quot;&quot; dynamizeds=&quot;SAP Disclosure Management - Production&quot; dynamizedstype=&quot;9&quot; refreshds=&quot;&quot; viewtype=&quot;1&quot;&gt;&lt;QUERY reftype=&quot;ABS&quot; elmntsel=&quot;TABLE&quot; bbk=&quot;14071&quot; bbkdesc=&quot;2018 Annual Accounts/EDF Annual Accounts/DC - Conso statement net assets EDF-TFs&quot; datapro=&quot;CNA&quot; infos=&quot;&quot; iscomment=&quot;0&quot;&gt;&lt;SELECT&gt;/BBOOK/DATAPROVIDER[./META/PROPS/ID='CNA']/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8-11-2018 14:43:56&lt;/DYNAMIZEDON&gt;&lt;LASTUPDATEDBY&gt;carlben&lt;/LASTUPDATEDBY&gt;&lt;LASTUPDATEDON&gt;5/28/2019 10:15:28 AM&lt;/LASTUPDATEDON&gt;&lt;UTC&gt;1&lt;/UTC&gt;&lt;/UPDATE&gt;&lt;QUERIES bbk=&quot;15549&quot; bbkdesc=&quot;2018 Annual Accounts/EDF Annual Accounts/DC for Report Implementation DEVCO (For File 2 3 4)&quot; datapro=&quot;BIP_Table_1.1&quot; tdatapro=&quot;BIP_Table_1.1&quot; author=&quot;&quot; modtime=&quot;11/28/2018 2:21:36 PM&quot; moduser=&quot;kythrst&quot; rolluptime=&quot;&quot; syuser=&quot;kythrst&quot; syuzeit=&quot;11/28/2018 2:21:36 PM&quot; root=&quot;/DATA&quot; colcount=&quot;8&quot; rowcount=&quot;34&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1.1&quot; infos=&quot;&quot; iscomment=&quot;0&quot;&gt;&lt;SELECT&gt;/BBOOK/DATAPROVIDER[./META/PROPS/ID='BIP_Table_1.1']/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8-11-2018 14:54:21&lt;/DYNAMIZEDON&gt;&lt;LASTUPDATEDBY&gt;carlben&lt;/LASTUPDATEDBY&gt;&lt;LASTUPDATEDON&gt;5/28/2019 10:15:28 AM&lt;/LASTUPDATEDON&gt;&lt;UTC&gt;1&lt;/UTC&gt;&lt;/UPDATE&gt;&lt;QUERIES bbk=&quot;15549&quot; bbkdesc=&quot;2018 Annual Accounts/EDF Annual Accounts/DC for Report Implementation DEVCO (For File 2 3 4)&quot; datapro=&quot;BIP_Table_1.2&quot; tdatapro=&quot;BIP_Table_1.2&quot; author=&quot;&quot; modtime=&quot;3/22/2019 1:56:51 PM&quot; moduser=&quot;kythrst&quot; rolluptime=&quot;&quot; syuser=&quot;kythrst&quot; syuzeit=&quot;3/22/2019 1:56:51 PM&quot; root=&quot;/BBOOK/DATAPROVIDER[./META/PROPS/ID='BIP_Table_1.2']/DATA&quot; colcount=&quot;8&quot; rowcount=&quot;41&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1.2&quot; infos=&quot;&quot; iscomment=&quot;0&quot;&gt;&lt;SELECT&gt;/BBOOK/DATAPROVIDER[./META/PROPS/ID='BIP_Table_1.2']/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8-11-2018 15:21:57&lt;/DYNAMIZEDON&gt;&lt;LASTUPDATEDBY&gt;carlben&lt;/LASTUPDATEDBY&gt;&lt;LASTUPDATEDON&gt;5/28/2019 10:15:28 AM&lt;/LASTUPDATEDON&gt;&lt;UTC&gt;1&lt;/UTC&gt;&lt;/UPDATE&gt;&lt;QUERIES bbk=&quot;15549&quot; bbkdesc=&quot;2018 Annual Accounts/EDF Annual Accounts/DC for Report Implementation DEVCO (For File 2 3 4)&quot; datapro=&quot;BIP_Table_1.3&quot; tdatapro=&quot;BIP_Table_1.3&quot; author=&quot;&quot; modtime=&quot;3/22/2019 1:56:51 PM&quot; moduser=&quot;kythrst&quot; rolluptime=&quot;&quot; syuser=&quot;kythrst&quot; syuzeit=&quot;3/22/2019 1:56:51 PM&quot; root=&quot;/BBOOK/DATAPROVIDER[./META/PROPS/ID='BIP_Table_1.3']/DATA&quot; colcount=&quot;8&quot; rowcount=&quot;43&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1.3&quot; infos=&quot;&quot; iscomment=&quot;0&quot;&gt;&lt;SELECT&gt;/BBOOK/DATAPROVIDER[./META/PROPS/ID='BIP_Table_1.3']/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8-11-2018 15:46:15&lt;/DYNAMIZEDON&gt;&lt;LASTUPDATEDBY&gt;carlben&lt;/LASTUPDATEDBY&gt;&lt;LASTUPDATEDON&gt;5/28/2019 10:15:28 AM&lt;/LASTUPDATEDON&gt;&lt;UTC&gt;1&lt;/UTC&gt;&lt;/UPDATE&gt;&lt;QUERIES bbk=&quot;15549&quot; bbkdesc=&quot;2018 Annual Accounts/EDF Annual Accounts/DC for Report Implementation DEVCO (For File 2 3 4)&quot; datapro=&quot;BIP_Table_1.4&quot; tdatapro=&quot;BIP_Table_1.4&quot; author=&quot;&quot; modtime=&quot;3/22/2019 1:56:51 PM&quot; moduser=&quot;kythrst&quot; rolluptime=&quot;&quot; syuser=&quot;kythrst&quot; syuzeit=&quot;3/22/2019 1:56:51 PM&quot; root=&quot;/BBOOK/DATAPROVIDER[./META/PROPS/ID='BIP_Table_1.4']/DATA&quot; colcount=&quot;8&quot; rowcount=&quot;49&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1.4&quot; infos=&quot;&quot; iscomment=&quot;0&quot;&gt;&lt;SELECT&gt;/BBOOK/DATAPROVIDER[./META/PROPS/ID='BIP_Table_1.4']/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10.2&lt;/DATE&gt;&lt;DYNAMIZEDBY&gt;kythrst&lt;/DYNAMIZEDBY&gt;&lt;DYNAMIZEDON&gt;3/22/2019 1:31:22 PM&lt;/DYNAMIZEDON&gt;&lt;LASTUPDATEDBY&gt;carlben&lt;/LASTUPDATEDBY&gt;&lt;LASTUPDATEDON&gt;5/28/2019 10:15:32 AM&lt;/LASTUPDATEDON&gt;&lt;UTC&gt;1&lt;/UTC&gt;&lt;/UPDATE&gt;&lt;QUERIES bbk=&quot;15549&quot; bbkdesc=&quot;2018 Annual Accounts/EDF Annual Accounts/DC for Report Implementation DEVCO (For File 2 3 4)&quot; datapro=&quot;BIP_Table_2.1a&quot; tdatapro=&quot;BIP_Table_2.1a&quot; author=&quot;&quot; modtime=&quot;3/22/2019 1:56:51 PM&quot; moduser=&quot;kythrst&quot; rolluptime=&quot;&quot; syuser=&quot;kythrst&quot; syuzeit=&quot;3/22/2019 1:56:51 PM&quot; root=&quot;/BBOOK/DATAPROVIDER[./META/PROPS/ID='BIP_Table_2.1a']/DATA&quot; colcount=&quot;11&quot; rowcount=&quot;38&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1a&quot; infos=&quot;&quot; iscomment=&quot;0&quot;&gt;&lt;SELECT&gt;/BBOOK/DATAPROVIDER[./META/PROPS/ID='BIP_Table_2.1a']/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10.2&lt;/DATE&gt;&lt;DYNAMIZEDBY&gt;kythrst&lt;/DYNAMIZEDBY&gt;&lt;DYNAMIZEDON&gt;3/22/2019 1:53:23 PM&lt;/DYNAMIZEDON&gt;&lt;LASTUPDATEDBY&gt;carlben&lt;/LASTUPDATEDBY&gt;&lt;LASTUPDATEDON&gt;5/28/2019 10:15:32 AM&lt;/LASTUPDATEDON&gt;&lt;UTC&gt;1&lt;/UTC&gt;&lt;/UPDATE&gt;&lt;QUERIES bbk=&quot;15549&quot; bbkdesc=&quot;2018 Annual Accounts/EDF Annual Accounts/DC for Report Implementation DEVCO (For File 2 3 4)&quot; datapro=&quot;BIP_Table_2.1b&quot; tdatapro=&quot;BIP_Table_2.1b&quot; author=&quot;&quot; modtime=&quot;3/22/2019 1:56:51 PM&quot; moduser=&quot;kythrst&quot; rolluptime=&quot;&quot; syuser=&quot;kythrst&quot; syuzeit=&quot;3/22/2019 1:56:51 PM&quot; root=&quot;/BBOOK/DATAPROVIDER[./META/PROPS/ID='BIP_Table_2.1b']/DATA&quot; colcount=&quot;17&quot; rowcount=&quot;23&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1b&quot; infos=&quot;&quot; iscomment=&quot;0&quot;&gt;&lt;SELECT&gt;/BBOOK/DATAPROVIDER[./META/PROPS/ID='BIP_Table_2.1b']/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3/22/2019 11:10:09 AM&lt;/DYNAMIZEDON&gt;&lt;LASTUPDATEDBY&gt;carlben&lt;/LASTUPDATEDBY&gt;&lt;LASTUPDATEDON&gt;5/28/2019 10:15:29 AM&lt;/LASTUPDATEDON&gt;&lt;UTC&gt;1&lt;/UTC&gt;&lt;/UPDATE&gt;&lt;QUERIES bbk=&quot;15549&quot; bbkdesc=&quot;2018 Annual Accounts/EDF Annual Accounts/DC for Report Implementation DEVCO (For File 2 3 4)&quot; datapro=&quot;BIP_Table2.2.1&quot; tdatapro=&quot;BIP_Table2.2.1&quot; author=&quot;&quot; modtime=&quot;3/22/2019 1:56:51 PM&quot; moduser=&quot;kythrst&quot; rolluptime=&quot;&quot; syuser=&quot;kythrst&quot; syuzeit=&quot;3/22/2019 1:56:51 PM&quot; root=&quot;/BBOOK/DATAPROVIDER[./META/PROPS/ID='BIP_Table2.2.1']/DATA&quot; colcount=&quot;18&quot; rowcount=&quot;112&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2.2.1&quot; infos=&quot;&quot; iscomment=&quot;0&quot;&gt;&lt;SELECT&gt;/BBOOK/DATAPROVIDER[./META/PROPS/ID='BIP_Table2.2.1']/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3/22/2019 11:53:07 AM&lt;/DYNAMIZEDON&gt;&lt;LASTUPDATEDBY&gt;carlben&lt;/LASTUPDATEDBY&gt;&lt;LASTUPDATEDON&gt;5/28/2019 10:15:29 AM&lt;/LASTUPDATEDON&gt;&lt;UTC&gt;1&lt;/UTC&gt;&lt;/UPDATE&gt;&lt;QUERIES bbk=&quot;15549&quot; bbkdesc=&quot;2018 Annual Accounts/EDF Annual Accounts/DC for Report Implementation DEVCO (For File 2 3 4)&quot; datapro=&quot;BIP_Table2.2.2&quot; tdatapro=&quot;BIP_Table2.2.2&quot; author=&quot;&quot; modtime=&quot;3/22/2019 1:56:51 PM&quot; moduser=&quot;kythrst&quot; rolluptime=&quot;&quot; syuser=&quot;kythrst&quot; syuzeit=&quot;3/22/2019 1:56:51 PM&quot; root=&quot;/BBOOK/DATAPROVIDER[./META/PROPS/ID='BIP_Table2.2.2']/DATA&quot; colcount=&quot;18&quot; rowcount=&quot;12&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2.2.2&quot; infos=&quot;&quot; iscomment=&quot;0&quot;&gt;&lt;SELECT&gt;/BBOOK/DATAPROVIDER[./META/PROPS/ID='BIP_Table2.2.2']/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3/22/2019 11:53:38 AM&lt;/DYNAMIZEDON&gt;&lt;LASTUPDATEDBY&gt;carlben&lt;/LASTUPDATEDBY&gt;&lt;LASTUPDATEDON&gt;5/28/2019 10:15:29 AM&lt;/LASTUPDATEDON&gt;&lt;UTC&gt;1&lt;/UTC&gt;&lt;/UPDATE&gt;&lt;QUERIES bbk=&quot;15549&quot; bbkdesc=&quot;2018 Annual Accounts/EDF Annual Accounts/DC for Report Implementation DEVCO (For File 2 3 4)&quot; datapro=&quot;BIP_Table2.2.3&quot; tdatapro=&quot;BIP_Table2.2.3&quot; author=&quot;&quot; modtime=&quot;3/22/2019 1:56:51 PM&quot; moduser=&quot;kythrst&quot; rolluptime=&quot;&quot; syuser=&quot;kythrst&quot; syuzeit=&quot;3/22/2019 1:56:51 PM&quot; root=&quot;/BBOOK/DATAPROVIDER[./META/PROPS/ID='BIP_Table2.2.3']/DATA&quot; colcount=&quot;18&quot; rowcount=&quot;10&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2.2.3&quot; infos=&quot;&quot; iscomment=&quot;0&quot;&gt;&lt;SELECT&gt;/BBOOK/DATAPROVIDER[./META/PROPS/ID='BIP_Table2.2.3']/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60&lt;/FLCID&gt;&lt;RELATION&gt;&lt;/RELATION&gt;&lt;LINKED&gt;&lt;/LINKED&gt;&lt;SVALUE&gt;&lt;/SVALUE&gt;&lt;INFO&gt;&lt;/INFO&gt;&lt;/META&gt;&lt;UPDATE&gt;&lt;DATE&gt;10.1.10.2&lt;/DATE&gt;&lt;DYNAMIZEDBY&gt;kythrst&lt;/DYNAMIZEDBY&gt;&lt;DYNAMIZEDON&gt;04-12-2018 17:54:41&lt;/DYNAMIZEDON&gt;&lt;LASTUPDATEDBY&gt;carlben&lt;/LASTUPDATEDBY&gt;&lt;LASTUPDATEDON&gt;5/28/2019 10:15:31 AM&lt;/LASTUPDATEDON&gt;&lt;UTC&gt;1&lt;/UTC&gt;&lt;/UPDATE&gt;&lt;QUERIES bbk=&quot;15549&quot; bbkdesc=&quot;2018 Annual Accounts/EDF Annual Accounts/DC for Report Implementation DEVCO (For File 2 3 4)&quot; datapro=&quot;BIP_Table_2.3&quot; tdatapro=&quot;BIP_Table_2.3&quot; author=&quot;&quot; modtime=&quot;3/22/2019 1:56:51 PM&quot; moduser=&quot;kythrst&quot; rolluptime=&quot;&quot; syuser=&quot;kythrst&quot; syuzeit=&quot;3/22/2019 1:56:51 PM&quot; root=&quot;/BBOOK/DATAPROVIDER[./META/PROPS/ID='BIP_Table_2.3']/DATA&quot; colcount=&quot;15&quot; rowcount=&quot;47&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3&quot; infos=&quot;&quot; iscomment=&quot;0&quot;&gt;&lt;SELECT&gt;/BBOOK/DATAPROVIDER[./META/PROPS/ID='BIP_Table_2.3']/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4-12-2018 17:55:47&lt;/DYNAMIZEDON&gt;&lt;LASTUPDATEDBY&gt;carlben&lt;/LASTUPDATEDBY&gt;&lt;LASTUPDATEDON&gt;5/28/2019 10:15:31 AM&lt;/LASTUPDATEDON&gt;&lt;UTC&gt;1&lt;/UTC&gt;&lt;/UPDATE&gt;&lt;QUERIES bbk=&quot;15549&quot; bbkdesc=&quot;2018 Annual Accounts/EDF Annual Accounts/DC for Report Implementation DEVCO (For File 2 3 4)&quot; datapro=&quot;BIP_Table_2.4&quot; tdatapro=&quot;BIP_Table_2.4&quot; author=&quot;&quot; modtime=&quot;3/22/2019 1:56:51 PM&quot; moduser=&quot;kythrst&quot; rolluptime=&quot;&quot; syuser=&quot;kythrst&quot; syuzeit=&quot;3/22/2019 1:56:51 PM&quot; root=&quot;/BBOOK/DATAPROVIDER[./META/PROPS/ID='BIP_Table_2.4']/DATA&quot; colcount=&quot;15&quot; rowcount=&quot;63&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4&quot; infos=&quot;&quot; iscomment=&quot;0&quot;&gt;&lt;SELECT&gt;/BBOOK/DATAPROVIDER[./META/PROPS/ID='BIP_Table_2.4']/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04-12-2018 17:58:28&lt;/DYNAMIZEDON&gt;&lt;LASTUPDATEDBY&gt;carlben&lt;/LASTUPDATEDBY&gt;&lt;LASTUPDATEDON&gt;5/28/2019 10:15:31 AM&lt;/LASTUPDATEDON&gt;&lt;UTC&gt;1&lt;/UTC&gt;&lt;/UPDATE&gt;&lt;QUERIES bbk=&quot;15549&quot; bbkdesc=&quot;2018 Annual Accounts/EDF Annual Accounts/DC for Report Implementation DEVCO (For File 2 3 4)&quot; datapro=&quot;BIP_Table_2.5&quot; tdatapro=&quot;BIP_Table_2.5&quot; author=&quot;&quot; modtime=&quot;3/22/2019 1:56:51 PM&quot; moduser=&quot;kythrst&quot; rolluptime=&quot;&quot; syuser=&quot;kythrst&quot; syuzeit=&quot;3/22/2019 1:56:51 PM&quot; root=&quot;/BBOOK/DATAPROVIDER[./META/PROPS/ID='BIP_Table_2.5']/DATA&quot; colcount=&quot;15&quot; rowcount=&quot;78&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5&quot; infos=&quot;&quot; iscomment=&quot;0&quot;&gt;&lt;SELECT&gt;/BBOOK/DATAPROVIDER[./META/PROPS/ID='BIP_Table_2.5']/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29-11-2018 09:42:39&lt;/DYNAMIZEDON&gt;&lt;LASTUPDATEDBY&gt;carlben&lt;/LASTUPDATEDBY&gt;&lt;LASTUPDATEDON&gt;5/28/2019 10:15:31 AM&lt;/LASTUPDATEDON&gt;&lt;UTC&gt;1&lt;/UTC&gt;&lt;/UPDATE&gt;&lt;QUERIES bbk=&quot;15549&quot; bbkdesc=&quot;2018 Annual Accounts/EDF Annual Accounts/DC for Report Implementation DEVCO (For File 2 3 4)&quot; datapro=&quot;BIP_Table_2.6&quot; tdatapro=&quot;BIP_Table_2.6&quot; author=&quot;&quot; modtime=&quot;3/22/2019 1:56:51 PM&quot; moduser=&quot;kythrst&quot; rolluptime=&quot;&quot; syuser=&quot;kythrst&quot; syuzeit=&quot;3/22/2019 1:56:51 PM&quot; root=&quot;/BBOOK/DATAPROVIDER[./META/PROPS/ID='BIP_Table_2.6']/DATA&quot; colcount=&quot;15&quot; rowcount=&quot;92&quot; url=&quot;&quot; dynamizeds=&quot;SAP Disclosure Management - Production&quot; dynamizedstype=&quot;9&quot; refreshds=&quot;&quot; viewtype=&quot;1&quot;&gt;&lt;QUERY reftype=&quot;ABS&quot; elmntsel=&quot;TABLE&quot; bbk=&quot;15549&quot; bbkdesc=&quot;2018 Annual Accounts/EDF Annual Accounts/DC for Report Implementation DEVCO (For File 2 3 4)&quot; datapro=&quot;BIP_Table_2.6&quot; infos=&quot;&quot; iscomment=&quot;0&quot;&gt;&lt;SELECT&gt;/BBOOK/DATAPROVIDER[./META/PROPS/ID='BIP_Table_2.6']/DATA/ROW&lt;/SELECT&gt;&lt;FILTERS&gt;&lt;FILTER&gt;&lt;/FILTER&gt;&lt;/FILTERS&gt;&lt;/QUERY&gt;&lt;/QUERIES&gt;&lt;/OBJECT&gt;"/>
    <w:docVar w:name="BIP_NAME_DOC_TBL00054" w:val="DOC_TBL00054"/>
    <w:docVar w:name="BIP_VARIABLES" w:val="&lt;BBOOKS&gt;&lt;BBOOK bbname=&quot;DefaultVariables&quot;&gt;&lt;VARIABLES /&gt;&lt;/BBOOK&gt;&lt;BBOOK bbname=&quot;14126&quot; bbdesc=&quot;2018 Annual Accounts/EDF Annual Accounts/DC - Aggregated balance sheet&quot; dsname=&quot;SAP Disclosure Management - Production&quot;&gt;&lt;VARIABLES&gt;&lt;/VARIABLES&gt;&lt;/BBOOK&gt;&lt;BBOOK bbname=&quot;14156&quot; bbdesc=&quot;2018 Annual Accounts/EDF Annual Accounts/DC - Aggregated Statement of financial performance&quot; dsname=&quot;SAP Disclosure Management - Production&quot;&gt;&lt;VARIABLES /&gt;&lt;/BBOOK&gt;&lt;BBOOK bbname=&quot;14107&quot; bbdesc=&quot;2018 Annual Accounts/EDF Annual Accounts/DC - Aggregated cashflow statement&quot; dsname=&quot;SAP Disclosure Management - Production&quot;&gt;&lt;VARIABLES /&gt;&lt;/BBOOK&gt;&lt;BBOOK bbname=&quot;14154&quot; bbdesc=&quot;2018 Annual Accounts/EDF Annual Accounts/DC - Aggregated statement of changes in net assets&quot; dsname=&quot;SAP Disclosure Management - Production&quot;&gt;&lt;VARIABLES /&gt;&lt;/BBOOK&gt;&lt;BBOOK bbname=&quot;14139&quot; bbdesc=&quot;2018 Annual Accounts/EDF Annual Accounts/DC - Balance sheet of the eighth ninth 10th and 11th EDF&quot; dsname=&quot;SAP Disclosure Management - Production&quot;&gt;&lt;VARIABLES /&gt;&lt;/BBOOK&gt;&lt;BBOOK bbname=&quot;14105&quot; bbdesc=&quot;2018 Annual Accounts/EDF Annual Accounts/DC - Statement of financial performance of the eighth ninth 10th and 11th EDF&quot; dsname=&quot;SAP Disclosure Management - Production&quot;&gt;&lt;VARIABLES /&gt;&lt;/BBOOK&gt;&lt;BBOOK bbname=&quot;14070&quot; bbdesc=&quot;2018 Annual Accounts/EDF Annual Accounts/DC - Statement of changes in net assets of the eighth EDF&quot; dsname=&quot;SAP Disclosure Management - Production&quot;&gt;&lt;VARIABLES /&gt;&lt;/BBOOK&gt;&lt;BBOOK bbname=&quot;14124&quot; bbdesc=&quot;2018 Annual Accounts/EDF Annual Accounts/DC - Statement of changes in net assets of the ninth EDF&quot; dsname=&quot;SAP Disclosure Management - Production&quot;&gt;&lt;VARIABLES /&gt;&lt;/BBOOK&gt;&lt;BBOOK bbname=&quot;14108&quot; bbdesc=&quot;2018 Annual Accounts/EDF Annual Accounts/DC - Statement of changes in net assets of the 10th EDF&quot; dsname=&quot;SAP Disclosure Management - Production&quot;&gt;&lt;VARIABLES /&gt;&lt;/BBOOK&gt;&lt;BBOOK bbname=&quot;14111&quot; bbdesc=&quot;2018 Annual Accounts/EDF Annual Accounts/DC - Statement of changes in net assets of the 11th EDF&quot; dsname=&quot;SAP Disclosure Management - Production&quot;&gt;&lt;VARIABLES /&gt;&lt;/BBOOK&gt;&lt;BBOOK bbname=&quot;11&quot; bbdesc=&quot;2013 Annual Accounts/EU Annual Accounts/Trial Balance ECCS (xlsx)&quot; dsname=&quot;SAP Disclosure Management - Production&quot;&gt;&lt;VARIABLES /&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1041&quot; bbdesc=&quot;2013 Annual Accounts/EEAS Annual Accounts/DC - Balance Sheet (xlsx)&quot; dsname=&quot;SAP Disclosure Management - Production&quot;&gt;&lt;VARIABLES /&gt;&lt;/BBOOK&gt;&lt;BBOOK bbname=&quot;5999&quot; bbdesc=&quot;2015 Annual Accounts/2015 BBI JU Annual accounts/DC - Balance Sheet (xlsx)&quot; dsname=&quot;SAP Disclosure Management - Production&quot;&gt;&lt;VARIABLES /&gt;&lt;/BBOOK&gt;&lt;BBOOK bbname=&quot;1042&quot; bbdesc=&quot;2013 Annual Accounts/EEAS Annual Accounts/DC - Statement of Financial Performance (xlsx)&quot; dsname=&quot;SAP Disclosure Management - Production&quot;&gt;&lt;VARIABLES /&gt;&lt;/BBOOK&gt;&lt;BBOOK bbname=&quot;2827&quot; bbdesc=&quot;2014 Annual Accounts/EDPS Annual accounts 2014/DC - Statement of Financial Performance del (xlsx)&quot; dsname=&quot;SAP Disclosure Management - Production&quot;&gt;&lt;VARIABLES /&gt;&lt;/BBOOK&gt;&lt;BBOOK bbname=&quot;6014&quot; bbdesc=&quot;2015 Annual Accounts/2015 BBI JU Annual accounts/DC - Statement of Financial Performance (xlsx)&quot; dsname=&quot;SAP Disclosure Management - Production&quot;&gt;&lt;VARIABLES /&gt;&lt;/BBOOK&gt;&lt;BBOOK bbname=&quot;1089&quot; bbdesc=&quot;2013 Annual Accounts/EEAS Annual Accounts/DC - Cashflow statement automated (xlsx)&quot; dsname=&quot;SAP Disclosure Management - Production&quot;&gt;&lt;VARIABLES /&gt;&lt;/BBOOK&gt;&lt;BBOOK bbname=&quot;6001&quot; bbdesc=&quot;2015 Annual Accounts/2015 BBI JU Annual accounts/DC - Cashflow statement (xlsx)&quot; dsname=&quot;SAP Disclosure Management - Production&quot;&gt;&lt;VARIABLES /&gt;&lt;/BBOOK&gt;&lt;BBOOK bbname=&quot;6000&quot; bbdesc=&quot;2015 Annual Accounts/2015 BBI JU Annual accounts/DC - Statement of changes in net assets (xlsx)&quot; dsname=&quot;SAP Disclosure Management - Production&quot;&gt;&lt;VARIABLES /&gt;&lt;/BBOOK&gt;&lt;BBOOK bbname=&quot;6041&quot; bbdesc=&quot;2015 Annual Accounts/2015 BBI JU Annual accounts/DC - Accrued charges and Deferred income (xlsx)&quot; dsname=&quot;SAP Disclosure Management - Production&quot;&gt;&lt;VARIABLES /&gt;&lt;/BBOOK&gt;&lt;BBOOK bbname=&quot;5383&quot; bbdesc=&quot;2015 Annual Accounts/EEAS Annual accounts/DC - DeprecRates (xlsx)&quot; dsname=&quot;SAP Disclosure Management - Production&quot;&gt;&lt;VARIABLES /&gt;&lt;/BBOOK&gt;&lt;BBOOK bbname=&quot;2532&quot; bbdesc=&quot;2014 Annual Accounts/EC Annual Accounts/DC - Intangible assets (xlsx)&quot; dsname=&quot;SAP Disclosure Management - Production&quot;&gt;&lt;VARIABLES /&gt;&lt;/BBOOK&gt;&lt;BBOOK bbname=&quot;3083&quot; bbdesc=&quot;2014 Annual Accounts/EEAS Annual Accounts 2014/DC - Intangible fixed assets and PPE CY (xlsx)&quot; dsname=&quot;SAP Disclosure Management - Production&quot;&gt;&lt;VARIABLES /&gt;&lt;/BBOOK&gt;&lt;BBOOK bbname=&quot;2533&quot; bbdesc=&quot;2014 Annual Accounts/EC Annual Accounts/DC - Property plant and equipment (xlsx)&quot; dsname=&quot;SAP Disclosure Management - Production&quot;&gt;&lt;VARIABLES /&gt;&lt;/BBOOK&gt;&lt;BBOOK bbname=&quot;6030&quot; bbdesc=&quot;2015 Annual Accounts/2015 BBI JU Annual accounts/DC - PPE CY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438&quot; bbdesc=&quot;2014 Annual Accounts/EC Annual Accounts/DC - Pre-financing detailed (xlsx)&quot; dsname=&quot;SAP Disclosure Management - Production&quot;&gt;&lt;VARIABLES /&gt;&lt;/BBOOK&gt;&lt;BBOOK bbname=&quot;3090&quot; bbdesc=&quot;2014 Annual Accounts/EEAS Annual Accounts 2014/DC - Pre-financing (xlsx)&quot; dsname=&quot;SAP Disclosure Management - Production&quot;&gt;&lt;VARIABLES /&gt;&lt;/BBOOK&gt;&lt;BBOOK bbname=&quot;3091&quot; bbdesc=&quot;2014 Annual Accounts/EEAS Annual Accounts 2014/DC - Pre-financing detailed (xlsx)&quot; dsname=&quot;SAP Disclosure Management - Production&quot;&gt;&lt;VARIABLES /&gt;&lt;/BBOOK&gt;&lt;BBOOK bbname=&quot;6036&quot; bbdesc=&quot;2015 Annual Accounts/2015 BBI JU Annual accounts/DC - Pre-financing (xlsx)&quot; dsname=&quot;SAP Disclosure Management - Production&quot;&gt;&lt;VARIABLES /&gt;&lt;/BBOOK&gt;&lt;BBOOK bbname=&quot;2440&quot; bbdesc=&quot;2014 Annual Accounts/EC Annual Accounts/DC - Exchange receivables and Non-exchange recoverables (xlsx)&quot; dsname=&quot;SAP Disclosure Management - Production&quot;&gt;&lt;VARIABLES /&gt;&lt;/BBOOK&gt;&lt;BBOOK bbname=&quot;2442&quot; bbdesc=&quot;2014 Annual Accounts/EC Annual Accounts/DC - Recoverables from Member States (xlsx)&quot; dsname=&quot;SAP Disclosure Management - Production&quot;&gt;&lt;VARIABLES /&gt;&lt;/BBOOK&gt;&lt;BBOOK bbname=&quot;2483&quot; bbdesc=&quot;2014 Annual Accounts/EC Annual Accounts/DC - Fines (xlsx)&quot; dsname=&quot;SAP Disclosure Management - Production&quot;&gt;&lt;VARIABLES /&gt;&lt;/BBOOK&gt;&lt;BBOOK bbname=&quot;2444&quot; bbdesc=&quot;2014 Annual Accounts/EC Annual Accounts/DC - Accrued income and Deferred charges (xlsx)&quot; dsname=&quot;SAP Disclosure Management - Production&quot;&gt;&lt;VARIABLES /&gt;&lt;/BBOOK&gt;&lt;BBOOK bbname=&quot;2545&quot; bbdesc=&quot;2014 Annual Accounts/EC Annual Accounts/DC - Accrued charges and Deferred income (xlsx)&quot; dsname=&quot;SAP Disclosure Management - Production&quot;&gt;&lt;VARIABLES /&gt;&lt;/BBOOK&gt;&lt;BBOOK bbname=&quot;3085&quot; bbdesc=&quot;2014 Annual Accounts/EEAS Annual Accounts 2014/DC - Exchange receivables and Non-exchange recoverables (xlsx)&quot; dsname=&quot;SAP Disclosure Management - Production&quot;&gt;&lt;VARIABLES /&gt;&lt;/BBOOK&gt;&lt;BBOOK bbname=&quot;3086&quot; bbdesc=&quot;2014 Annual Accounts/EEAS Annual Accounts 2014/DC - Recoverables from Member States (xlsx)&quot; dsname=&quot;SAP Disclosure Management - Production&quot;&gt;&lt;VARIABLES /&gt;&lt;/BBOOK&gt;&lt;BBOOK bbname=&quot;3087&quot; bbdesc=&quot;2014 Annual Accounts/EEAS Annual Accounts 2014/DC - Accrued income and Deferred charges (xlsx)&quot; dsname=&quot;SAP Disclosure Management - Production&quot;&gt;&lt;VARIABLES /&gt;&lt;/BBOOK&gt;&lt;BBOOK bbname=&quot;6032&quot; bbdesc=&quot;2015 Annual Accounts/2015 BBI JU Annual accounts/DC - Exchange receivables and Non-exchange recoverables (xlsx)&quot; dsname=&quot;SAP Disclosure Management - Production&quot;&gt;&lt;VARIABLES /&gt;&lt;/BBOOK&gt;&lt;BBOOK bbname=&quot;3201&quot; bbdesc=&quot;2014 Annual Accounts/FCH JU Annual accounts 2014/DC - Accrued income and Deferred charges (xlsx)&quot; dsname=&quot;SAP Disclosure Management - Production&quot;&gt;&lt;VARIABLES /&gt;&lt;/BBOOK&gt;&lt;BBOOK bbname=&quot;2540&quot; bbdesc=&quot;2014 Annual Accounts/EC Annual Accounts/DC - Provisions (xlsx)&quot; dsname=&quot;SAP Disclosure Management - Production&quot;&gt;&lt;VARIABLES /&gt;&lt;/BBOOK&gt;&lt;BBOOK bbname=&quot;3097&quot; bbdesc=&quot;2014 Annual Accounts/EEAS Annual Accounts 2014/DC - Provisions (xlsx)&quot; dsname=&quot;SAP Disclosure Management - Production&quot;&gt;&lt;VARIABLES /&gt;&lt;/BBOOK&gt;&lt;BBOOK bbname=&quot;3203&quot; bbdesc=&quot;2014 Annual Accounts/FCH JU Annual accounts 2014/DC - Provisions (xlsx)&quot; dsname=&quot;SAP Disclosure Management - Production&quot;&gt;&lt;VARIABLES /&gt;&lt;/BBOOK&gt;&lt;BBOOK bbname=&quot;2903&quot; bbdesc=&quot;2014 Annual Accounts/EEAS Annual Accounts 2014/DC - Payables (xlsx)&quot; dsname=&quot;SAP Disclosure Management - Production&quot;&gt;&lt;VARIABLES /&gt;&lt;/BBOOK&gt;&lt;BBOOK bbname=&quot;3283&quot; bbdesc=&quot;2014 Annual Accounts/CEPOL Annual accounts 2014/DC - Payables (xlsx)&quot; dsname=&quot;SAP Disclosure Management - Production&quot;&gt;&lt;VARIABLES /&gt;&lt;/BBOOK&gt;&lt;BBOOK bbname=&quot;6043&quot; bbdesc=&quot;2015 Annual Accounts/2015 BBI JU Annual accounts/DC - Payables (xlsx)&quot; dsname=&quot;SAP Disclosure Management - Production&quot;&gt;&lt;VARIABLES /&gt;&lt;/BBOOK&gt;&lt;BBOOK bbname=&quot;3112&quot; bbdesc=&quot;2014 Annual Accounts/EEAS Annual Accounts 2014/DC - Accrued charges and Deferred income (xlsx)&quot; dsname=&quot;SAP Disclosure Management - Production&quot;&gt;&lt;VARIABLES /&gt;&lt;/BBOOK&gt;&lt;BBOOK bbname=&quot;5303&quot; bbdesc=&quot;2015 Annual Accounts/2015 FCH JU Annual accounts/DC - Accrued charges and Deferred income (xlsx)&quot; dsname=&quot;SAP Disclosure Management - Production&quot;&gt;&lt;VARIABLES /&gt;&lt;/BBOOK&gt;&lt;BBOOK bbname=&quot;2546&quot; bbdesc=&quot;2014 Annual Accounts/EC Annual Accounts/DC - Reserves (xlsx)&quot; dsname=&quot;SAP Disclosure Management - Production&quot;&gt;&lt;VARIABLES /&gt;&lt;/BBOOK&gt;&lt;BBOOK bbname=&quot;2547&quot; bbdesc=&quot;2014 Annual Accounts/EC Annual Accounts/DC - Amounts to be called from member states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3207&quot; bbdesc=&quot;2014 Annual Accounts/FCH JU Annual accounts 2014/DC - Accrued charges and Deferred income (xlsx)&quot; dsname=&quot;SAP Disclosure Management - Production&quot;&gt;&lt;VARIABLES /&gt;&lt;/BBOOK&gt;&lt;BBOOK bbname=&quot;6017&quot; bbdesc=&quot;2015 Annual Accounts/2015 FCH JU Annual accounts/DC - FP7 Contributions (xlsx)&quot; dsname=&quot;SAP Disclosure Management - Production&quot;&gt;&lt;VARIABLES /&gt;&lt;/BBOOK&gt;&lt;BBOOK bbname=&quot;6050&quot; bbdesc=&quot;2015 Annual Accounts/2015 BBI JU Annual accounts/DC - H2020 Contributions (xlsx)&quot; dsname=&quot;SAP Disclosure Management - Production&quot;&gt;&lt;VARIABLES /&gt;&lt;/BBOOK&gt;&lt;BBOOK bbname=&quot;6073&quot; bbdesc=&quot;2015 Annual Accounts/2015 BBI JU Annual accounts/Upload Contributions H2020_voting rights (xlsx)&quot; dsname=&quot;SAP Disclosure Management - Production&quot;&gt;&lt;VARIABLES /&gt;&lt;/BBOOK&gt;&lt;BBOOK bbname=&quot;6072&quot; bbdesc=&quot;2015 Annual Accounts/2015 BBI JU Annual accounts/DC - H2020 Contribution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3041&quot; bbdesc=&quot;2014 Annual Accounts/EEAS Annual Accounts 2014/DC - Recovery of expenses (xlsx)&quot; dsname=&quot;SAP Disclosure Management - Production&quot;&gt;&lt;VARIABLES /&gt;&lt;/BBOOK&gt;&lt;BBOOK bbname=&quot;3209&quot; bbdesc=&quot;2014 Annual Accounts/FCH JU Annual accounts 2014/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3043&quot; bbdesc=&quot;2014 Annual Accounts/EEAS Annual Accounts 2014/DC - Other non-exchange revenue (xlsx)&quot; dsname=&quot;SAP Disclosure Management - Production&quot;&gt;&lt;VARIABLES /&gt;&lt;/BBOOK&gt;&lt;BBOOK bbname=&quot;6024&quot; bbdesc=&quot;2015 Annual Accounts/2015 BBI JU Annual accounts/DC - Other non-exchange revenue (xlsx)&quot; dsname=&quot;SAP Disclosure Management - Production&quot;&gt;&lt;VARIABLES /&gt;&lt;/BBOOK&gt;&lt;BBOOK bbname=&quot;2550&quot; bbdesc=&quot;2014 Annual Accounts/EC Annual Accounts/DC - Other exchange revenue (xlsx)&quot; dsname=&quot;SAP Disclosure Management - Production&quot;&gt;&lt;VARIABLES /&gt;&lt;/BBOOK&gt;&lt;BBOOK bbname=&quot;3047&quot; bbdesc=&quot;2014 Annual Accounts/EEAS Annual Accounts 2014/DC - Other exchange revenue (xlsx)&quot; dsname=&quot;SAP Disclosure Management - Production&quot;&gt;&lt;VARIABLES /&gt;&lt;/BBOOK&gt;&lt;BBOOK bbname=&quot;3993&quot; bbdesc=&quot;2015 Annual Accounts/2015 CEPOL Annual accounts/DC - Other exchange revenue (xlsx)&quot; dsname=&quot;SAP Disclosure Management - Production&quot;&gt;&lt;VARIABLES /&gt;&lt;/BBOOK&gt;&lt;BBOOK bbname=&quot;6086&quot; bbdesc=&quot;2015 Annual Accounts/2015 BBI JU Annual accounts/DC - Other exchange revenue (xlsx)&quot; dsname=&quot;SAP Disclosure Management - Production&quot;&gt;&lt;VARIABLES /&gt;&lt;/BBOOK&gt;&lt;BBOOK bbname=&quot;5288&quot; bbdesc=&quot;2015 Annual Accounts/2015 FCH JU Annual accounts/DC - Other expenses (xlsx)&quot; dsname=&quot;SAP Disclosure Management - Production&quot;&gt;&lt;VARIABLES /&gt;&lt;/BBOOK&gt;&lt;BBOOK bbname=&quot;5289&quot; bbdesc=&quot;2015 Annual Accounts/2015 FCH JU Annual accounts/DC - Property plant and equipment related expenses (xlsx)&quot; dsname=&quot;SAP Disclosure Management - Production&quot;&gt;&lt;VARIABLES /&gt;&lt;/BBOOK&gt;&lt;BBOOK bbname=&quot;5287&quot; bbdesc=&quot;2015 Annual Accounts/2015 FCH JU Annual accounts/DC - Operating costs (xlsx)&quot; dsname=&quot;SAP Disclosure Management - Production&quot;&gt;&lt;VARIABLES /&gt;&lt;/BBOOK&gt;&lt;BBOOK bbname=&quot;6025&quot; bbdesc=&quot;2015 Annual Accounts/2015 BBI JU Annual accounts/DC - Operating costs (xlsx)&quot; dsname=&quot;SAP Disclosure Management - Production&quot;&gt;&lt;VARIABLES /&gt;&lt;/BBOOK&gt;&lt;BBOOK bbname=&quot;3213&quot; bbdesc=&quot;2014 Annual Accounts/FCH JU Annual accounts 2014/DC - Other expenses (xlsx)&quot; dsname=&quot;SAP Disclosure Management - Production&quot;&gt;&lt;VARIABLES /&gt;&lt;/BBOOK&gt;&lt;BBOOK bbname=&quot;3494&quot; bbdesc=&quot;2014 Annual Accounts/FCH JU Annual accounts 2014/DC - Property plant and equipment related expenses (xlsx)&quot; dsname=&quot;SAP Disclosure Management - Production&quot;&gt;&lt;VARIABLES /&gt;&lt;/BBOOK&gt;&lt;BBOOK bbname=&quot;6026&quot; bbdesc=&quot;2015 Annual Accounts/2015 BBI JU Annual accounts/DC - Other expenses (xlsx)&quot; dsname=&quot;SAP Disclosure Management - Production&quot;&gt;&lt;VARIABLES /&gt;&lt;/BBOOK&gt;&lt;BBOOK bbname=&quot;6027&quot; bbdesc=&quot;2015 Annual Accounts/2015 BBI JU Annual accounts/DC - Property plant and equipment related expenses (xlsx)&quot; dsname=&quot;SAP Disclosure Management - Production&quot;&gt;&lt;VARIABLES /&gt;&lt;/BBOOK&gt;&lt;BBOOK bbname=&quot;2530&quot; bbdesc=&quot;2014 Annual Accounts/EC Annual Accounts/DC - Outstanding commitments not yet expensed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3314&quot; bbdesc=&quot;2014 Annual Accounts/FCH JU Annual accounts 2014/DC - Outstanding commitments not yet expensed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505&quot; bbdesc=&quot;2014 Annual Accounts/EC Annual Accounts/DC - Exposure of the EC to currency risk at year end (xlsx)&quot; dsname=&quot;SAP Disclosure Management - Production&quot;&gt;&lt;VARIABLES /&gt;&lt;/BBOOK&gt;&lt;BBOOK bbname=&quot;3319&quot; bbdesc=&quot;2014 Annual Accounts/FCH JU Annual accounts 2014/DC - Exposure of the EC to currency risk at year end (xlsx)&quot; dsname=&quot;SAP Disclosure Management - Production&quot;&gt;&lt;VARIABLES /&gt;&lt;/BBOOK&gt;&lt;BBOOK bbname=&quot;2512&quot; bbdesc=&quot;2014 Annual Accounts/EC Annual Accounts/DC - Credit risk (xlsx)&quot; dsname=&quot;SAP Disclosure Management - Production&quot;&gt;&lt;VARIABLES /&gt;&lt;/BBOOK&gt;&lt;BBOOK bbname=&quot;3323&quot; bbdesc=&quot;2014 Annual Accounts/FCH JU Annual accounts 2014/DC - Credit risk (xlsx)&quot; dsname=&quot;SAP Disclosure Management - Production&quot;&gt;&lt;VARIABLES /&gt;&lt;/BBOOK&gt;&lt;BBOOK bbname=&quot;2514&quot; bbdesc=&quot;2014 Annual Accounts/EC Annual Accounts/DC - Maturity analysis of financial liabilities (xlsx)&quot; dsname=&quot;SAP Disclosure Management - Production&quot;&gt;&lt;VARIABLES /&gt;&lt;/BBOOK&gt;&lt;BBOOK bbname=&quot;3327&quot; bbdesc=&quot;2014 Annual Accounts/FCH JU Annual accounts 2014/DC - Maturity analysis of financial liabilities (xlsx)&quot; dsname=&quot;SAP Disclosure Management - Production&quot;&gt;&lt;VARIABLES /&gt;&lt;/BBOOK&gt;&lt;BBOOK bbname=&quot;3308&quot; bbdesc=&quot;2014 Annual Accounts/CEPOL Annual accounts 2014/DC - Reconciliation of economic result with budget result (xlsx)&quot; dsname=&quot;SAP Disclosure Management - Production&quot;&gt;&lt;VARIABLES /&gt;&lt;/BBOOK&gt;&lt;BBOOK bbname=&quot;3971&quot; bbdesc=&quot;2014 Annual Accounts/CEPOL Annual accounts 2014/DC - Reports on the implementation of the budget (xlsx)&quot; dsname=&quot;SAP Disclosure Management - Production&quot;&gt;&lt;VARIABLES /&gt;&lt;/BBOOK&gt;&lt;BBOOK bbname=&quot;5993&quot; bbdesc=&quot;2015 Annual Accounts/2015 BBI JU Annual accounts/DC - Reports on the implementation of the budget (xlsx)&quot; dsname=&quot;SAP Disclosure Management - Production&quot;&gt;&lt;VARIABLES /&gt;&lt;/BBOOK&gt;&lt;BBOOK bbname=&quot;5255&quot; bbdesc=&quot;2015 Annual Accounts/2015 FCH JU Annual accounts/DC - Reports on the implementation of the budget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14767&quot; bbdesc=&quot;2018 Annual Accounts/EU Annual Accounts/DC - Currency table&quot; dsname=&quot;SAP Disclosure Management - Production&quot;&gt;&lt;VARIABLES /&gt;&lt;/BBOOK&gt;&lt;BBOOK bbname=&quot;9322&quot; bbdesc=&quot;2016 Annual Accounts/EEAS Annual accounts/DC - Accrued charges and Deferred income (xlsx)&quot; dsname=&quot;SAP Disclosure Management - Production&quot;&gt;&lt;VARIABLES /&gt;&lt;/BBOOK&gt;&lt;BBOOK bbname=&quot;14287&quot; bbdesc=&quot;2018 Annual Accounts/EEAS Annual accounts/DC - DeprecRates&quot; dsname=&quot;SAP Disclosure Management - Production&quot;&gt;&lt;VARIABLES /&gt;&lt;/BBOOK&gt;&lt;BBOOK bbname=&quot;9486&quot; bbdesc=&quot;2016 Annual Accounts/EDF Annual Accounts/DC - Non current Pre financing (xlsx)&quot; dsname=&quot;Disclosure Management - Production&quot;&gt;&lt;VARIABLES /&gt;&lt;/BBOOK&gt;&lt;BBOOK bbname=&quot;5631&quot; bbdesc=&quot;2015 Annual Accounts/EDF Annual Accounts/DC - Outstanding commitments not yet expensed (xlsx)&quot; dsname=&quot;SAP Disclosure Management - Production&quot;&gt;&lt;VARIABLES /&gt;&lt;/BBOOK&gt;&lt;BBOOK bbname=&quot;10444&quot; bbdesc=&quot;2016 Annual Accounts/EDF Annual Accounts/DC-Conso BS (xlsx)&quot; dsname=&quot;Disclosure Management - Production&quot;&gt;&lt;VARIABLES /&gt;&lt;/BBOOK&gt;&lt;BBOOK bbname=&quot;14195&quot; bbdesc=&quot;2018 Annual Accounts/EDF Annual Accounts/DC - Pre financing&quot; dsname=&quot;SAP Disclosure Management - Production&quot;&gt;&lt;VARIABLES /&gt;&lt;/BBOOK&gt;&lt;BBOOK bbname=&quot;14130&quot; bbdesc=&quot;2018 Annual Accounts/EDF Annual Accounts/DC - Non current Pre financing&quot; dsname=&quot;SAP Disclosure Management - Production&quot;&gt;&lt;VARIABLES /&gt;&lt;/BBOOK&gt;&lt;BBOOK bbname=&quot;14144&quot; bbdesc=&quot;2018 Annual Accounts/EDF Annual Accounts/DC - Current Pre financing&quot; dsname=&quot;SAP Disclosure Management - Production&quot;&gt;&lt;VARIABLES /&gt;&lt;/BBOOK&gt;&lt;BBOOK bbname=&quot;14068&quot; bbdesc=&quot;2018 Annual Accounts/EDF Annual Accounts/DC - Trust fund contributions&quot; dsname=&quot;SAP Disclosure Management - Production&quot;&gt;&lt;VARIABLES /&gt;&lt;/BBOOK&gt;&lt;BBOOK bbname=&quot;9561&quot; bbdesc=&quot;2016 Annual Accounts/EDF Annual Accounts/DC - Current Pre financing (xlsx)&quot; dsname=&quot;SAP Disclosure Management - Production&quot;&gt;&lt;VARIABLES /&gt;&lt;/BBOOK&gt;&lt;BBOOK bbname=&quot;9551&quot; bbdesc=&quot;2016 Annual Accounts/EDF Annual Accounts/DC - Accrued charges (xlsx)&quot; dsname=&quot;SAP Disclosure Management - Production&quot;&gt;&lt;VARIABLES /&gt;&lt;/BBOOK&gt;&lt;BBOOK bbname=&quot;14175&quot; bbdesc=&quot;2018 Annual Accounts/EDF Annual Accounts/DC - Exchange receivables and Non-exchange recoverables&quot; dsname=&quot;SAP Disclosure Management - Production&quot;&gt;&lt;VARIABLES /&gt;&lt;/BBOOK&gt;&lt;BBOOK bbname=&quot;14167&quot; bbdesc=&quot;2018 Annual Accounts/EDF Annual Accounts/DC - Non-exchange receivables-detail&quot; dsname=&quot;SAP Disclosure Management - Production&quot;&gt;&lt;VARIABLES /&gt;&lt;/BBOOK&gt;&lt;BBOOK bbname=&quot;14097&quot; bbdesc=&quot;2017 Annual Accounts/EDF Annual Accounts/DC - Receivable from Member States&quot; dsname=&quot;SAP Disclosure Management - Production&quot;&gt;&lt;VARIABLES /&gt;&lt;/BBOOK&gt;&lt;BBOOK bbname=&quot;14190&quot; bbdesc=&quot;2018 Annual Accounts/EDF Annual Accounts/DC - Exchange receivables-detail&quot; dsname=&quot;SAP Disclosure Management - Production&quot;&gt;&lt;VARIABLES /&gt;&lt;/BBOOK&gt;&lt;BBOOK bbname=&quot;14136&quot; bbdesc=&quot;2018 Annual Accounts/EDF Annual Accounts/DC - Cash and cash equivalents current assets&quot; dsname=&quot;SAP Disclosure Management - Production&quot;&gt;&lt;VARIABLES /&gt;&lt;/BBOOK&gt;&lt;BBOOK bbname=&quot;14188&quot; bbdesc=&quot;2018 Annual Accounts/EDF Annual Accounts/DC Non current provisions&quot; dsname=&quot;SAP Disclosure Management - Production&quot;&gt;&lt;VARIABLES /&gt;&lt;/BBOOK&gt;&lt;BBOOK bbname=&quot;2237&quot; bbdesc=&quot;2014 Annual Accounts/EDF Annual Accounts/DC - Payables (xlsx)&quot; dsname=&quot;SAP Disclosure Management - Production&quot;&gt;&lt;VARIABLES /&gt;&lt;/BBOOK&gt;&lt;BBOOK bbname=&quot;14169&quot; bbdesc=&quot;2018 Annual Accounts/EDF Annual Accounts/DC - NC Financial liabilities&quot; dsname=&quot;SAP Disclosure Management - Production&quot;&gt;&lt;VARIABLES /&gt;&lt;/BBOOK&gt;&lt;BBOOK bbname=&quot;14104&quot; bbdesc=&quot;2018 Annual Accounts/EDF Annual Accounts/DC - Payables&quot; dsname=&quot;SAP Disclosure Management - Production&quot;&gt;&lt;VARIABLES /&gt;&lt;/BBOOK&gt;&lt;BBOOK bbname=&quot;14093&quot; bbdesc=&quot;2018 Annual Accounts/EDF Annual Accounts/DC - Current payables&quot; dsname=&quot;SAP Disclosure Management - Production&quot;&gt;&lt;VARIABLES /&gt;&lt;/BBOOK&gt;&lt;BBOOK bbname=&quot;14194&quot; bbdesc=&quot;2018 Annual Accounts/EDF Annual Accounts/DC - Sundry payables&quot; dsname=&quot;SAP Disclosure Management - Production&quot;&gt;&lt;VARIABLES /&gt;&lt;/BBOOK&gt;&lt;BBOOK bbname=&quot;14109&quot; bbdesc=&quot;2018 Annual Accounts/EDF Annual Accounts/DC - Deferred capital contribution detail&quot; dsname=&quot;SAP Disclosure Management - Production&quot;&gt;&lt;VARIABLES /&gt;&lt;/BBOOK&gt;&lt;BBOOK bbname=&quot;14192&quot; bbdesc=&quot;2018 Annual Accounts/EDF Annual Accounts/DC - Cofinancing payables&quot; dsname=&quot;SAP Disclosure Management - Production&quot;&gt;&lt;VARIABLES /&gt;&lt;/BBOOK&gt;&lt;BBOOK bbname=&quot;14150&quot; bbdesc=&quot;2018 Annual Accounts/EDF Annual Accounts/DC - Accrued charges&quot; dsname=&quot;SAP Disclosure Management - Production&quot;&gt;&lt;VARIABLES /&gt;&lt;/BBOOK&gt;&lt;BBOOK bbname=&quot;14098&quot; bbdesc=&quot;2018 Annual Accounts/EDF Annual Accounts/DC - Called fund capital&quot; dsname=&quot;SAP Disclosure Management - Production&quot;&gt;&lt;VARIABLES /&gt;&lt;/BBOOK&gt;&lt;BBOOK bbname=&quot;5609&quot; bbdesc=&quot;2015 Annual Accounts/EDF Annual Accounts 2015/DC - Accrued charges (xlsx)&quot; dsname=&quot;SAP Disclosure Management - Production&quot;&gt;&lt;VARIABLES /&gt;&lt;/BBOOK&gt;&lt;BBOOK bbname=&quot;14085&quot; bbdesc=&quot;2018 Annual Accounts/EDF Annual Accounts/DC - Called fund capital from closed EDFs carried forward&quot; dsname=&quot;SAP Disclosure Management - Production&quot;&gt;&lt;VARIABLES /&gt;&lt;/BBOOK&gt;&lt;BBOOK bbname=&quot;5630&quot; bbdesc=&quot;2015 Annual Accounts/EDF Annual Accounts 2015/DC - Other reserves (xlsx)&quot; dsname=&quot;SAP Disclosure Management - Production&quot;&gt;&lt;VARIABLES /&gt;&lt;/BBOOK&gt;&lt;BBOOK bbname=&quot;14187&quot; bbdesc=&quot;2018 Annual Accounts/EDF Annual Accounts/DC - Transfers between Active EDFs&quot; dsname=&quot;SAP Disclosure Management - Production&quot;&gt;&lt;VARIABLES /&gt;&lt;/BBOOK&gt;&lt;BBOOK bbname=&quot;11931&quot; bbdesc=&quot;2017 Annual Accounts/EDF Annual Accounts/DC - Statement of changes in net assets of the eighth EDF&quot; dsname=&quot;SAP Disclosure Management - Production&quot;&gt;&lt;VARIABLES /&gt;&lt;/BBOOK&gt;&lt;BBOOK bbname=&quot;11927&quot; bbdesc=&quot;2017 Annual Accounts/EDF Annual Accounts/DC - Statement of changes in net assets of the ninth EDF&quot; dsname=&quot;SAP Disclosure Management - Production&quot;&gt;&lt;VARIABLES /&gt;&lt;/BBOOK&gt;&lt;BBOOK bbname=&quot;11926&quot; bbdesc=&quot;2017 Annual Accounts/EDF Annual Accounts/DC - Statement of changes in net assets of the 10th EDF&quot; dsname=&quot;SAP Disclosure Management - Production&quot;&gt;&lt;VARIABLES /&gt;&lt;/BBOOK&gt;&lt;BBOOK bbname=&quot;11869&quot; bbdesc=&quot;2017 Annual Accounts/EDF Annual Accounts/DC - Statement of changes in net assets of the 11th EDF&quot; dsname=&quot;SAP Disclosure Management - Production&quot;&gt;&lt;VARIABLES /&gt;&lt;/BBOOK&gt;&lt;BBOOK bbname=&quot;14077&quot; bbdesc=&quot;2018 Annual Accounts/EDF Annual Accounts/DC - Revenue non-ex transactions&quot; dsname=&quot;SAP Disclosure Management - Production&quot;&gt;&lt;VARIABLES /&gt;&lt;/BBOOK&gt;&lt;BBOOK bbname=&quot;14197&quot; bbdesc=&quot;2018 Annual Accounts/EDF Annual Accounts/DC - Exchange revenue&quot; dsname=&quot;SAP Disclosure Management - Production&quot;&gt;&lt;VARIABLES /&gt;&lt;/BBOOK&gt;&lt;BBOOK bbname=&quot;14114&quot; bbdesc=&quot;2018 Annual Accounts/EDF Annual Accounts/DC - Exchange and non-exchange revenue&quot; dsname=&quot;SAP Disclosure Management - Production&quot;&gt;&lt;VARIABLES /&gt;&lt;/BBOOK&gt;&lt;BBOOK bbname=&quot;14117&quot; bbdesc=&quot;2018 Annual Accounts/EDF Annual Accounts/DC - Aid_cofinancing by mng type&quot; dsname=&quot;SAP Disclosure Management - Production&quot;&gt;&lt;VARIABLES /&gt;&lt;/BBOOK&gt;&lt;BBOOK bbname=&quot;14162&quot; bbdesc=&quot;2018 Annual Accounts/EDF Annual Accounts/DC - Aid instruments&quot; dsname=&quot;SAP Disclosure Management - Production&quot;&gt;&lt;VARIABLES /&gt;&lt;/BBOOK&gt;&lt;BBOOK bbname=&quot;14200&quot; bbdesc=&quot;2018 Annual Accounts/EDF Annual Accounts/DC - Finance costs&quot; dsname=&quot;SAP Disclosure Management - Production&quot;&gt;&lt;VARIABLES /&gt;&lt;/BBOOK&gt;&lt;BBOOK bbname=&quot;14203&quot; bbdesc=&quot;2018 Annual Accounts/EDF Annual Accounts/DC - Other Expenses&quot; dsname=&quot;SAP Disclosure Management - Production&quot;&gt;&lt;VARIABLES /&gt;&lt;/BBOOK&gt;&lt;BBOOK bbname=&quot;14199&quot; bbdesc=&quot;2018 Annual Accounts/EDF Annual Accounts/DC - Co-financing&quot; dsname=&quot;SAP Disclosure Management - Production&quot;&gt;&lt;VARIABLES /&gt;&lt;/BBOOK&gt;&lt;BBOOK bbname=&quot;14067&quot; bbdesc=&quot;2017 Annual Accounts/EDF Annual Accounts/DC - Contingent assets&quot; dsname=&quot;SAP Disclosure Management - Production&quot;&gt;&lt;VARIABLES /&gt;&lt;/BBOOK&gt;&lt;BBOOK bbname=&quot;14125&quot; bbdesc=&quot;2016 Annual Accounts/EDF Annual Accounts/DC - Outstanding commitments not yet expensed (xlsx)&quot; dsname=&quot;SAP Disclosure Management - Production&quot;&gt;&lt;VARIABLES /&gt;&lt;/BBOOK&gt;&lt;BBOOK bbname=&quot;14176&quot; bbdesc=&quot;2018 Annual Accounts/EDF Annual Accounts/DC - Exposure of the EDF to currency risk at year end&quot; dsname=&quot;SAP Disclosure Management - Production&quot;&gt;&lt;VARIABLES /&gt;&lt;/BBOOK&gt;&lt;BBOOK bbname=&quot;2510&quot; bbdesc=&quot;2014 Annual Accounts/EC Annual Accounts/DC - Interest rate risk (xlsx)&quot; dsname=&quot;SAP Disclosure Management - Production&quot;&gt;&lt;VARIABLES /&gt;&lt;/BBOOK&gt;&lt;BBOOK bbname=&quot;14177&quot; bbdesc=&quot;2018 Annual Accounts/EDF Annual Accounts/DC - Credit risk&quot; dsname=&quot;SAP Disclosure Management - Production&quot;&gt;&lt;VARIABLES /&gt;&lt;/BBOOK&gt;&lt;BBOOK bbname=&quot;14178&quot; bbdesc=&quot;2018 Annual Accounts/EDF Annual Accounts/DC - Maturity analysis of financial liabilities&quot; dsname=&quot;SAP Disclosure Management - Production&quot;&gt;&lt;VARIABLES /&gt;&lt;/BBOOK&gt;&lt;BBOOK bbname=&quot;14115&quot; bbdesc=&quot;2018 Annual Accounts/EDF Annual Accounts/DC - Economic result and Budget result&quot; dsname=&quot;SAP Disclosure Management - Production&quot;&gt;&lt;VARIABLES /&gt;&lt;/BBOOK&gt;&lt;BBOOK bbname=&quot;2517&quot; bbdesc=&quot;2014 Annual Accounts/EC Annual Accounts/DC - Balance Sheet (xlsx)&quot; dsname=&quot;SAP Disclosure Management - Production&quot;&gt;&lt;VARIABLES /&gt;&lt;/BBOOK&gt;&lt;BBOOK bbname=&quot;2875&quot; bbdesc=&quot;2014 Annual Accounts/EEAS Annual Accounts 2014/DC - Balance Sheet (xlsx)&quot; dsname=&quot;SAP Disclosure Management - Production&quot;&gt;&lt;VARIABLES /&gt;&lt;/BBOOK&gt;&lt;BBOOK bbname=&quot;3074&quot; bbdesc=&quot;2014 Annual Accounts/EEAS Annual Accounts 2014/DC - Balance Sheet (xlsx)&quot; dsname=&quot;SAP Disclosure Management - Production&quot;&gt;&lt;VARIABLES /&gt;&lt;/BBOOK&gt;&lt;BBOOK bbname=&quot;13470&quot; bbdesc=&quot;2018 Annual Accounts/BEKOU Annual accounts/DC - Balance Sheet&quot; dsname=&quot;SAP Disclosure Management - Production&quot;&gt;&lt;VARIABLES /&gt;&lt;/BBOOK&gt;&lt;BBOOK bbname=&quot;2339&quot; bbdesc=&quot;2014 Annual Accounts/EDF Annual Accounts/DC - Cash flow statement of the Bêkou trust fund (xlsx)&quot; dsname=&quot;SAP Disclosure Management - Production&quot;&gt;&lt;VARIABLES /&gt;&lt;/BBOOK&gt;&lt;BBOOK bbname=&quot;4954&quot; bbdesc=&quot;2015 Annual Accounts/2015 BEKOU Annual accounts/DC - Cash flow statement of the Bêkou trust fund (xlsx)&quot; dsname=&quot;SAP Disclosure Management - Production&quot;&gt;&lt;VARIABLES /&gt;&lt;/BBOOK&gt;&lt;BBOOK bbname=&quot;13472&quot; bbdesc=&quot;2016 Annual Accounts/BEKOU Annual accounts/DC - Statement of Financial Performance (xlsx)&quot; dsname=&quot;SAP Disclosure Management - Production&quot;&gt;&lt;VARIABLES /&gt;&lt;/BBOOK&gt;&lt;BBOOK bbname=&quot;8791&quot; bbdesc=&quot;2016 Annual Accounts/BEKOU Annual accounts/DC - Cash flow statement of the Bêkou trust fund (xlsx)&quot; dsname=&quot;SAP Disclosure Management - Production&quot;&gt;&lt;VARIABLES /&gt;&lt;/BBOOK&gt;&lt;BBOOK bbname=&quot;8776&quot; bbdesc=&quot;2016 Annual Accounts/BEKOU Annual accounts/Manage periods (xlsx)&quot; dsname=&quot;SAP Disclosure Management - Production&quot;&gt;&lt;VARIABLES /&gt;&lt;/BBOOK&gt;&lt;BBOOK bbname=&quot;13482&quot; bbdesc=&quot;2017 Annual Accounts/BEKOU Annual accounts/DC Cashflow statement Bekou&quot; dsname=&quot;SAP Disclosure Management - Production&quot;&gt;&lt;VARIABLES /&gt;&lt;/BBOOK&gt;&lt;BBOOK bbname=&quot;1043&quot; bbdesc=&quot;2013 Annual Accounts/EEAS Annual Accounts/DC - Statement of changes in net assets (xlsx)&quot; dsname=&quot;SAP Disclosure Management - Production&quot;&gt;&lt;VARIABLES /&gt;&lt;/BBOOK&gt;&lt;BBOOK bbname=&quot;3169&quot; bbdesc=&quot;2014 Annual Accounts/FCH JU Annual accounts 2014/DC - Statement of changes in net assets (xlsx)&quot; dsname=&quot;SAP Disclosure Management - Production&quot;&gt;&lt;VARIABLES /&gt;&lt;/BBOOK&gt;&lt;BBOOK bbname=&quot;3493&quot; bbdesc=&quot;2014 Annual Accounts/BÊKOU Annual accounts 2014/DC - Statement of changes in net assets of the Bêkou trust fund (xlsx)&quot; dsname=&quot;SAP Disclosure Management - Production&quot;&gt;&lt;VARIABLES /&gt;&lt;/BBOOK&gt;&lt;BBOOK bbname=&quot;13474&quot; bbdesc=&quot;2016 Annual Accounts/BEKOU Annual accounts/DC - Statement of changes in net assets (xlsx)&quot; dsname=&quot;SAP Disclosure Management - Production&quot;&gt;&lt;VARIABLES /&gt;&lt;/BBOOK&gt;&lt;BBOOK bbname=&quot;13309&quot; bbdesc=&quot;2018 Annual Accounts/AFRICA EU Annual Accounts/DC - Balance Sheet&quot; dsname=&quot;SAP Disclosure Management - Production&quot;&gt;&lt;VARIABLES /&gt;&lt;/BBOOK&gt;&lt;BBOOK bbname=&quot;13311&quot; bbdesc=&quot;2016 Annual Accounts/AFRICA EU Annual Accounts/DC - Statement of Financial Performance (xlsx)&quot; dsname=&quot;SAP Disclosure Management - Production&quot;&gt;&lt;VARIABLES /&gt;&lt;/BBOOK&gt;&lt;BBOOK bbname=&quot;10405&quot; bbdesc=&quot;2016 Annual Accounts/BEKOU Annual accounts/DC - Cash flow statement of the Bêkou trust fund (xlsx)&quot; dsname=&quot;SAP Disclosure Management - Production&quot;&gt;&lt;VARIABLES /&gt;&lt;/BBOOK&gt;&lt;BBOOK bbname=&quot;10410&quot; bbdesc=&quot;2016 Annual Accounts/AFRICA EU Annual Accounts/DC - Balance Sheet (xlsx)&quot; dsname=&quot;SAP Disclosure Management - Production&quot;&gt;&lt;VARIABLES /&gt;&lt;/BBOOK&gt;&lt;BBOOK bbname=&quot;13323&quot; bbdesc=&quot;2017 Annual Accounts/AFRICA EU Annual Accounts/DC Cashflow statement Africa&quot; dsname=&quot;SAP Disclosure Management - Production&quot;&gt;&lt;VARIABLES /&gt;&lt;/BBOOK&gt;&lt;BBOOK bbname=&quot;13313&quot; bbdesc=&quot;2016 Annual Accounts/BEKOU Annual accounts/DC - Statement of changes in net assets (xlsx)&quot; dsname=&quot;SAP Disclosure Management - Production&quot;&gt;&lt;VARIABLES /&gt;&lt;/BBOOK&gt;&lt;BBOOK bbname=&quot;9484&quot; bbdesc=&quot;2015 Annual Accounts/EDF Annual Accounts 2015/DC - Consolidated Balance sheet EDF-Bêkou (xlsx)&quot; dsname=&quot;SAP Disclosure Management - Production&quot;&gt;&lt;VARIABLES /&gt;&lt;/BBOOK&gt;&lt;BBOOK bbname=&quot;14191&quot; bbdesc=&quot;2017 Annual Accounts/EDF Annual Accounts/DC-Conso BS&quot; dsname=&quot;SAP Disclosure Management - Production&quot;&gt;&lt;VARIABLES /&gt;&lt;/BBOOK&gt;&lt;BBOOK bbname=&quot;9462&quot; bbdesc=&quot;2015 Annual Accounts/EDF Annual Accounts 2015/DC - Consolidated Statement of financial performance EDF-Bêkou (xlsx)&quot; dsname=&quot;SAP Disclosure Management - Production&quot;&gt;&lt;VARIABLES /&gt;&lt;/BBOOK&gt;&lt;BBOOK bbname=&quot;14201&quot; bbdesc=&quot;2018 Annual Accounts/EDF Annual Accounts/DC-Conso PL&quot; dsname=&quot;SAP Disclosure Management - Production&quot;&gt;&lt;VARIABLES /&gt;&lt;/BBOOK&gt;&lt;BBOOK bbname=&quot;9495&quot; bbdesc=&quot;2015 Annual Accounts/EDF Annual Accounts 2015/DC - Consolidated Cash flow statement EDF-Bêkou (xlsx)&quot; dsname=&quot;SAP Disclosure Management - Production&quot;&gt;&lt;VARIABLES /&gt;&lt;/BBOOK&gt;&lt;BBOOK bbname=&quot;14157&quot; bbdesc=&quot;2017 Annual Accounts/EDF Annual Accounts/DC - consolidated CF EDF-TFs&quot; dsname=&quot;SAP Disclosure Management - Production&quot;&gt;&lt;VARIABLES /&gt;&lt;/BBOOK&gt;&lt;BBOOK bbname=&quot;9483&quot; bbdesc=&quot;2015 Annual Accounts/EDF Annual Accounts 2015/DC - Consolidated Statement of changes in net assets EDF-Bêkou (xlsx)&quot; dsname=&quot;SAP Disclosure Management - Production&quot;&gt;&lt;VARIABLES /&gt;&lt;/BBOOK&gt;&lt;BBOOK bbname=&quot;14071&quot; bbdesc=&quot;2018 Annual Accounts/EDF Annual Accounts/DC - Conso statement net assets EDF-TFs&quot; dsname=&quot;SAP Disclosure Management - Production&quot;&gt;&lt;VARIABLES /&gt;&lt;/BBOOK&gt;&lt;BBOOK bbname=&quot;15549&quot; bbdesc=&quot;2018 Annual Accounts/EDF Annual Accounts/DC for Report Implementation DEVCO (For File 2 3 4)&quot; dsname=&quot;SAP Disclosure Management - Production&quot;&gt;&lt;VARIABLES /&gt;&lt;/BBOOK&gt;&lt;/BBOOKS&gt;"/>
    <w:docVar w:name="DM_WB_C14072_METADATA" w:val="&lt;ChapterMetadata&gt;&lt;ChapterId&gt;14072&lt;/ChapterId&gt;&lt;ChapterName&gt;Revenue&lt;/ChapterName&gt;&lt;ChapterNoOfPages&gt;-1&lt;/ChapterNoOfPages&gt;&lt;ChapterVersion&gt;35&lt;/ChapterVersion&gt;&lt;/ChapterMetadata&gt;"/>
    <w:docVar w:name="DM_WB_C14073_METADATA" w:val="&lt;ChapterMetadata&gt;&lt;ChapterId&gt;14073&lt;/ChapterId&gt;&lt;ChapterName&gt;Consolidated Cash flow statement EDF-TFs&lt;/ChapterName&gt;&lt;ChapterNoOfPages&gt;-1&lt;/ChapterNoOfPages&gt;&lt;ChapterVersion&gt;18&lt;/ChapterVersion&gt;&lt;/ChapterMetadata&gt;"/>
    <w:docVar w:name="DM_WB_C14075_METADATA" w:val="&lt;ChapterMetadata&gt;&lt;ChapterId&gt;14075&lt;/ChapterId&gt;&lt;ChapterName&gt;Non-exchange recoverables and exchange receivables&lt;/ChapterName&gt;&lt;ChapterNoOfPages&gt;-1&lt;/ChapterNoOfPages&gt;&lt;ChapterVersion&gt;31&lt;/ChapterVersion&gt;&lt;/ChapterMetadata&gt;"/>
    <w:docVar w:name="DM_WB_C14076_METADATA" w:val="&lt;ChapterMetadata&gt;&lt;ChapterId&gt;14076&lt;/ChapterId&gt;&lt;ChapterName&gt;Balance sheet by EDF&lt;/ChapterName&gt;&lt;ChapterNoOfPages&gt;-1&lt;/ChapterNoOfPages&gt;&lt;ChapterVersion&gt;30&lt;/ChapterVersion&gt;&lt;/ChapterMetadata&gt;"/>
    <w:docVar w:name="DM_WB_C14078_METADATA" w:val="&lt;ChapterMetadata&gt;&lt;ChapterId&gt;14078&lt;/ChapterId&gt;&lt;ChapterName&gt;Financial statements and explanatory notes - Funds managed by the European Commission&lt;/ChapterName&gt;&lt;ChapterNoOfPages&gt;-1&lt;/ChapterNoOfPages&gt;&lt;ChapterVersion&gt;2&lt;/ChapterVersion&gt;&lt;/ChapterMetadata&gt;"/>
    <w:docVar w:name="DM_WB_C14079_METADATA" w:val="&lt;ChapterMetadata&gt;&lt;ChapterId&gt;14079&lt;/ChapterId&gt;&lt;ChapterName&gt;Statement of changes in net assets by EDF&lt;/ChapterName&gt;&lt;ChapterNoOfPages&gt;-1&lt;/ChapterNoOfPages&gt;&lt;ChapterVersion&gt;33&lt;/ChapterVersion&gt;&lt;/ChapterMetadata&gt;"/>
    <w:docVar w:name="DM_WB_C14081_METADATA" w:val="&lt;ChapterMetadata&gt;&lt;ChapterId&gt;14081&lt;/ChapterId&gt;&lt;ChapterName&gt;EDF Statement of financial performance&lt;/ChapterName&gt;&lt;ChapterNoOfPages&gt;-1&lt;/ChapterNoOfPages&gt;&lt;ChapterVersion&gt;20&lt;/ChapterVersion&gt;&lt;/ChapterMetadata&gt;"/>
    <w:docVar w:name="DM_WB_C14083_METADATA" w:val="&lt;ChapterMetadata&gt;&lt;ChapterId&gt;14083&lt;/ChapterId&gt;&lt;ChapterName&gt;Non current provisions&lt;/ChapterName&gt;&lt;ChapterNoOfPages&gt;-1&lt;/ChapterNoOfPages&gt;&lt;ChapterVersion&gt;26&lt;/ChapterVersion&gt;&lt;/ChapterMetadata&gt;"/>
    <w:docVar w:name="DM_WB_C14086_METADATA" w:val="&lt;ChapterMetadata&gt;&lt;ChapterId&gt;14086&lt;/ChapterId&gt;&lt;ChapterName&gt;Table of contents 2&lt;/ChapterName&gt;&lt;ChapterNoOfPages&gt;-1&lt;/ChapterNoOfPages&gt;&lt;ChapterVersion&gt;2&lt;/ChapterVersion&gt;&lt;/ChapterMetadata&gt;"/>
    <w:docVar w:name="DM_WB_C14087_METADATA" w:val="&lt;ChapterMetadata&gt;&lt;ChapterId&gt;14087&lt;/ChapterId&gt;&lt;ChapterName&gt;Statement of financial performance by EDF&lt;/ChapterName&gt;&lt;ChapterNoOfPages&gt;-1&lt;/ChapterNoOfPages&gt;&lt;ChapterVersion&gt;31&lt;/ChapterVersion&gt;&lt;/ChapterMetadata&gt;"/>
    <w:docVar w:name="DM_WB_C14088_METADATA" w:val="&lt;ChapterMetadata&gt;&lt;ChapterId&gt;14088&lt;/ChapterId&gt;&lt;ChapterName&gt;Net assets&lt;/ChapterName&gt;&lt;ChapterNoOfPages&gt;-1&lt;/ChapterNoOfPages&gt;&lt;ChapterVersion&gt;1&lt;/ChapterVersion&gt;&lt;/ChapterMetadata&gt;"/>
    <w:docVar w:name="DM_WB_C14089_METADATA" w:val="&lt;ChapterMetadata&gt;&lt;ChapterId&gt;14089&lt;/ChapterId&gt;&lt;ChapterName&gt;Current Pre financing&lt;/ChapterName&gt;&lt;ChapterNoOfPages&gt;-1&lt;/ChapterNoOfPages&gt;&lt;ChapterVersion&gt;25&lt;/ChapterVersion&gt;&lt;/ChapterMetadata&gt;"/>
    <w:docVar w:name="DM_WB_C14090_METADATA" w:val="&lt;ChapterMetadata&gt;&lt;ChapterId&gt;14090&lt;/ChapterId&gt;&lt;ChapterName&gt;NC Financial liabilities&lt;/ChapterName&gt;&lt;ChapterNoOfPages&gt;-1&lt;/ChapterNoOfPages&gt;&lt;ChapterVersion&gt;22&lt;/ChapterVersion&gt;&lt;/ChapterMetadata&gt;"/>
    <w:docVar w:name="DM_WB_C14092_METADATA" w:val="&lt;ChapterMetadata&gt;&lt;ChapterId&gt;14092&lt;/ChapterId&gt;&lt;ChapterName&gt;Financial statements of the EDF&lt;/ChapterName&gt;&lt;ChapterNoOfPages&gt;-1&lt;/ChapterNoOfPages&gt;&lt;ChapterVersion&gt;2&lt;/ChapterVersion&gt;&lt;/ChapterMetadata&gt;"/>
    <w:docVar w:name="DM_WB_C14095_METADATA" w:val="&lt;ChapterMetadata&gt;&lt;ChapterId&gt;14095&lt;/ChapterId&gt;&lt;ChapterName&gt;Expenses&lt;/ChapterName&gt;&lt;ChapterNoOfPages&gt;-1&lt;/ChapterNoOfPages&gt;&lt;ChapterVersion&gt;31&lt;/ChapterVersion&gt;&lt;/ChapterMetadata&gt;"/>
    <w:docVar w:name="DM_WB_C14096_METADATA" w:val="&lt;ChapterMetadata&gt;&lt;ChapterId&gt;14096&lt;/ChapterId&gt;&lt;ChapterName&gt;Called fund capital from closed EDFs carried forward&lt;/ChapterName&gt;&lt;ChapterNoOfPages&gt;-1&lt;/ChapterNoOfPages&gt;&lt;ChapterVersion&gt;20&lt;/ChapterVersion&gt;&lt;/ChapterMetadata&gt;"/>
    <w:docVar w:name="DM_WB_C14099_METADATA" w:val="&lt;ChapterMetadata&gt;&lt;ChapterId&gt;14099&lt;/ChapterId&gt;&lt;ChapterName&gt;Accrued charges_deferred income&lt;/ChapterName&gt;&lt;ChapterNoOfPages&gt;-1&lt;/ChapterNoOfPages&gt;&lt;ChapterVersion&gt;23&lt;/ChapterVersion&gt;&lt;/ChapterMetadata&gt;"/>
    <w:docVar w:name="DM_WB_C14102_METADATA" w:val="&lt;ChapterMetadata&gt;&lt;ChapterId&gt;14102&lt;/ChapterId&gt;&lt;ChapterName&gt;Non current liabilities&lt;/ChapterName&gt;&lt;ChapterNoOfPages&gt;-1&lt;/ChapterNoOfPages&gt;&lt;ChapterVersion&gt;2&lt;/ChapterVersion&gt;&lt;/ChapterMetadata&gt;"/>
    <w:docVar w:name="DM_WB_C14103_METADATA" w:val="&lt;ChapterMetadata&gt;&lt;ChapterId&gt;14103&lt;/ChapterId&gt;&lt;ChapterName&gt;Final annual accounts of the EUTF for Africa&lt;/ChapterName&gt;&lt;ChapterNoOfPages&gt;-1&lt;/ChapterNoOfPages&gt;&lt;ChapterVersion&gt;3&lt;/ChapterVersion&gt;&lt;/ChapterMetadata&gt;"/>
    <w:docVar w:name="DM_WB_C14106_METADATA" w:val="&lt;ChapterMetadata&gt;&lt;ChapterId&gt;14106&lt;/ChapterId&gt;&lt;ChapterName&gt;Report on financial implementation Devco file - 1&lt;/ChapterName&gt;&lt;ChapterNoOfPages&gt;-1&lt;/ChapterNoOfPages&gt;&lt;ChapterVersion&gt;3&lt;/ChapterVersion&gt;&lt;/ChapterMetadata&gt;"/>
    <w:docVar w:name="DM_WB_C14110_METADATA" w:val="&lt;ChapterMetadata&gt;&lt;ChapterId&gt;14110&lt;/ChapterId&gt;&lt;ChapterName&gt;Current liabilities&lt;/ChapterName&gt;&lt;ChapterNoOfPages&gt;-1&lt;/ChapterNoOfPages&gt;&lt;ChapterVersion&gt;1&lt;/ChapterVersion&gt;&lt;/ChapterMetadata&gt;"/>
    <w:docVar w:name="DM_WB_C14112_METADATA" w:val="&lt;ChapterMetadata&gt;&lt;ChapterId&gt;14112&lt;/ChapterId&gt;&lt;ChapterName&gt;FS and explanatory notes&lt;/ChapterName&gt;&lt;ChapterNoOfPages&gt;-1&lt;/ChapterNoOfPages&gt;&lt;ChapterVersion&gt;1&lt;/ChapterVersion&gt;&lt;/ChapterMetadata&gt;"/>
    <w:docVar w:name="DM_WB_C14113_METADATA" w:val="&lt;ChapterMetadata&gt;&lt;ChapterId&gt;14113&lt;/ChapterId&gt;&lt;ChapterName&gt;Contingent  assets&lt;/ChapterName&gt;&lt;ChapterNoOfPages&gt;-1&lt;/ChapterNoOfPages&gt;&lt;ChapterVersion&gt;25&lt;/ChapterVersion&gt;&lt;/ChapterMetadata&gt;"/>
    <w:docVar w:name="DM_WB_C14116_METADATA" w:val="&lt;ChapterMetadata&gt;&lt;ChapterId&gt;14116&lt;/ChapterId&gt;&lt;ChapterName&gt;Consolidated Balance sheet EDF-TFs&lt;/ChapterName&gt;&lt;ChapterNoOfPages&gt;-1&lt;/ChapterNoOfPages&gt;&lt;ChapterVersion&gt;18&lt;/ChapterVersion&gt;&lt;/ChapterMetadata&gt;"/>
    <w:docVar w:name="DM_WB_C14119_METADATA" w:val="&lt;ChapterMetadata&gt;&lt;ChapterId&gt;14119&lt;/ChapterId&gt;&lt;ChapterName&gt;Implementing and accounting for the EDF resources&lt;/ChapterName&gt;&lt;ChapterNoOfPages&gt;-1&lt;/ChapterNoOfPages&gt;&lt;ChapterVersion&gt;9&lt;/ChapterVersion&gt;&lt;/ChapterMetadata&gt;"/>
    <w:docVar w:name="DM_WB_C14120_METADATA" w:val="&lt;ChapterMetadata&gt;&lt;ChapterId&gt;14120&lt;/ChapterId&gt;&lt;ChapterName&gt;Contingent assets and liabilities and other significant disclosures&lt;/ChapterName&gt;&lt;ChapterNoOfPages&gt;-1&lt;/ChapterNoOfPages&gt;&lt;ChapterVersion&gt;1&lt;/ChapterVersion&gt;&lt;/ChapterMetadata&gt;"/>
    <w:docVar w:name="DM_WB_C14121_METADATA" w:val="&lt;ChapterMetadata&gt;&lt;ChapterId&gt;14121&lt;/ChapterId&gt;&lt;ChapterName&gt;Non current Pre financing&lt;/ChapterName&gt;&lt;ChapterNoOfPages&gt;-1&lt;/ChapterNoOfPages&gt;&lt;ChapterVersion&gt;24&lt;/ChapterVersion&gt;&lt;/ChapterMetadata&gt;"/>
    <w:docVar w:name="DM_WB_C14122_METADATA" w:val="&lt;ChapterMetadata&gt;&lt;ChapterId&gt;14122&lt;/ChapterId&gt;&lt;ChapterName&gt;Consolidated Statement of changes in net assets EDF-TFs&lt;/ChapterName&gt;&lt;ChapterNoOfPages&gt;-1&lt;/ChapterNoOfPages&gt;&lt;ChapterVersion&gt;19&lt;/ChapterVersion&gt;&lt;/ChapterMetadata&gt;"/>
    <w:docVar w:name="DM_WB_C14123_METADATA" w:val="&lt;ChapterMetadata&gt;&lt;ChapterId&gt;14123&lt;/ChapterId&gt;&lt;ChapterName&gt;Consolidated financial statements - EDF and Trust Funds&lt;/ChapterName&gt;&lt;ChapterNoOfPages&gt;-1&lt;/ChapterNoOfPages&gt;&lt;ChapterVersion&gt;1&lt;/ChapterVersion&gt;&lt;/ChapterMetadata&gt;"/>
    <w:docVar w:name="DM_WB_C14128_METADATA" w:val="&lt;ChapterMetadata&gt;&lt;ChapterId&gt;14128&lt;/ChapterId&gt;&lt;ChapterName&gt;Notes to the financial statements of the EDF&lt;/ChapterName&gt;&lt;ChapterNoOfPages&gt;-1&lt;/ChapterNoOfPages&gt;&lt;ChapterVersion&gt;4&lt;/ChapterVersion&gt;&lt;/ChapterMetadata&gt;"/>
    <w:docVar w:name="DM_WB_C14129_METADATA" w:val="&lt;ChapterMetadata&gt;&lt;ChapterId&gt;14129&lt;/ChapterId&gt;&lt;ChapterName&gt;Assets&lt;/ChapterName&gt;&lt;ChapterNoOfPages&gt;-1&lt;/ChapterNoOfPages&gt;&lt;ChapterVersion&gt;4&lt;/ChapterVersion&gt;&lt;/ChapterMetadata&gt;"/>
    <w:docVar w:name="DM_WB_C14131_METADATA" w:val="&lt;ChapterMetadata&gt;&lt;ChapterId&gt;14131&lt;/ChapterId&gt;&lt;ChapterName&gt;Financial risk management&lt;/ChapterName&gt;&lt;ChapterNoOfPages&gt;-1&lt;/ChapterNoOfPages&gt;&lt;ChapterVersion&gt;1&lt;/ChapterVersion&gt;&lt;/ChapterMetadata&gt;"/>
    <w:docVar w:name="DM_WB_C14132_METADATA" w:val="&lt;ChapterMetadata&gt;&lt;ChapterId&gt;14132&lt;/ChapterId&gt;&lt;ChapterName&gt;Related party disclosures&lt;/ChapterName&gt;&lt;ChapterNoOfPages&gt;-1&lt;/ChapterNoOfPages&gt;&lt;ChapterVersion&gt;2&lt;/ChapterVersion&gt;&lt;/ChapterMetadata&gt;"/>
    <w:docVar w:name="DM_WB_C14134_METADATA" w:val="&lt;ChapterMetadata&gt;&lt;ChapterId&gt;14134&lt;/ChapterId&gt;&lt;ChapterName&gt;Notes to the cashflow statement&lt;/ChapterName&gt;&lt;ChapterNoOfPages&gt;-1&lt;/ChapterNoOfPages&gt;&lt;ChapterVersion&gt;1&lt;/ChapterVersion&gt;&lt;/ChapterMetadata&gt;"/>
    <w:docVar w:name="DM_WB_C14135_METADATA" w:val="&lt;ChapterMetadata&gt;&lt;ChapterId&gt;14135&lt;/ChapterId&gt;&lt;ChapterName&gt;Events after the balance sheet date&lt;/ChapterName&gt;&lt;ChapterNoOfPages&gt;-1&lt;/ChapterNoOfPages&gt;&lt;ChapterVersion&gt;2&lt;/ChapterVersion&gt;&lt;/ChapterMetadata&gt;"/>
    <w:docVar w:name="DM_WB_C14137_METADATA" w:val="&lt;ChapterMetadata&gt;&lt;ChapterId&gt;14137&lt;/ChapterId&gt;&lt;ChapterName&gt;Certification of the accounts&lt;/ChapterName&gt;&lt;ChapterNoOfPages&gt;-1&lt;/ChapterNoOfPages&gt;&lt;ChapterVersion&gt;2&lt;/ChapterVersion&gt;&lt;/ChapterMetadata&gt;"/>
    <w:docVar w:name="DM_WB_C14138_METADATA" w:val="&lt;ChapterMetadata&gt;&lt;ChapterId&gt;14138&lt;/ChapterId&gt;&lt;ChapterName&gt;Financial statements and explanatory notes - Funds managed by the European Investment Bank&lt;/ChapterName&gt;&lt;ChapterNoOfPages&gt;-1&lt;/ChapterNoOfPages&gt;&lt;ChapterVersion&gt;1&lt;/ChapterVersion&gt;&lt;/ChapterMetadata&gt;"/>
    <w:docVar w:name="DM_WB_C14140_METADATA" w:val="&lt;ChapterMetadata&gt;&lt;ChapterId&gt;14140&lt;/ChapterId&gt;&lt;ChapterName&gt;Contingent liabilities and Other significant disclosures&lt;/ChapterName&gt;&lt;ChapterNoOfPages&gt;-1&lt;/ChapterNoOfPages&gt;&lt;ChapterVersion&gt;26&lt;/ChapterVersion&gt;&lt;/ChapterMetadata&gt;"/>
    <w:docVar w:name="DM_WB_C14142_METADATA" w:val="&lt;ChapterMetadata&gt;&lt;ChapterId&gt;14142&lt;/ChapterId&gt;&lt;ChapterName&gt;Notes to the Statement of financial performance&lt;/ChapterName&gt;&lt;ChapterNoOfPages&gt;-1&lt;/ChapterNoOfPages&gt;&lt;ChapterVersion&gt;1&lt;/ChapterVersion&gt;&lt;/ChapterMetadata&gt;"/>
    <w:docVar w:name="DM_WB_C14143_METADATA" w:val="&lt;ChapterMetadata&gt;&lt;ChapterId&gt;14143&lt;/ChapterId&gt;&lt;ChapterName&gt;Trust fund contributions&lt;/ChapterName&gt;&lt;ChapterNoOfPages&gt;-1&lt;/ChapterNoOfPages&gt;&lt;ChapterVersion&gt;29&lt;/ChapterVersion&gt;&lt;/ChapterMetadata&gt;"/>
    <w:docVar w:name="DM_WB_C14145_METADATA" w:val="&lt;ChapterMetadata&gt;&lt;ChapterId&gt;14145&lt;/ChapterId&gt;&lt;ChapterName&gt;Table of contents 1&lt;/ChapterName&gt;&lt;ChapterNoOfPages&gt;-1&lt;/ChapterNoOfPages&gt;&lt;ChapterVersion&gt;3&lt;/ChapterVersion&gt;&lt;/ChapterMetadata&gt;"/>
    <w:docVar w:name="DM_WB_C14147_METADATA" w:val="&lt;ChapterMetadata&gt;&lt;ChapterId&gt;14147&lt;/ChapterId&gt;&lt;ChapterName&gt;EDF Statement of changes in net assets&lt;/ChapterName&gt;&lt;ChapterNoOfPages&gt;-1&lt;/ChapterNoOfPages&gt;&lt;ChapterVersion&gt;30&lt;/ChapterVersion&gt;&lt;/ChapterMetadata&gt;"/>
    <w:docVar w:name="DM_WB_C14148_METADATA" w:val="&lt;ChapterMetadata&gt;&lt;ChapterId&gt;14148&lt;/ChapterId&gt;&lt;ChapterName&gt;Payables&lt;/ChapterName&gt;&lt;ChapterNoOfPages&gt;-1&lt;/ChapterNoOfPages&gt;&lt;ChapterVersion&gt;35&lt;/ChapterVersion&gt;&lt;/ChapterMetadata&gt;"/>
    <w:docVar w:name="DM_WB_C14149_METADATA" w:val="&lt;ChapterMetadata&gt;&lt;ChapterId&gt;14149&lt;/ChapterId&gt;&lt;ChapterName&gt;Final annual accounts of the Bêkou EU trust fund&lt;/ChapterName&gt;&lt;ChapterNoOfPages&gt;-1&lt;/ChapterNoOfPages&gt;&lt;ChapterVersion&gt;3&lt;/ChapterVersion&gt;&lt;/ChapterMetadata&gt;"/>
    <w:docVar w:name="DM_WB_C14151_METADATA" w:val="&lt;ChapterMetadata&gt;&lt;ChapterId&gt;14151&lt;/ChapterId&gt;&lt;ChapterName&gt;Report on financial implementation (DEVCO Part)&lt;/ChapterName&gt;&lt;ChapterNoOfPages&gt;-1&lt;/ChapterNoOfPages&gt;&lt;ChapterVersion&gt;1&lt;/ChapterVersion&gt;&lt;/ChapterMetadata&gt;"/>
    <w:docVar w:name="DM_WB_C14152_METADATA" w:val="&lt;ChapterMetadata&gt;&lt;ChapterId&gt;14152&lt;/ChapterId&gt;&lt;ChapterName&gt;Consolidated Statement of financial performance EDF-TFs&lt;/ChapterName&gt;&lt;ChapterNoOfPages&gt;-1&lt;/ChapterNoOfPages&gt;&lt;ChapterVersion&gt;21&lt;/ChapterVersion&gt;&lt;/ChapterMetadata&gt;"/>
    <w:docVar w:name="DM_WB_C14153_METADATA" w:val="&lt;ChapterMetadata&gt;&lt;ChapterId&gt;14153&lt;/ChapterId&gt;&lt;ChapterName&gt;Called fund capital&lt;/ChapterName&gt;&lt;ChapterNoOfPages&gt;-1&lt;/ChapterNoOfPages&gt;&lt;ChapterVersion&gt;28&lt;/ChapterVersion&gt;&lt;/ChapterMetadata&gt;"/>
    <w:docVar w:name="DM_WB_C14155_METADATA" w:val="&lt;ChapterMetadata&gt;&lt;ChapterId&gt;14155&lt;/ChapterId&gt;&lt;ChapterName&gt;Guarantees received in respect of pre financing&lt;/ChapterName&gt;&lt;ChapterNoOfPages&gt;-1&lt;/ChapterNoOfPages&gt;&lt;ChapterVersion&gt;5&lt;/ChapterVersion&gt;&lt;/ChapterMetadata&gt;"/>
    <w:docVar w:name="DM_WB_C14159_METADATA" w:val="&lt;ChapterMetadata&gt;&lt;ChapterId&gt;14159&lt;/ChapterId&gt;&lt;ChapterName&gt;EDF Balance sheet&lt;/ChapterName&gt;&lt;ChapterNoOfPages&gt;-1&lt;/ChapterNoOfPages&gt;&lt;ChapterVersion&gt;26&lt;/ChapterVersion&gt;&lt;/ChapterMetadata&gt;"/>
    <w:docVar w:name="DM_WB_C14160_METADATA" w:val="&lt;ChapterMetadata&gt;&lt;ChapterId&gt;14160&lt;/ChapterId&gt;&lt;ChapterName&gt;EDF Cashflow statement&lt;/ChapterName&gt;&lt;ChapterNoOfPages&gt;-1&lt;/ChapterNoOfPages&gt;&lt;ChapterVersion&gt;27&lt;/ChapterVersion&gt;&lt;/ChapterMetadata&gt;"/>
    <w:docVar w:name="DM_WB_C14161_METADATA" w:val="&lt;ChapterMetadata&gt;&lt;ChapterId&gt;14161&lt;/ChapterId&gt;&lt;ChapterName&gt;Reconciliation economic result Budget result&lt;/ChapterName&gt;&lt;ChapterNoOfPages&gt;-1&lt;/ChapterNoOfPages&gt;&lt;ChapterVersion&gt;28&lt;/ChapterVersion&gt;&lt;/ChapterMetadata&gt;"/>
    <w:docVar w:name="DM_WB_C14165_METADATA" w:val="&lt;ChapterMetadata&gt;&lt;ChapterId&gt;14165&lt;/ChapterId&gt;&lt;ChapterName&gt;Cover and first page&lt;/ChapterName&gt;&lt;ChapterNoOfPages&gt;-1&lt;/ChapterNoOfPages&gt;&lt;ChapterVersion&gt;4&lt;/ChapterVersion&gt;&lt;/ChapterMetadata&gt;"/>
    <w:docVar w:name="DM_WB_C14166_METADATA" w:val="&lt;ChapterMetadata&gt;&lt;ChapterId&gt;14166&lt;/ChapterId&gt;&lt;ChapterName&gt;Cash and cash equivalents current assets&lt;/ChapterName&gt;&lt;ChapterNoOfPages&gt;-1&lt;/ChapterNoOfPages&gt;&lt;ChapterVersion&gt;36&lt;/ChapterVersion&gt;&lt;/ChapterMetadata&gt;"/>
    <w:docVar w:name="DM_WB_C14168_METADATA" w:val="&lt;ChapterMetadata&gt;&lt;ChapterId&gt;14168&lt;/ChapterId&gt;&lt;ChapterName&gt;Notes to the balance sheet&lt;/ChapterName&gt;&lt;ChapterNoOfPages&gt;-1&lt;/ChapterNoOfPages&gt;&lt;ChapterVersion&gt;1&lt;/ChapterVersion&gt;&lt;/ChapterMetadata&gt;"/>
    <w:docVar w:name="DM_WB_C14171_METADATA" w:val="&lt;ChapterMetadata&gt;&lt;ChapterId&gt;14171&lt;/ChapterId&gt;&lt;ChapterName&gt;Market risk - Currency risks&lt;/ChapterName&gt;&lt;ChapterNoOfPages&gt;-1&lt;/ChapterNoOfPages&gt;&lt;ChapterVersion&gt;26&lt;/ChapterVersion&gt;&lt;/ChapterMetadata&gt;"/>
    <w:docVar w:name="DM_WB_C14172_METADATA" w:val="&lt;ChapterMetadata&gt;&lt;ChapterId&gt;14172&lt;/ChapterId&gt;&lt;ChapterName&gt;Interest rate risk&lt;/ChapterName&gt;&lt;ChapterNoOfPages&gt;-1&lt;/ChapterNoOfPages&gt;&lt;ChapterVersion&gt;2&lt;/ChapterVersion&gt;&lt;/ChapterMetadata&gt;"/>
    <w:docVar w:name="DM_WB_C14173_METADATA" w:val="&lt;ChapterMetadata&gt;&lt;ChapterId&gt;14173&lt;/ChapterId&gt;&lt;ChapterName&gt;Credit risk&lt;/ChapterName&gt;&lt;ChapterNoOfPages&gt;-1&lt;/ChapterNoOfPages&gt;&lt;ChapterVersion&gt;31&lt;/ChapterVersion&gt;&lt;/ChapterMetadata&gt;"/>
    <w:docVar w:name="DM_WB_C14174_METADATA" w:val="&lt;ChapterMetadata&gt;&lt;ChapterId&gt;14174&lt;/ChapterId&gt;&lt;ChapterName&gt;Liquidity risk&lt;/ChapterName&gt;&lt;ChapterNoOfPages&gt;-1&lt;/ChapterNoOfPages&gt;&lt;ChapterVersion&gt;27&lt;/ChapterVersion&gt;&lt;/ChapterMetadata&gt;"/>
    <w:docVar w:name="DM_WB_C14179_METADATA" w:val="&lt;ChapterMetadata&gt;&lt;ChapterId&gt;14179&lt;/ChapterId&gt;&lt;ChapterName&gt;Cashflow statement TF Bekou&lt;/ChapterName&gt;&lt;ChapterNoOfPages&gt;-1&lt;/ChapterNoOfPages&gt;&lt;ChapterVersion&gt;25&lt;/ChapterVersion&gt;&lt;/ChapterMetadata&gt;"/>
    <w:docVar w:name="DM_WB_C14180_METADATA" w:val="&lt;ChapterMetadata&gt;&lt;ChapterId&gt;14180&lt;/ChapterId&gt;&lt;ChapterName&gt;Background information TF Bekou&lt;/ChapterName&gt;&lt;ChapterNoOfPages&gt;-1&lt;/ChapterNoOfPages&gt;&lt;ChapterVersion&gt;5&lt;/ChapterVersion&gt;&lt;/ChapterMetadata&gt;"/>
    <w:docVar w:name="DM_WB_C14181_METADATA" w:val="&lt;ChapterMetadata&gt;&lt;ChapterId&gt;14181&lt;/ChapterId&gt;&lt;ChapterName&gt;Balance sheet TF Bekou&lt;/ChapterName&gt;&lt;ChapterNoOfPages&gt;-1&lt;/ChapterNoOfPages&gt;&lt;ChapterVersion&gt;25&lt;/ChapterVersion&gt;&lt;/ChapterMetadata&gt;"/>
    <w:docVar w:name="DM_WB_C14182_METADATA" w:val="&lt;ChapterMetadata&gt;&lt;ChapterId&gt;14182&lt;/ChapterId&gt;&lt;ChapterName&gt;Statement of financial performance TF Bekou&lt;/ChapterName&gt;&lt;ChapterNoOfPages&gt;-1&lt;/ChapterNoOfPages&gt;&lt;ChapterVersion&gt;30&lt;/ChapterVersion&gt;&lt;/ChapterMetadata&gt;"/>
    <w:docVar w:name="DM_WB_C14183_METADATA" w:val="&lt;ChapterMetadata&gt;&lt;ChapterId&gt;14183&lt;/ChapterId&gt;&lt;ChapterName&gt;Statemement of changes in net assets TF Bekou&lt;/ChapterName&gt;&lt;ChapterNoOfPages&gt;-1&lt;/ChapterNoOfPages&gt;&lt;ChapterVersion&gt;30&lt;/ChapterVersion&gt;&lt;/ChapterMetadata&gt;"/>
    <w:docVar w:name="DM_WB_C14186_METADATA" w:val="&lt;ChapterMetadata&gt;&lt;ChapterId&gt;14186&lt;/ChapterId&gt;&lt;ChapterName&gt;Called fund capital transfers between active EDFs&lt;/ChapterName&gt;&lt;ChapterNoOfPages&gt;-1&lt;/ChapterNoOfPages&gt;&lt;ChapterVersion&gt;28&lt;/ChapterVersion&gt;&lt;/ChapterMetadata&gt;"/>
    <w:docVar w:name="DM_WB_C14189_METADATA" w:val="&lt;ChapterMetadata&gt;&lt;ChapterId&gt;14189&lt;/ChapterId&gt;&lt;ChapterName&gt;Pre Financing&lt;/ChapterName&gt;&lt;ChapterNoOfPages&gt;-1&lt;/ChapterNoOfPages&gt;&lt;ChapterVersion&gt;31&lt;/ChapterVersion&gt;&lt;/ChapterMetadata&gt;"/>
    <w:docVar w:name="DM_WB_C14198_METADATA" w:val="&lt;ChapterMetadata&gt;&lt;ChapterId&gt;14198&lt;/ChapterId&gt;&lt;ChapterName&gt;Financial statements - EDF TFs&lt;/ChapterName&gt;&lt;ChapterNoOfPages&gt;-1&lt;/ChapterNoOfPages&gt;&lt;ChapterVersion&gt;2&lt;/ChapterVersion&gt;&lt;/ChapterMetadata&gt;"/>
    <w:docVar w:name="DM_WB_C14202_METADATA" w:val="&lt;ChapterMetadata&gt;&lt;ChapterId&gt;14202&lt;/ChapterId&gt;&lt;ChapterName&gt;Significant accounting policies (PART II)&lt;/ChapterName&gt;&lt;ChapterNoOfPages&gt;-1&lt;/ChapterNoOfPages&gt;&lt;ChapterVersion&gt;2&lt;/ChapterVersion&gt;&lt;/ChapterMetadata&gt;"/>
    <w:docVar w:name="DM_WB_C14204_METADATA" w:val="&lt;ChapterMetadata&gt;&lt;ChapterId&gt;14204&lt;/ChapterId&gt;&lt;ChapterName&gt;CF statement TF Africa&lt;/ChapterName&gt;&lt;ChapterNoOfPages&gt;-1&lt;/ChapterNoOfPages&gt;&lt;ChapterVersion&gt;25&lt;/ChapterVersion&gt;&lt;/ChapterMetadata&gt;"/>
    <w:docVar w:name="DM_WB_C14205_METADATA" w:val="&lt;ChapterMetadata&gt;&lt;ChapterId&gt;14205&lt;/ChapterId&gt;&lt;ChapterName&gt;Background information TF Africa&lt;/ChapterName&gt;&lt;ChapterNoOfPages&gt;-1&lt;/ChapterNoOfPages&gt;&lt;ChapterVersion&gt;5&lt;/ChapterVersion&gt;&lt;/ChapterMetadata&gt;"/>
    <w:docVar w:name="DM_WB_C14206_METADATA" w:val="&lt;ChapterMetadata&gt;&lt;ChapterId&gt;14206&lt;/ChapterId&gt;&lt;ChapterName&gt;Balance sheet TF Africa&lt;/ChapterName&gt;&lt;ChapterNoOfPages&gt;-1&lt;/ChapterNoOfPages&gt;&lt;ChapterVersion&gt;26&lt;/ChapterVersion&gt;&lt;/ChapterMetadata&gt;"/>
    <w:docVar w:name="DM_WB_C14207_METADATA" w:val="&lt;ChapterMetadata&gt;&lt;ChapterId&gt;14207&lt;/ChapterId&gt;&lt;ChapterName&gt;Statement of financial performance TF Africa&lt;/ChapterName&gt;&lt;ChapterNoOfPages&gt;-1&lt;/ChapterNoOfPages&gt;&lt;ChapterVersion&gt;30&lt;/ChapterVersion&gt;&lt;/ChapterMetadata&gt;"/>
    <w:docVar w:name="DM_WB_C14208_METADATA" w:val="&lt;ChapterMetadata&gt;&lt;ChapterId&gt;14208&lt;/ChapterId&gt;&lt;ChapterName&gt;Statement of changes in net asets TF Africa&lt;/ChapterName&gt;&lt;ChapterNoOfPages&gt;-1&lt;/ChapterNoOfPages&gt;&lt;ChapterVersion&gt;30&lt;/ChapterVersion&gt;&lt;/ChapterMetadata&gt;"/>
    <w:docVar w:name="DM_WB_C14284_METADATA" w:val="&lt;ChapterMetadata&gt;&lt;ChapterId&gt;14284&lt;/ChapterId&gt;&lt;ChapterName&gt;Significant accounting policies (master ext. entities)&lt;/ChapterName&gt;&lt;ChapterNoOfPages&gt;-1&lt;/ChapterNoOfPages&gt;&lt;ChapterVersion&gt;39&lt;/ChapterVersion&gt;&lt;/ChapterMetadata&gt;"/>
    <w:docVar w:name="DM_WB_C15554_METADATA" w:val="&lt;ChapterMetadata&gt;&lt;ChapterId&gt;15554&lt;/ChapterId&gt;&lt;ChapterName&gt;Report on Financial Implementation DEVCO file 2 (11 12 13 14) Final&lt;/ChapterName&gt;&lt;ChapterNoOfPages&gt;-1&lt;/ChapterNoOfPages&gt;&lt;ChapterVersion&gt;36&lt;/ChapterVersion&gt;&lt;/ChapterMetadata&gt;"/>
    <w:docVar w:name="DM_WB_C15555_METADATA" w:val="&lt;ChapterMetadata&gt;&lt;ChapterId&gt;15555&lt;/ChapterId&gt;&lt;ChapterName&gt;Report on Financial Implementation DEVCO fle 3 (22) Final&lt;/ChapterName&gt;&lt;ChapterNoOfPages&gt;-1&lt;/ChapterNoOfPages&gt;&lt;ChapterVersion&gt;22&lt;/ChapterVersion&gt;&lt;/ChapterMetadata&gt;"/>
    <w:docVar w:name="DM_WB_C15556_METADATA" w:val="&lt;ChapterMetadata&gt;&lt;ChapterId&gt;15556&lt;/ChapterId&gt;&lt;ChapterName&gt;Report on Financial Implementation DEVCO file 4 (23 24 26 25)&lt;/ChapterName&gt;&lt;ChapterNoOfPages&gt;-1&lt;/ChapterNoOfPages&gt;&lt;ChapterVersion&gt;41&lt;/ChapterVersion&gt;&lt;/ChapterMetadata&gt;"/>
    <w:docVar w:name="DM_WB_C15804_METADATA" w:val="&lt;ChapterMetadata&gt;&lt;ChapterId&gt;15804&lt;/ChapterId&gt;&lt;ChapterName&gt;Report on Financial Implementation DEVCO file 21a&lt;/ChapterName&gt;&lt;ChapterNoOfPages&gt;-1&lt;/ChapterNoOfPages&gt;&lt;ChapterVersion&gt;3&lt;/ChapterVersion&gt;&lt;/ChapterMetadata&gt;"/>
    <w:docVar w:name="DM_WB_C15806_METADATA" w:val="&lt;ChapterMetadata&gt;&lt;ChapterId&gt;15806&lt;/ChapterId&gt;&lt;ChapterName&gt;Report on Financial Implementation DEVCO file 2 1 b&lt;/ChapterName&gt;&lt;ChapterNoOfPages&gt;-1&lt;/ChapterNoOfPages&gt;&lt;ChapterVersion&gt;4&lt;/ChapterVersion&gt;&lt;/ChapterMetadata&gt;"/>
    <w:docVar w:name="DOC_TBL00001_1_1" w:val="|@|1|2057"/>
    <w:docVar w:name="doc_tbl00003_1_1" w:val="|@|1|2057"/>
    <w:docVar w:name="DOC_TBL00007_1_1" w:val="|@|1|2057"/>
    <w:docVar w:name="doc_tbl00011_1_1" w:val="Currency|@|1|2057"/>
    <w:docVar w:name="doc_tbl00021_1_1" w:val="|@|1|2057"/>
    <w:docVar w:name="doc_tbl00025_1_1" w:val="|@|1|2057"/>
    <w:docVar w:name="doc_tbl00027_1_1" w:val="|@|1|2057"/>
    <w:docVar w:name="doc_tbl00030_1_1" w:val="|@|1|2057"/>
    <w:docVar w:name="doc_tbl00031_1_1" w:val="|@|1|2057"/>
    <w:docVar w:name="doc_tbl00038_1_1" w:val="|@|1|2057"/>
    <w:docVar w:name="doc_tbl00045_1_1" w:val="|@|1|2057"/>
    <w:docVar w:name="doc_tbl00046_1_1" w:val="|@|1|2057"/>
    <w:docVar w:name="doc_tbl00050_1_1" w:val="|@|1|2057"/>
    <w:docVar w:name="doc_tbl00051_1_1" w:val="|@|1|2057"/>
    <w:docVar w:name="doc_tbl00052_1_1" w:val="|@|1|2057"/>
    <w:docVar w:name="doc_tbl00053_1_1" w:val="|@|1|2057"/>
    <w:docVar w:name="doc_tbl00054_1_1" w:val="|@|1|2057"/>
    <w:docVar w:name="doc_tbl00055_1_1" w:val="|@|1|2057"/>
    <w:docVar w:name="doc_tbl00056_1_1" w:val="|@|1|2057"/>
    <w:docVar w:name="doc_tbl00057_1_1" w:val="|@|1|2057"/>
    <w:docVar w:name="doc_tbl00063_1_1" w:val="|@|1|2057"/>
    <w:docVar w:name="doc_tbl00064_1_1" w:val="|@|1|2057"/>
    <w:docVar w:name="doc_tbl00066_1_1" w:val="|@|1|2057"/>
    <w:docVar w:name="doc_tbl00067_1_1" w:val="Decisions|@|1|2057"/>
    <w:docVar w:name="doc_tbl00071_1_1" w:val="|@|1|2057"/>
    <w:docVar w:name="DocStatus" w:val="Green"/>
    <w:docVar w:name="LW_COVERPAGE_EXISTS" w:val="True"/>
    <w:docVar w:name="LW_COVERPAGE_GUID" w:val="33F28571-F505-4189-99E1-E283A037882D"/>
    <w:docVar w:name="LW_COVERPAGE_TYPE" w:val="1"/>
    <w:docVar w:name="LW_CROSSREFERENCE" w:val="&lt;UNUSED&gt;"/>
    <w:docVar w:name="LW_DocType" w:val="TEMPLATE_EDF_2014_VERTICAL"/>
    <w:docVar w:name="LW_EMISSION" w:val="26.6.2019"/>
    <w:docVar w:name="LW_EMISSION_ISODATE" w:val="2019-06-26"/>
    <w:docVar w:name="LW_EMISSION_LOCATION" w:val="BRX"/>
    <w:docVar w:name="LW_EMISSION_PREFIX" w:val="Брюксел, "/>
    <w:docVar w:name="LW_EMISSION_SUFFIX" w:val=" \u1075?."/>
    <w:docVar w:name="LW_ID_DOCTYPE_NONLW" w:val="CP-040"/>
    <w:docVar w:name="LW_INTERETEEE.CP" w:val="&lt;UNUSED&gt;"/>
    <w:docVar w:name="LW_LANGUE" w:val="BG"/>
    <w:docVar w:name="LW_LANGUESFAISANTFOI.CP" w:val="&lt;UNUSED&gt;"/>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9) 31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1043?\u1086?\u1076?\u1080?\u1096?\u1085?\u1080? \u1086?\u1090?\u1095?\u1077?\u1090?\u1080? \u1085?\u1072? \u1045?\u1074?\u1088?\u1086?\u1087?\u1077?\u1081?\u1089?\u1082?\u1080?\u1103? \u1092?\u1086?\u1085?\u1076? \u1079?\u1072? \u1088?\u1072?\u1079?\u1074?\u1080?\u1090?\u1080?\u1077? \u1079?\u1072? 2018 \u1075?."/>
    <w:docVar w:name="LW_TYPE.DOC.CP" w:val="\u1057?\u1066?\u1054?\u1041?\u1065?\u1045?\u1053?\u1048?\u1045? \u1053?\u1040? \u1050?\u1054?\u1052?\u1048?\u1057?\u1048?\u1071?\u1058?\u1040? \u1044?\u1054? \u1045?\u1042?\u1056?\u1054?\u1055?\u1045?\u1049?\u1057?\u1050?\u1048?\u1071? \u1055?\u1040?\u1056?\u1051?\u1040?\u1052?\u1045?\u1053?\u1058?, \u1057?\u1066?\u1042?\u1045?\u1058?\u1040? \u1048? \u1057?\u1052?\u1045?\u1058?\u1053?\u1040?\u1058?\u1040? \u1055?\u1040?\u1051?\u1040?\u1058?\u1040?"/>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bg-BG"/>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bg-BG"/>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rFonts w:ascii="Times New Roman" w:eastAsia="Times New Roman" w:hAnsi="Times New Roman" w:cs="Times New Roman"/>
      <w:sz w:val="24"/>
      <w:szCs w:val="24"/>
      <w:lang w:eastAsia="bg-BG"/>
    </w:rPr>
  </w:style>
  <w:style w:type="character" w:customStyle="1" w:styleId="Heading1Char">
    <w:name w:val="Heading 1 Char"/>
    <w:link w:val="Heading1"/>
    <w:rPr>
      <w:rFonts w:ascii="Cambria" w:eastAsia="Times New Roman" w:hAnsi="Cambria" w:cs="Times New Roman"/>
      <w:b/>
      <w:bCs/>
      <w:color w:val="365F91"/>
      <w:sz w:val="28"/>
      <w:szCs w:val="28"/>
      <w:lang w:eastAsia="bg-BG"/>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2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customStyle="1" w:styleId="HEADERTITLE0">
    <w:name w:val="HEADER_TITLE_0"/>
    <w:basedOn w:val="HEADERTITLE"/>
    <w:qFormat/>
    <w:pPr>
      <w:jc w:val="both"/>
    </w:pPr>
  </w:style>
  <w:style w:type="character" w:styleId="FootnoteReference">
    <w:name w:val="footnote reference"/>
    <w:basedOn w:val="DefaultParagraphFont"/>
    <w:uiPriority w:val="99"/>
    <w:semiHidden/>
    <w:unhideWhenUsed/>
    <w:rPr>
      <w:vertAlign w:val="superscript"/>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rPr>
  </w:style>
  <w:style w:type="paragraph" w:customStyle="1" w:styleId="Heading10pNormalLeft">
    <w:name w:val="Heading_10p_Normal_Left"/>
    <w:qFormat/>
    <w:pPr>
      <w:pBdr>
        <w:top w:val="nil"/>
        <w:left w:val="nil"/>
        <w:bottom w:val="nil"/>
        <w:right w:val="nil"/>
        <w:between w:val="nil"/>
        <w:bar w:val="nil"/>
      </w:pBdr>
    </w:pPr>
    <w:rPr>
      <w:rFonts w:ascii="Verdana" w:eastAsia="Calibri" w:hAnsi="Verdana"/>
      <w:noProof/>
      <w:color w:val="FFFFFF"/>
      <w:szCs w:val="30"/>
      <w:bdr w:val="nil"/>
    </w:rPr>
  </w:style>
  <w:style w:type="paragraph" w:customStyle="1" w:styleId="Heading10pNormalRight025">
    <w:name w:val="Heading_10p_Normal_Right_0.25"/>
    <w:qFormat/>
    <w:pPr>
      <w:pBdr>
        <w:top w:val="nil"/>
        <w:left w:val="nil"/>
        <w:bottom w:val="nil"/>
        <w:right w:val="nil"/>
        <w:between w:val="nil"/>
        <w:bar w:val="nil"/>
      </w:pBdr>
      <w:ind w:right="142"/>
      <w:jc w:val="right"/>
    </w:pPr>
    <w:rPr>
      <w:rFonts w:ascii="Verdana" w:eastAsia="Calibri" w:hAnsi="Verdana"/>
      <w:noProof/>
      <w:color w:val="FFFFFF"/>
      <w:szCs w:val="30"/>
      <w:bdr w:val="nil"/>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rPr>
  </w:style>
  <w:style w:type="paragraph" w:customStyle="1" w:styleId="Text9pItalicCentered">
    <w:name w:val="Text_9p_Italic_Centered"/>
    <w:qFormat/>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Figures9pBoldRight025">
    <w:name w:val="Figures_9p_Bold_Right_0.25"/>
    <w:qFormat/>
    <w:pPr>
      <w:pBdr>
        <w:top w:val="nil"/>
        <w:left w:val="nil"/>
        <w:bottom w:val="nil"/>
        <w:right w:val="nil"/>
        <w:between w:val="nil"/>
        <w:bar w:val="nil"/>
      </w:pBdr>
      <w:ind w:right="142"/>
      <w:jc w:val="right"/>
    </w:pPr>
    <w:rPr>
      <w:rFonts w:ascii="Verdana" w:eastAsia="Calibri" w:hAnsi="Verdana"/>
      <w:b/>
      <w:noProof/>
      <w:sz w:val="18"/>
      <w:szCs w:val="18"/>
      <w:bdr w:val="nil"/>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rPr>
  </w:style>
  <w:style w:type="paragraph" w:customStyle="1" w:styleId="Figures9pItalicRight025">
    <w:name w:val="Figures_9p_Italic_Right_0.25"/>
    <w:qFormat/>
    <w:pPr>
      <w:pBdr>
        <w:top w:val="nil"/>
        <w:left w:val="nil"/>
        <w:bottom w:val="nil"/>
        <w:right w:val="nil"/>
        <w:between w:val="nil"/>
        <w:bar w:val="nil"/>
      </w:pBdr>
      <w:ind w:right="142"/>
      <w:jc w:val="right"/>
    </w:pPr>
    <w:rPr>
      <w:rFonts w:ascii="Verdana" w:eastAsia="Calibri" w:hAnsi="Verdana"/>
      <w:i/>
      <w:noProof/>
      <w:sz w:val="18"/>
      <w:szCs w:val="18"/>
      <w:bdr w:val="nil"/>
    </w:rPr>
  </w:style>
  <w:style w:type="paragraph" w:customStyle="1" w:styleId="Text9pItalicBoldLeft">
    <w:name w:val="Text_9p_ItalicBold_Left"/>
    <w:qFormat/>
    <w:pPr>
      <w:pBdr>
        <w:top w:val="nil"/>
        <w:left w:val="nil"/>
        <w:bottom w:val="nil"/>
        <w:right w:val="nil"/>
        <w:between w:val="nil"/>
        <w:bar w:val="nil"/>
      </w:pBdr>
    </w:pPr>
    <w:rPr>
      <w:rFonts w:ascii="Verdana" w:eastAsia="Calibri" w:hAnsi="Verdana"/>
      <w:b/>
      <w:i/>
      <w:noProof/>
      <w:sz w:val="18"/>
      <w:szCs w:val="18"/>
      <w:bdr w:val="nil"/>
    </w:r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pBdr>
        <w:top w:val="nil"/>
        <w:left w:val="nil"/>
        <w:bottom w:val="nil"/>
        <w:right w:val="nil"/>
        <w:between w:val="nil"/>
        <w:bar w:val="nil"/>
      </w:pBdr>
      <w:jc w:val="center"/>
    </w:pPr>
    <w:rPr>
      <w:rFonts w:ascii="Verdana" w:eastAsia="Calibri" w:hAnsi="Verdana"/>
      <w:noProof/>
      <w:color w:val="FFFFFF"/>
      <w:sz w:val="16"/>
      <w:szCs w:val="30"/>
      <w:bdr w:val="nil"/>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rPr>
  </w:style>
  <w:style w:type="paragraph" w:customStyle="1" w:styleId="Text7pItalicRight025">
    <w:name w:val="Text_7p_Italic_Right_0.25"/>
    <w:basedOn w:val="Text8pItalicRight025EUR"/>
    <w:qFormat/>
    <w:rPr>
      <w:sz w:val="14"/>
    </w:rPr>
  </w:style>
  <w:style w:type="paragraph" w:customStyle="1" w:styleId="Text8pBoldLeft">
    <w:name w:val="Text_8p_Bold_Left"/>
    <w:qFormat/>
    <w:pPr>
      <w:pBdr>
        <w:top w:val="nil"/>
        <w:left w:val="nil"/>
        <w:bottom w:val="nil"/>
        <w:right w:val="nil"/>
        <w:between w:val="nil"/>
        <w:bar w:val="nil"/>
      </w:pBdr>
    </w:pPr>
    <w:rPr>
      <w:rFonts w:ascii="Verdana" w:eastAsia="Calibri" w:hAnsi="Verdana"/>
      <w:b/>
      <w:bCs/>
      <w:noProof/>
      <w:sz w:val="16"/>
      <w:bdr w:val="nil"/>
    </w:rPr>
  </w:style>
  <w:style w:type="paragraph" w:customStyle="1" w:styleId="Figures8pBoldRight025">
    <w:name w:val="Figures_8p_Bold_Right_0.25"/>
    <w:qFormat/>
    <w:pPr>
      <w:pBdr>
        <w:top w:val="nil"/>
        <w:left w:val="nil"/>
        <w:bottom w:val="nil"/>
        <w:right w:val="nil"/>
        <w:between w:val="nil"/>
        <w:bar w:val="nil"/>
      </w:pBdr>
      <w:ind w:right="142"/>
      <w:jc w:val="right"/>
    </w:pPr>
    <w:rPr>
      <w:rFonts w:ascii="Verdana" w:eastAsia="Calibri" w:hAnsi="Verdana"/>
      <w:b/>
      <w:bCs/>
      <w:noProof/>
      <w:sz w:val="16"/>
      <w:bdr w:val="nil"/>
    </w:rPr>
  </w:style>
  <w:style w:type="paragraph" w:customStyle="1" w:styleId="Text9pBoldLeft025">
    <w:name w:val="Text_9p_Bold_Left_0.25"/>
    <w:qFormat/>
    <w:pPr>
      <w:pBdr>
        <w:top w:val="nil"/>
        <w:left w:val="nil"/>
        <w:bottom w:val="nil"/>
        <w:right w:val="nil"/>
        <w:between w:val="nil"/>
        <w:bar w:val="nil"/>
      </w:pBdr>
      <w:ind w:left="142"/>
    </w:pPr>
    <w:rPr>
      <w:rFonts w:ascii="Verdana" w:eastAsia="Calibri" w:hAnsi="Verdana"/>
      <w:b/>
      <w:noProof/>
      <w:sz w:val="18"/>
      <w:szCs w:val="18"/>
      <w:bdr w:val="nil"/>
    </w:rPr>
  </w:style>
  <w:style w:type="paragraph" w:customStyle="1" w:styleId="Figures9pItalicCentered">
    <w:name w:val="Figures_9p_Italic_Centered"/>
    <w:qFormat/>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rPr>
  </w:style>
  <w:style w:type="character" w:customStyle="1" w:styleId="DGTextstand-aloneChar">
    <w:name w:val="DG_Text_stand-alone Char"/>
    <w:link w:val="DGTextstand-alone"/>
    <w:locked/>
    <w:rPr>
      <w:rFonts w:ascii="Verdana" w:eastAsia="Calibri" w:hAnsi="Verdana"/>
      <w:noProof/>
      <w:sz w:val="18"/>
      <w:szCs w:val="18"/>
      <w:lang w:eastAsia="bg-BG"/>
    </w:rPr>
  </w:style>
  <w:style w:type="paragraph" w:customStyle="1" w:styleId="Heading9pNormalLeft">
    <w:name w:val="Heading_9p_Normal_Left"/>
    <w:basedOn w:val="Heading9pNormalCentered"/>
    <w:qFormat/>
    <w:pPr>
      <w:jc w:val="left"/>
    </w:pPr>
  </w:style>
  <w:style w:type="paragraph" w:customStyle="1" w:styleId="Heading9pNormalCentered">
    <w:name w:val="Heading_9p_Normal_Centered"/>
    <w:qFormat/>
    <w:pPr>
      <w:pBdr>
        <w:top w:val="nil"/>
        <w:left w:val="nil"/>
        <w:bottom w:val="nil"/>
        <w:right w:val="nil"/>
        <w:between w:val="nil"/>
        <w:bar w:val="nil"/>
      </w:pBdr>
      <w:jc w:val="center"/>
    </w:pPr>
    <w:rPr>
      <w:rFonts w:ascii="Verdana" w:hAnsi="Verdana" w:cs="Calibri"/>
      <w:bCs/>
      <w:color w:val="FFFFFF"/>
      <w:sz w:val="18"/>
      <w:szCs w:val="22"/>
      <w:bdr w:val="nil"/>
    </w:rPr>
  </w:style>
  <w:style w:type="paragraph" w:customStyle="1" w:styleId="Heading10pNormalCentered">
    <w:name w:val="Heading_10p_Normal_Centered"/>
    <w:qFormat/>
    <w:pPr>
      <w:jc w:val="center"/>
    </w:pPr>
    <w:rPr>
      <w:rFonts w:ascii="Verdana" w:eastAsia="Calibri" w:hAnsi="Verdana"/>
      <w:noProof/>
      <w:color w:val="FFFFFF"/>
      <w:szCs w:val="30"/>
    </w:rPr>
  </w:style>
  <w:style w:type="paragraph" w:customStyle="1" w:styleId="Text9pItalicLeftIndented">
    <w:name w:val="Text_9p_Italic_LeftIndented"/>
    <w:qFormat/>
    <w:pPr>
      <w:ind w:left="720"/>
    </w:pPr>
    <w:rPr>
      <w:rFonts w:ascii="Verdana" w:eastAsia="Calibri" w:hAnsi="Verdana"/>
      <w:i/>
      <w:noProof/>
      <w:sz w:val="18"/>
      <w:szCs w:val="18"/>
    </w:rPr>
  </w:style>
  <w:style w:type="paragraph" w:customStyle="1" w:styleId="Heading-9pNormalCentered">
    <w:name w:val="Heading-9p_Normal_Centered"/>
    <w:basedOn w:val="Heading10pNormalCentered"/>
    <w:qFormat/>
    <w:pPr>
      <w:pBdr>
        <w:top w:val="nil"/>
        <w:left w:val="nil"/>
        <w:bottom w:val="nil"/>
        <w:right w:val="nil"/>
        <w:between w:val="nil"/>
        <w:bar w:val="nil"/>
      </w:pBdr>
    </w:pPr>
    <w:rPr>
      <w:sz w:val="18"/>
      <w:bdr w:val="nil"/>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Heading9pNormalRight01">
    <w:name w:val="Heading_9p_Normal_Right_0.1"/>
    <w:basedOn w:val="Heading9pNormalRight025"/>
    <w:qFormat/>
    <w:pPr>
      <w:ind w:right="57"/>
    </w:pPr>
  </w:style>
  <w:style w:type="paragraph" w:customStyle="1" w:styleId="Heading9pNormalRight025">
    <w:name w:val="Heading_9p_Normal_Right_0.25"/>
    <w:basedOn w:val="Heading9pNormalCentered"/>
    <w:qFormat/>
    <w:pPr>
      <w:ind w:right="142"/>
      <w:jc w:val="right"/>
    </w:pPr>
  </w:style>
  <w:style w:type="paragraph" w:customStyle="1" w:styleId="Heading9pBoldRight01">
    <w:name w:val="Heading_9p_Bold_Right_0.1"/>
    <w:basedOn w:val="Heading9pBoldLeft"/>
    <w:qFormat/>
    <w:pPr>
      <w:ind w:right="57"/>
      <w:jc w:val="right"/>
    </w:pPr>
  </w:style>
  <w:style w:type="paragraph" w:customStyle="1" w:styleId="Heading9pBoldLeft">
    <w:name w:val="Heading_9p_Bold_Left"/>
    <w:basedOn w:val="Heading9pBoldCentered"/>
    <w:qFormat/>
    <w:pPr>
      <w:jc w:val="left"/>
    </w:pPr>
    <w:rPr>
      <w:color w:val="FFFFFF"/>
    </w:rPr>
  </w:style>
  <w:style w:type="paragraph" w:customStyle="1" w:styleId="Heading9pBoldCentered">
    <w:name w:val="Heading_9p_Bold_Centered"/>
    <w:qFormat/>
    <w:pPr>
      <w:pBdr>
        <w:top w:val="nil"/>
        <w:left w:val="nil"/>
        <w:bottom w:val="nil"/>
        <w:right w:val="nil"/>
        <w:between w:val="nil"/>
        <w:bar w:val="nil"/>
      </w:pBdr>
      <w:jc w:val="center"/>
    </w:pPr>
    <w:rPr>
      <w:rFonts w:ascii="Verdana" w:eastAsia="Calibri" w:hAnsi="Verdana"/>
      <w:b/>
      <w:noProof/>
      <w:sz w:val="18"/>
      <w:szCs w:val="18"/>
      <w:bdr w:val="nil"/>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rPr>
  </w:style>
  <w:style w:type="paragraph" w:customStyle="1" w:styleId="Figures9pItalicBoldRight025">
    <w:name w:val="Figures_9p_ItalicBold_Right_0.25"/>
    <w:qFormat/>
    <w:pPr>
      <w:pBdr>
        <w:top w:val="nil"/>
        <w:left w:val="nil"/>
        <w:bottom w:val="nil"/>
        <w:right w:val="nil"/>
        <w:between w:val="nil"/>
        <w:bar w:val="nil"/>
      </w:pBdr>
      <w:ind w:right="142"/>
      <w:jc w:val="right"/>
    </w:pPr>
    <w:rPr>
      <w:rFonts w:ascii="Verdana" w:eastAsia="Calibri" w:hAnsi="Verdana"/>
      <w:b/>
      <w:i/>
      <w:noProof/>
      <w:sz w:val="18"/>
      <w:szCs w:val="18"/>
      <w:bdr w:val="nil"/>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6pBoldRight01">
    <w:name w:val="Figures_6p_Bold_Right_0.1"/>
    <w:basedOn w:val="Figures7pBoldRight025"/>
    <w:qFormat/>
    <w:pPr>
      <w:ind w:right="57"/>
    </w:pPr>
    <w:rPr>
      <w:sz w:val="12"/>
      <w:szCs w:val="12"/>
    </w:rPr>
  </w:style>
  <w:style w:type="paragraph" w:customStyle="1" w:styleId="Figures55pItalicRight01">
    <w:name w:val="Figures_5.5p_Italic_Right_0.1"/>
    <w:basedOn w:val="Figures6pItalicRight01"/>
    <w:qFormat/>
    <w:rPr>
      <w:sz w:val="11"/>
    </w:rPr>
  </w:style>
  <w:style w:type="paragraph" w:customStyle="1" w:styleId="Figures6pItalicRight01">
    <w:name w:val="Figures_6p_Italic_Right_0.1"/>
    <w:basedOn w:val="Figures7pItalicRight025"/>
    <w:qFormat/>
    <w:pPr>
      <w:ind w:right="57"/>
    </w:pPr>
    <w:rPr>
      <w:sz w:val="12"/>
      <w:szCs w:val="12"/>
    </w:rPr>
  </w:style>
  <w:style w:type="paragraph" w:customStyle="1" w:styleId="Heading8pNormalRight01">
    <w:name w:val="Heading_8p_Normal_Right_0.1"/>
    <w:qFormat/>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Text8pItalicBoldLeft">
    <w:name w:val="Text_8p_ItalicBold_Left"/>
    <w:basedOn w:val="Text9pItalicLeft"/>
    <w:qFormat/>
    <w:rPr>
      <w:b/>
      <w:sz w:val="16"/>
    </w:rPr>
  </w:style>
  <w:style w:type="paragraph" w:customStyle="1" w:styleId="Figures8pItalicBoldRight025">
    <w:name w:val="Figures_8p_ItalicBold_Right_0.25"/>
    <w:basedOn w:val="Figures8pBoldRight025"/>
    <w:qFormat/>
    <w:rPr>
      <w:i/>
    </w:rPr>
  </w:style>
  <w:style w:type="paragraph" w:customStyle="1" w:styleId="Heading7pBoldLeft">
    <w:name w:val="Heading_7p_Bold_Left"/>
    <w:qFormat/>
    <w:pPr>
      <w:pBdr>
        <w:top w:val="nil"/>
        <w:left w:val="nil"/>
        <w:bottom w:val="nil"/>
        <w:right w:val="nil"/>
        <w:between w:val="nil"/>
        <w:bar w:val="nil"/>
      </w:pBdr>
    </w:pPr>
    <w:rPr>
      <w:rFonts w:ascii="Verdana" w:eastAsia="Calibri" w:hAnsi="Verdana"/>
      <w:b/>
      <w:noProof/>
      <w:sz w:val="14"/>
      <w:szCs w:val="18"/>
      <w:bdr w:val="nil"/>
    </w:rPr>
  </w:style>
  <w:style w:type="paragraph" w:styleId="FootnoteText">
    <w:name w:val="footnote text"/>
    <w:basedOn w:val="Normal"/>
    <w:link w:val="FootnoteTextChar"/>
    <w:unhideWhenUsed/>
    <w:rPr>
      <w:sz w:val="20"/>
      <w:szCs w:val="20"/>
    </w:rPr>
  </w:style>
  <w:style w:type="character" w:customStyle="1" w:styleId="FootnoteTextChar">
    <w:name w:val="Footnote Text Char"/>
    <w:basedOn w:val="DefaultParagraphFont"/>
    <w:link w:val="FootnoteText"/>
    <w:rPr>
      <w:rFonts w:ascii="Times New Roman" w:hAnsi="Times New Roman"/>
    </w:rPr>
  </w:style>
  <w:style w:type="paragraph" w:customStyle="1" w:styleId="Text1">
    <w:name w:val="Text 1"/>
    <w:basedOn w:val="Normal"/>
    <w:pPr>
      <w:spacing w:before="120" w:after="120"/>
      <w:jc w:val="both"/>
    </w:pPr>
  </w:style>
  <w:style w:type="paragraph" w:customStyle="1" w:styleId="DMETW15549BIPTable11">
    <w:name w:val="DM_ETW_15549_BIP_Table_1.1"/>
    <w:rPr>
      <w:rFonts w:eastAsia="Calibri"/>
    </w:rPr>
  </w:style>
  <w:style w:type="paragraph" w:customStyle="1" w:styleId="DMETW15549BIPTable12">
    <w:name w:val="DM_ETW_15549_BIP_Table_1.2"/>
    <w:rPr>
      <w:rFonts w:eastAsia="Calibri"/>
    </w:rPr>
  </w:style>
  <w:style w:type="paragraph" w:customStyle="1" w:styleId="DMETW15549BIPTable13">
    <w:name w:val="DM_ETW_15549_BIP_Table_1.3"/>
    <w:rPr>
      <w:rFonts w:eastAsia="Calibri"/>
    </w:rPr>
  </w:style>
  <w:style w:type="paragraph" w:customStyle="1" w:styleId="DMETW15549BIPTable14">
    <w:name w:val="DM_ETW_15549_BIP_Table_1.4"/>
    <w:rPr>
      <w:rFonts w:eastAsia="Calibri"/>
    </w:rPr>
  </w:style>
  <w:style w:type="paragraph" w:customStyle="1" w:styleId="DMETW15549BIPTable21a">
    <w:name w:val="DM_ETW_15549_BIP_Table_2.1a"/>
    <w:rPr>
      <w:rFonts w:eastAsia="Calibri"/>
    </w:rPr>
  </w:style>
  <w:style w:type="paragraph" w:customStyle="1" w:styleId="DMETW15549BIPTable21b">
    <w:name w:val="DM_ETW_15549_BIP_Table_2.1b"/>
    <w:rPr>
      <w:rFonts w:eastAsia="Calibri"/>
    </w:rPr>
  </w:style>
  <w:style w:type="paragraph" w:customStyle="1" w:styleId="DMETW15549BIPTable221">
    <w:name w:val="DM_ETW_15549_BIP_Table2.2.1"/>
    <w:rPr>
      <w:rFonts w:eastAsia="Calibri"/>
    </w:rPr>
  </w:style>
  <w:style w:type="paragraph" w:customStyle="1" w:styleId="DMETW15549BIPTable222">
    <w:name w:val="DM_ETW_15549_BIP_Table2.2.2"/>
    <w:rPr>
      <w:rFonts w:eastAsia="Calibri"/>
    </w:rPr>
  </w:style>
  <w:style w:type="paragraph" w:customStyle="1" w:styleId="DMETW15549BIPTable223">
    <w:name w:val="DM_ETW_15549_BIP_Table2.2.3"/>
    <w:rPr>
      <w:rFonts w:eastAsia="Calibri"/>
    </w:rPr>
  </w:style>
  <w:style w:type="paragraph" w:customStyle="1" w:styleId="DMETW15549BIPTable23">
    <w:name w:val="DM_ETW_15549_BIP_Table_2.3"/>
    <w:rPr>
      <w:rFonts w:eastAsia="Calibri"/>
    </w:rPr>
  </w:style>
  <w:style w:type="paragraph" w:customStyle="1" w:styleId="DMETW15549BIPTable24">
    <w:name w:val="DM_ETW_15549_BIP_Table_2.4"/>
    <w:rPr>
      <w:rFonts w:eastAsia="Calibri"/>
    </w:rPr>
  </w:style>
  <w:style w:type="paragraph" w:customStyle="1" w:styleId="DMETW15549BIPTable25">
    <w:name w:val="DM_ETW_15549_BIP_Table_2.5"/>
    <w:rPr>
      <w:rFonts w:eastAsia="Calibri"/>
    </w:rPr>
  </w:style>
  <w:style w:type="paragraph" w:customStyle="1" w:styleId="DMETW15549BIPTable26">
    <w:name w:val="DM_ETW_15549_BIP_Table_2.6"/>
    <w:rPr>
      <w:rFonts w:eastAsia="Calibri"/>
    </w:rPr>
  </w:style>
  <w:style w:type="paragraph" w:customStyle="1" w:styleId="Header0">
    <w:name w:val="Header_0"/>
    <w:basedOn w:val="Normal0"/>
    <w:link w:val="HeaderChar0"/>
    <w:uiPriority w:val="99"/>
    <w:pPr>
      <w:tabs>
        <w:tab w:val="center" w:pos="4153"/>
        <w:tab w:val="right" w:pos="8306"/>
      </w:tabs>
    </w:pPr>
  </w:style>
  <w:style w:type="paragraph" w:customStyle="1" w:styleId="Normal0">
    <w:name w:val="Normal_0"/>
    <w:qFormat/>
    <w:pPr>
      <w:suppressAutoHyphens/>
    </w:pPr>
    <w:rPr>
      <w:rFonts w:ascii="Times New Roman" w:hAnsi="Times New Roman"/>
      <w:sz w:val="24"/>
      <w:szCs w:val="24"/>
    </w:rPr>
  </w:style>
  <w:style w:type="character" w:customStyle="1" w:styleId="HeaderChar0">
    <w:name w:val="Header Char_0"/>
    <w:link w:val="Header0"/>
    <w:uiPriority w:val="99"/>
    <w:rPr>
      <w:rFonts w:ascii="Times New Roman" w:hAnsi="Times New Roman"/>
      <w:sz w:val="24"/>
      <w:szCs w:val="24"/>
      <w:lang w:eastAsia="bg-BG"/>
    </w:rPr>
  </w:style>
  <w:style w:type="paragraph" w:customStyle="1" w:styleId="Notes0">
    <w:name w:val="Notes_0"/>
    <w:basedOn w:val="Header0"/>
    <w:link w:val="NotesChar0"/>
    <w:pPr>
      <w:numPr>
        <w:numId w:val="2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rPr>
  </w:style>
  <w:style w:type="character" w:customStyle="1" w:styleId="NotesChar0">
    <w:name w:val="Notes Char_0"/>
    <w:link w:val="Notes0"/>
    <w:rPr>
      <w:rFonts w:ascii="Arial" w:hAnsi="Arial"/>
      <w:b/>
      <w:szCs w:val="24"/>
      <w:lang w:val="bg-BG" w:eastAsia="bg-BG"/>
    </w:rPr>
  </w:style>
  <w:style w:type="paragraph" w:customStyle="1" w:styleId="Title10">
    <w:name w:val="Title 1_0"/>
    <w:basedOn w:val="Notes0"/>
    <w:pPr>
      <w:spacing w:before="0" w:after="0"/>
    </w:pPr>
  </w:style>
  <w:style w:type="paragraph" w:customStyle="1" w:styleId="Notes1">
    <w:name w:val="Notes_1"/>
    <w:basedOn w:val="Header1"/>
    <w:link w:val="NotesChar1"/>
    <w:pPr>
      <w:numPr>
        <w:numId w:val="2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
    <w:name w:val="Title 1.1_1"/>
    <w:basedOn w:val="Notes1"/>
    <w:pPr>
      <w:numPr>
        <w:ilvl w:val="1"/>
      </w:numPr>
      <w:tabs>
        <w:tab w:val="clear" w:pos="4320"/>
        <w:tab w:val="clear" w:pos="8640"/>
        <w:tab w:val="right" w:pos="-2700"/>
        <w:tab w:val="right" w:pos="720"/>
      </w:tabs>
      <w:spacing w:before="0" w:after="0"/>
    </w:pPr>
    <w:rPr>
      <w:b w:val="0"/>
      <w:szCs w:val="20"/>
    </w:rPr>
  </w:style>
  <w:style w:type="paragraph" w:customStyle="1" w:styleId="Header1">
    <w:name w:val="Header_1"/>
    <w:basedOn w:val="Normal2"/>
    <w:link w:val="HeaderChar1"/>
    <w:uiPriority w:val="99"/>
    <w:pPr>
      <w:tabs>
        <w:tab w:val="center" w:pos="4153"/>
        <w:tab w:val="right" w:pos="8306"/>
      </w:tabs>
    </w:pPr>
  </w:style>
  <w:style w:type="paragraph" w:customStyle="1" w:styleId="Normal2">
    <w:name w:val="Normal_2"/>
    <w:qFormat/>
    <w:pPr>
      <w:suppressAutoHyphens/>
    </w:pPr>
    <w:rPr>
      <w:rFonts w:ascii="Times New Roman" w:hAnsi="Times New Roman"/>
      <w:sz w:val="24"/>
      <w:szCs w:val="24"/>
    </w:rPr>
  </w:style>
  <w:style w:type="character" w:customStyle="1" w:styleId="HeaderChar1">
    <w:name w:val="Header Char_1"/>
    <w:link w:val="Header1"/>
    <w:uiPriority w:val="99"/>
    <w:rPr>
      <w:rFonts w:ascii="Times New Roman" w:hAnsi="Times New Roman"/>
      <w:sz w:val="24"/>
      <w:szCs w:val="24"/>
      <w:lang w:eastAsia="bg-BG"/>
    </w:rPr>
  </w:style>
  <w:style w:type="character" w:customStyle="1" w:styleId="NotesChar1">
    <w:name w:val="Notes Char_1"/>
    <w:link w:val="Notes1"/>
    <w:rPr>
      <w:rFonts w:ascii="Arial" w:hAnsi="Arial"/>
      <w:b/>
      <w:szCs w:val="24"/>
      <w:lang w:val="bg-BG" w:eastAsia="bg-BG"/>
    </w:rPr>
  </w:style>
  <w:style w:type="paragraph" w:customStyle="1" w:styleId="Title11a">
    <w:name w:val="Title 1_1"/>
    <w:basedOn w:val="Notes1"/>
    <w:pPr>
      <w:spacing w:before="0" w:after="0"/>
    </w:p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10">
    <w:name w:val="Normal_1_0"/>
    <w:qFormat/>
    <w:pPr>
      <w:spacing w:line="190" w:lineRule="atLeast"/>
      <w:jc w:val="both"/>
    </w:pPr>
    <w:rPr>
      <w:rFonts w:ascii="Arial" w:hAnsi="Arial"/>
      <w:sz w:val="15"/>
      <w:szCs w:val="24"/>
    </w:rPr>
  </w:style>
  <w:style w:type="paragraph" w:customStyle="1" w:styleId="Pa10">
    <w:name w:val="Pa10"/>
    <w:basedOn w:val="Normal10"/>
    <w:next w:val="Normal10"/>
    <w:uiPriority w:val="99"/>
    <w:pPr>
      <w:autoSpaceDE w:val="0"/>
      <w:autoSpaceDN w:val="0"/>
      <w:adjustRightInd w:val="0"/>
      <w:spacing w:line="191" w:lineRule="atLeast"/>
      <w:jc w:val="left"/>
    </w:pPr>
    <w:rPr>
      <w:rFonts w:ascii="Univers 45 Light" w:hAnsi="Univers 45 Light"/>
      <w:sz w:val="24"/>
    </w:rPr>
  </w:style>
  <w:style w:type="paragraph" w:customStyle="1" w:styleId="ListParagraph0">
    <w:name w:val="List Paragraph_0"/>
    <w:basedOn w:val="Normal2"/>
    <w:uiPriority w:val="34"/>
    <w:qFormat/>
    <w:pPr>
      <w:ind w:left="720"/>
      <w:contextualSpacing/>
    </w:pPr>
  </w:style>
  <w:style w:type="paragraph" w:styleId="ListParagraph">
    <w:name w:val="List Paragraph"/>
    <w:basedOn w:val="Normal"/>
    <w:uiPriority w:val="34"/>
    <w:qFormat/>
    <w:pPr>
      <w:suppressAutoHyphens/>
      <w:ind w:left="720"/>
      <w:contextualSpacing/>
    </w:pPr>
  </w:style>
  <w:style w:type="paragraph" w:customStyle="1" w:styleId="Title11100">
    <w:name w:val="Title 1.1.1_0"/>
    <w:basedOn w:val="Notes1"/>
    <w:link w:val="Title111Char0"/>
    <w:pPr>
      <w:numPr>
        <w:ilvl w:val="2"/>
        <w:numId w:val="25"/>
      </w:numPr>
      <w:tabs>
        <w:tab w:val="clear" w:pos="4320"/>
        <w:tab w:val="clear" w:pos="8640"/>
        <w:tab w:val="right" w:pos="-2700"/>
      </w:tabs>
      <w:spacing w:before="0" w:after="0"/>
    </w:pPr>
    <w:rPr>
      <w:b w:val="0"/>
      <w:szCs w:val="20"/>
    </w:rPr>
  </w:style>
  <w:style w:type="character" w:customStyle="1" w:styleId="Title111Char0">
    <w:name w:val="Title 1.1.1 Char_0"/>
    <w:link w:val="Title11100"/>
    <w:rPr>
      <w:rFonts w:ascii="Arial" w:hAnsi="Arial"/>
      <w:lang w:eastAsia="bg-BG"/>
    </w:rPr>
  </w:style>
  <w:style w:type="paragraph" w:customStyle="1" w:styleId="xx0">
    <w:name w:val="xx_0"/>
    <w:basedOn w:val="Normal2"/>
    <w:pPr>
      <w:jc w:val="both"/>
    </w:pPr>
    <w:rPr>
      <w:rFonts w:ascii="Univers (WN)" w:hAnsi="Univers (WN)"/>
      <w:sz w:val="20"/>
      <w:szCs w:val="20"/>
    </w:rPr>
  </w:style>
  <w:style w:type="paragraph" w:customStyle="1" w:styleId="Notes2">
    <w:name w:val="Notes_2"/>
    <w:basedOn w:val="Header2"/>
    <w:link w:val="NotesChar2"/>
    <w:pPr>
      <w:numPr>
        <w:numId w:val="2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rPr>
  </w:style>
  <w:style w:type="paragraph" w:customStyle="1" w:styleId="Header2">
    <w:name w:val="Header_2"/>
    <w:basedOn w:val="Normal3"/>
    <w:link w:val="HeaderChar2"/>
    <w:pPr>
      <w:tabs>
        <w:tab w:val="center" w:pos="4153"/>
        <w:tab w:val="right" w:pos="8306"/>
      </w:tabs>
    </w:pPr>
  </w:style>
  <w:style w:type="paragraph" w:customStyle="1" w:styleId="Normal3">
    <w:name w:val="Normal_3"/>
    <w:qFormat/>
    <w:pPr>
      <w:suppressAutoHyphens/>
    </w:pPr>
    <w:rPr>
      <w:rFonts w:ascii="Times New Roman" w:hAnsi="Times New Roman"/>
      <w:sz w:val="24"/>
      <w:szCs w:val="24"/>
    </w:rPr>
  </w:style>
  <w:style w:type="character" w:customStyle="1" w:styleId="HeaderChar2">
    <w:name w:val="Header Char_2"/>
    <w:link w:val="Header2"/>
    <w:rPr>
      <w:rFonts w:ascii="Times New Roman" w:hAnsi="Times New Roman"/>
      <w:sz w:val="24"/>
      <w:szCs w:val="24"/>
      <w:lang w:eastAsia="bg-BG"/>
    </w:rPr>
  </w:style>
  <w:style w:type="character" w:customStyle="1" w:styleId="NotesChar2">
    <w:name w:val="Notes Char_2"/>
    <w:link w:val="Notes2"/>
    <w:rPr>
      <w:rFonts w:ascii="Arial" w:hAnsi="Arial"/>
      <w:b/>
      <w:szCs w:val="24"/>
      <w:lang w:val="bg-BG" w:eastAsia="bg-BG"/>
    </w:rPr>
  </w:style>
  <w:style w:type="paragraph" w:customStyle="1" w:styleId="Title12">
    <w:name w:val="Title 1_2"/>
    <w:basedOn w:val="Notes2"/>
    <w:pPr>
      <w:spacing w:before="0" w:after="0"/>
    </w:p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rPr>
  </w:style>
  <w:style w:type="paragraph" w:customStyle="1" w:styleId="Notes3">
    <w:name w:val="Notes_3"/>
    <w:basedOn w:val="Header3"/>
    <w:link w:val="NotesChar3"/>
    <w:pPr>
      <w:numPr>
        <w:numId w:val="27"/>
      </w:numPr>
      <w:tabs>
        <w:tab w:val="clear" w:pos="4153"/>
        <w:tab w:val="clear" w:pos="8306"/>
        <w:tab w:val="center" w:pos="4320"/>
        <w:tab w:val="right" w:pos="8640"/>
      </w:tabs>
      <w:spacing w:before="120" w:after="120"/>
      <w:jc w:val="both"/>
    </w:pPr>
    <w:rPr>
      <w:rFonts w:ascii="Arial" w:hAnsi="Arial"/>
      <w:b/>
      <w:sz w:val="20"/>
    </w:rPr>
  </w:style>
  <w:style w:type="paragraph" w:customStyle="1" w:styleId="Header3">
    <w:name w:val="Header_3"/>
    <w:basedOn w:val="Normal4"/>
    <w:link w:val="HeaderChar3"/>
    <w:pPr>
      <w:tabs>
        <w:tab w:val="center" w:pos="4153"/>
        <w:tab w:val="right" w:pos="8306"/>
      </w:tabs>
    </w:pPr>
  </w:style>
  <w:style w:type="paragraph" w:customStyle="1" w:styleId="Normal4">
    <w:name w:val="Normal_4"/>
    <w:qFormat/>
    <w:pPr>
      <w:suppressAutoHyphens/>
    </w:pPr>
    <w:rPr>
      <w:rFonts w:ascii="Times New Roman" w:hAnsi="Times New Roman"/>
      <w:sz w:val="24"/>
      <w:szCs w:val="24"/>
    </w:rPr>
  </w:style>
  <w:style w:type="character" w:customStyle="1" w:styleId="HeaderChar3">
    <w:name w:val="Header Char_3"/>
    <w:link w:val="Header3"/>
    <w:rPr>
      <w:rFonts w:ascii="Times New Roman" w:hAnsi="Times New Roman"/>
      <w:sz w:val="24"/>
      <w:szCs w:val="24"/>
      <w:lang w:eastAsia="bg-BG"/>
    </w:rPr>
  </w:style>
  <w:style w:type="character" w:customStyle="1" w:styleId="NotesChar3">
    <w:name w:val="Notes Char_3"/>
    <w:link w:val="Notes3"/>
    <w:rPr>
      <w:rFonts w:ascii="Arial" w:hAnsi="Arial"/>
      <w:b/>
      <w:szCs w:val="24"/>
      <w:lang w:val="bg-BG" w:eastAsia="bg-BG"/>
    </w:rPr>
  </w:style>
  <w:style w:type="character" w:customStyle="1" w:styleId="Title111Char1">
    <w:name w:val="Title 1.1.1 Char_1"/>
    <w:link w:val="Title1111"/>
    <w:rPr>
      <w:rFonts w:ascii="Arial" w:hAnsi="Arial"/>
      <w:lang w:eastAsia="bg-BG"/>
    </w:rPr>
  </w:style>
  <w:style w:type="paragraph" w:customStyle="1" w:styleId="Title1111">
    <w:name w:val="Title 1.1.1_1"/>
    <w:basedOn w:val="Notes3"/>
    <w:link w:val="Title111Char1"/>
    <w:pPr>
      <w:numPr>
        <w:ilvl w:val="2"/>
        <w:numId w:val="28"/>
      </w:numPr>
      <w:tabs>
        <w:tab w:val="clear" w:pos="4320"/>
        <w:tab w:val="clear" w:pos="8640"/>
        <w:tab w:val="right" w:pos="-2700"/>
      </w:tabs>
      <w:spacing w:before="0" w:after="0"/>
    </w:pPr>
    <w:rPr>
      <w:b w:val="0"/>
      <w:szCs w:val="20"/>
    </w:rPr>
  </w:style>
  <w:style w:type="paragraph" w:customStyle="1" w:styleId="Title3210">
    <w:name w:val="Title 3.2.1._0"/>
    <w:basedOn w:val="Notes4"/>
    <w:pPr>
      <w:numPr>
        <w:ilvl w:val="2"/>
        <w:numId w:val="29"/>
      </w:numPr>
      <w:tabs>
        <w:tab w:val="clear" w:pos="4320"/>
        <w:tab w:val="clear" w:pos="8640"/>
        <w:tab w:val="right" w:pos="-2700"/>
      </w:tabs>
      <w:spacing w:before="240"/>
    </w:pPr>
    <w:rPr>
      <w:szCs w:val="20"/>
    </w:rPr>
  </w:style>
  <w:style w:type="paragraph" w:customStyle="1" w:styleId="Notes4">
    <w:name w:val="Notes_4"/>
    <w:basedOn w:val="Header4"/>
    <w:link w:val="NotesChar4"/>
    <w:pPr>
      <w:numPr>
        <w:numId w:val="3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rPr>
  </w:style>
  <w:style w:type="paragraph" w:customStyle="1" w:styleId="Header4">
    <w:name w:val="Header_4"/>
    <w:basedOn w:val="Normal5"/>
    <w:link w:val="HeaderChar4"/>
    <w:uiPriority w:val="99"/>
    <w:pPr>
      <w:tabs>
        <w:tab w:val="center" w:pos="4153"/>
        <w:tab w:val="right" w:pos="8306"/>
      </w:tabs>
    </w:pPr>
  </w:style>
  <w:style w:type="paragraph" w:customStyle="1" w:styleId="Normal5">
    <w:name w:val="Normal_5"/>
    <w:qFormat/>
    <w:pPr>
      <w:suppressAutoHyphens/>
    </w:pPr>
    <w:rPr>
      <w:rFonts w:ascii="Times New Roman" w:hAnsi="Times New Roman"/>
      <w:sz w:val="24"/>
      <w:szCs w:val="24"/>
    </w:rPr>
  </w:style>
  <w:style w:type="character" w:customStyle="1" w:styleId="HeaderChar4">
    <w:name w:val="Header Char_4"/>
    <w:link w:val="Header4"/>
    <w:uiPriority w:val="99"/>
    <w:rPr>
      <w:rFonts w:ascii="Times New Roman" w:hAnsi="Times New Roman"/>
      <w:sz w:val="24"/>
      <w:szCs w:val="24"/>
      <w:lang w:eastAsia="bg-BG"/>
    </w:rPr>
  </w:style>
  <w:style w:type="character" w:customStyle="1" w:styleId="NotesChar4">
    <w:name w:val="Notes Char_4"/>
    <w:link w:val="Notes4"/>
    <w:rPr>
      <w:rFonts w:ascii="Arial" w:hAnsi="Arial"/>
      <w:b/>
      <w:szCs w:val="24"/>
      <w:lang w:val="bg-BG" w:eastAsia="bg-BG"/>
    </w:rPr>
  </w:style>
  <w:style w:type="paragraph" w:customStyle="1" w:styleId="Normal6">
    <w:name w:val="Normal_6"/>
    <w:qFormat/>
    <w:pPr>
      <w:suppressAutoHyphens/>
    </w:pPr>
    <w:rPr>
      <w:rFonts w:ascii="Times New Roman" w:hAnsi="Times New Roman"/>
      <w:sz w:val="24"/>
      <w:szCs w:val="24"/>
    </w:rPr>
  </w:style>
  <w:style w:type="paragraph" w:customStyle="1" w:styleId="Title3211">
    <w:name w:val="Title 3.2.1._1"/>
    <w:basedOn w:val="Notes5"/>
    <w:pPr>
      <w:numPr>
        <w:ilvl w:val="2"/>
        <w:numId w:val="31"/>
      </w:numPr>
      <w:tabs>
        <w:tab w:val="clear" w:pos="4320"/>
        <w:tab w:val="clear" w:pos="8640"/>
        <w:tab w:val="right" w:pos="-2700"/>
      </w:tabs>
      <w:spacing w:before="240"/>
    </w:pPr>
    <w:rPr>
      <w:szCs w:val="20"/>
    </w:rPr>
  </w:style>
  <w:style w:type="paragraph" w:customStyle="1" w:styleId="Notes5">
    <w:name w:val="Notes_5"/>
    <w:basedOn w:val="Header50"/>
    <w:link w:val="NotesChar5"/>
    <w:pPr>
      <w:numPr>
        <w:numId w:val="3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rPr>
  </w:style>
  <w:style w:type="paragraph" w:customStyle="1" w:styleId="Header50">
    <w:name w:val="Header_5"/>
    <w:basedOn w:val="Normal6"/>
    <w:link w:val="HeaderChar5"/>
    <w:uiPriority w:val="99"/>
    <w:pPr>
      <w:tabs>
        <w:tab w:val="center" w:pos="4153"/>
        <w:tab w:val="right" w:pos="8306"/>
      </w:tabs>
    </w:pPr>
  </w:style>
  <w:style w:type="character" w:customStyle="1" w:styleId="HeaderChar5">
    <w:name w:val="Header Char_5"/>
    <w:link w:val="Header50"/>
    <w:uiPriority w:val="99"/>
    <w:rPr>
      <w:rFonts w:ascii="Times New Roman" w:hAnsi="Times New Roman"/>
      <w:sz w:val="24"/>
      <w:szCs w:val="24"/>
      <w:lang w:eastAsia="bg-BG"/>
    </w:rPr>
  </w:style>
  <w:style w:type="character" w:customStyle="1" w:styleId="NotesChar5">
    <w:name w:val="Notes Char_5"/>
    <w:link w:val="Notes5"/>
    <w:rPr>
      <w:rFonts w:ascii="Arial" w:hAnsi="Arial"/>
      <w:b/>
      <w:szCs w:val="24"/>
      <w:lang w:val="bg-BG" w:eastAsia="bg-BG"/>
    </w:rPr>
  </w:style>
  <w:style w:type="paragraph" w:customStyle="1" w:styleId="Listi0">
    <w:name w:val="List i)_0"/>
    <w:basedOn w:val="Normal6"/>
    <w:next w:val="Normal6"/>
    <w:pPr>
      <w:keepNext/>
      <w:numPr>
        <w:numId w:val="33"/>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rPr>
  </w:style>
  <w:style w:type="paragraph" w:customStyle="1" w:styleId="Notes6">
    <w:name w:val="Notes_6"/>
    <w:basedOn w:val="Header6"/>
    <w:link w:val="NotesChar6"/>
    <w:pPr>
      <w:numPr>
        <w:numId w:val="3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6">
    <w:name w:val="Title 1.1_6"/>
    <w:basedOn w:val="Notes6"/>
    <w:pPr>
      <w:tabs>
        <w:tab w:val="clear" w:pos="432"/>
        <w:tab w:val="clear" w:pos="4320"/>
        <w:tab w:val="clear" w:pos="8640"/>
        <w:tab w:val="num" w:pos="431"/>
      </w:tabs>
      <w:spacing w:before="0" w:after="0"/>
      <w:ind w:left="431" w:hanging="431"/>
    </w:pPr>
    <w:rPr>
      <w:b w:val="0"/>
    </w:rPr>
  </w:style>
  <w:style w:type="paragraph" w:customStyle="1" w:styleId="Header6">
    <w:name w:val="Header_6"/>
    <w:basedOn w:val="Normal7"/>
    <w:link w:val="HeaderChar6"/>
    <w:pPr>
      <w:tabs>
        <w:tab w:val="center" w:pos="4153"/>
        <w:tab w:val="right" w:pos="8306"/>
      </w:tabs>
    </w:pPr>
  </w:style>
  <w:style w:type="paragraph" w:customStyle="1" w:styleId="Normal7">
    <w:name w:val="Normal_7"/>
    <w:qFormat/>
    <w:pPr>
      <w:suppressAutoHyphens/>
    </w:pPr>
    <w:rPr>
      <w:rFonts w:ascii="Times New Roman" w:hAnsi="Times New Roman"/>
      <w:sz w:val="24"/>
      <w:szCs w:val="24"/>
    </w:rPr>
  </w:style>
  <w:style w:type="character" w:customStyle="1" w:styleId="HeaderChar6">
    <w:name w:val="Header Char_6"/>
    <w:link w:val="Header6"/>
    <w:rPr>
      <w:rFonts w:ascii="Times New Roman" w:hAnsi="Times New Roman"/>
      <w:sz w:val="24"/>
      <w:szCs w:val="24"/>
      <w:lang w:eastAsia="bg-BG"/>
    </w:rPr>
  </w:style>
  <w:style w:type="character" w:customStyle="1" w:styleId="NotesChar6">
    <w:name w:val="Notes Char_6"/>
    <w:link w:val="Notes6"/>
    <w:rPr>
      <w:rFonts w:ascii="Arial" w:hAnsi="Arial"/>
      <w:b/>
      <w:szCs w:val="24"/>
      <w:lang w:val="bg-BG" w:eastAsia="bg-BG"/>
    </w:rPr>
  </w:style>
  <w:style w:type="paragraph" w:customStyle="1" w:styleId="Notes7">
    <w:name w:val="Notes_7"/>
    <w:basedOn w:val="Header7"/>
    <w:link w:val="NotesChar7"/>
    <w:pPr>
      <w:numPr>
        <w:numId w:val="3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rPr>
  </w:style>
  <w:style w:type="paragraph" w:customStyle="1" w:styleId="Header7">
    <w:name w:val="Header_7"/>
    <w:basedOn w:val="Normal9"/>
    <w:link w:val="HeaderChar7"/>
    <w:pPr>
      <w:tabs>
        <w:tab w:val="center" w:pos="4153"/>
        <w:tab w:val="right" w:pos="8306"/>
      </w:tabs>
    </w:pPr>
  </w:style>
  <w:style w:type="paragraph" w:customStyle="1" w:styleId="Normal9">
    <w:name w:val="Normal_9"/>
    <w:qFormat/>
    <w:pPr>
      <w:suppressAutoHyphens/>
    </w:pPr>
    <w:rPr>
      <w:rFonts w:ascii="Times New Roman" w:hAnsi="Times New Roman"/>
      <w:sz w:val="24"/>
      <w:szCs w:val="24"/>
    </w:rPr>
  </w:style>
  <w:style w:type="character" w:customStyle="1" w:styleId="HeaderChar7">
    <w:name w:val="Header Char_7"/>
    <w:link w:val="Header7"/>
    <w:rPr>
      <w:rFonts w:ascii="Times New Roman" w:hAnsi="Times New Roman"/>
      <w:sz w:val="24"/>
      <w:szCs w:val="24"/>
      <w:lang w:eastAsia="bg-BG"/>
    </w:rPr>
  </w:style>
  <w:style w:type="character" w:customStyle="1" w:styleId="NotesChar7">
    <w:name w:val="Notes Char_7"/>
    <w:link w:val="Notes7"/>
    <w:rPr>
      <w:rFonts w:ascii="Arial" w:hAnsi="Arial"/>
      <w:b/>
      <w:szCs w:val="24"/>
      <w:lang w:val="bg-BG" w:eastAsia="bg-BG"/>
    </w:rPr>
  </w:style>
  <w:style w:type="paragraph" w:customStyle="1" w:styleId="Notes8">
    <w:name w:val="Notes_8"/>
    <w:basedOn w:val="Header8"/>
    <w:link w:val="NotesChar8"/>
    <w:pPr>
      <w:numPr>
        <w:numId w:val="3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rPr>
  </w:style>
  <w:style w:type="paragraph" w:customStyle="1" w:styleId="Header8">
    <w:name w:val="Header_8"/>
    <w:basedOn w:val="Normal100"/>
    <w:link w:val="HeaderChar8"/>
    <w:pPr>
      <w:tabs>
        <w:tab w:val="center" w:pos="4153"/>
        <w:tab w:val="right" w:pos="8306"/>
      </w:tabs>
    </w:pPr>
  </w:style>
  <w:style w:type="paragraph" w:customStyle="1" w:styleId="Normal100">
    <w:name w:val="Normal_10"/>
    <w:qFormat/>
    <w:pPr>
      <w:suppressAutoHyphens/>
    </w:pPr>
    <w:rPr>
      <w:rFonts w:ascii="Times New Roman" w:hAnsi="Times New Roman"/>
      <w:sz w:val="24"/>
      <w:szCs w:val="24"/>
    </w:rPr>
  </w:style>
  <w:style w:type="character" w:customStyle="1" w:styleId="HeaderChar8">
    <w:name w:val="Header Char_8"/>
    <w:link w:val="Header8"/>
    <w:rPr>
      <w:rFonts w:ascii="Times New Roman" w:hAnsi="Times New Roman"/>
      <w:sz w:val="24"/>
      <w:szCs w:val="24"/>
      <w:lang w:eastAsia="bg-BG"/>
    </w:rPr>
  </w:style>
  <w:style w:type="character" w:customStyle="1" w:styleId="NotesChar8">
    <w:name w:val="Notes Char_8"/>
    <w:link w:val="Notes8"/>
    <w:rPr>
      <w:rFonts w:ascii="Arial" w:hAnsi="Arial"/>
      <w:b/>
      <w:szCs w:val="24"/>
      <w:lang w:val="bg-BG" w:eastAsia="bg-BG"/>
    </w:rPr>
  </w:style>
  <w:style w:type="paragraph" w:customStyle="1" w:styleId="Notes9">
    <w:name w:val="Notes_9"/>
    <w:basedOn w:val="Header9"/>
    <w:link w:val="NotesChar9"/>
    <w:pPr>
      <w:numPr>
        <w:numId w:val="3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rPr>
  </w:style>
  <w:style w:type="paragraph" w:customStyle="1" w:styleId="Header9">
    <w:name w:val="Header_9"/>
    <w:basedOn w:val="Normal11"/>
    <w:link w:val="HeaderChar9"/>
    <w:pPr>
      <w:tabs>
        <w:tab w:val="center" w:pos="4153"/>
        <w:tab w:val="right" w:pos="8306"/>
      </w:tabs>
    </w:pPr>
  </w:style>
  <w:style w:type="paragraph" w:customStyle="1" w:styleId="Normal11">
    <w:name w:val="Normal_11"/>
    <w:qFormat/>
    <w:pPr>
      <w:suppressAutoHyphens/>
    </w:pPr>
    <w:rPr>
      <w:rFonts w:ascii="Times New Roman" w:hAnsi="Times New Roman"/>
      <w:sz w:val="24"/>
      <w:szCs w:val="24"/>
    </w:rPr>
  </w:style>
  <w:style w:type="character" w:customStyle="1" w:styleId="HeaderChar9">
    <w:name w:val="Header Char_9"/>
    <w:link w:val="Header9"/>
    <w:rPr>
      <w:rFonts w:ascii="Times New Roman" w:hAnsi="Times New Roman"/>
      <w:sz w:val="24"/>
      <w:szCs w:val="24"/>
      <w:lang w:eastAsia="bg-BG"/>
    </w:rPr>
  </w:style>
  <w:style w:type="character" w:customStyle="1" w:styleId="NotesChar9">
    <w:name w:val="Notes Char_9"/>
    <w:link w:val="Notes9"/>
    <w:rPr>
      <w:rFonts w:ascii="Arial" w:hAnsi="Arial"/>
      <w:b/>
      <w:szCs w:val="24"/>
      <w:lang w:val="bg-BG" w:eastAsia="bg-BG"/>
    </w:rPr>
  </w:style>
  <w:style w:type="paragraph" w:customStyle="1" w:styleId="Notes10">
    <w:name w:val="Notes_10"/>
    <w:basedOn w:val="Header10"/>
    <w:link w:val="NotesChar10"/>
    <w:pPr>
      <w:numPr>
        <w:numId w:val="3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1">
    <w:name w:val="Title 1.1_10"/>
    <w:basedOn w:val="Notes10"/>
    <w:pPr>
      <w:numPr>
        <w:ilvl w:val="1"/>
      </w:numPr>
      <w:tabs>
        <w:tab w:val="clear" w:pos="4320"/>
        <w:tab w:val="clear" w:pos="8640"/>
        <w:tab w:val="right" w:pos="-2700"/>
        <w:tab w:val="right" w:pos="720"/>
      </w:tabs>
      <w:spacing w:before="0" w:after="0"/>
    </w:pPr>
    <w:rPr>
      <w:b w:val="0"/>
      <w:szCs w:val="20"/>
    </w:rPr>
  </w:style>
  <w:style w:type="paragraph" w:customStyle="1" w:styleId="Header10">
    <w:name w:val="Header_10"/>
    <w:basedOn w:val="Normal12"/>
    <w:link w:val="HeaderChar10"/>
    <w:pPr>
      <w:tabs>
        <w:tab w:val="center" w:pos="4153"/>
        <w:tab w:val="right" w:pos="8306"/>
      </w:tabs>
    </w:pPr>
  </w:style>
  <w:style w:type="paragraph" w:customStyle="1" w:styleId="Normal12">
    <w:name w:val="Normal_12"/>
    <w:qFormat/>
    <w:pPr>
      <w:suppressAutoHyphens/>
    </w:pPr>
    <w:rPr>
      <w:rFonts w:ascii="Times New Roman" w:hAnsi="Times New Roman"/>
      <w:sz w:val="24"/>
      <w:szCs w:val="24"/>
    </w:rPr>
  </w:style>
  <w:style w:type="character" w:customStyle="1" w:styleId="HeaderChar10">
    <w:name w:val="Header Char_10"/>
    <w:link w:val="Header10"/>
    <w:rPr>
      <w:rFonts w:ascii="Times New Roman" w:hAnsi="Times New Roman"/>
      <w:sz w:val="24"/>
      <w:szCs w:val="24"/>
      <w:lang w:eastAsia="bg-BG"/>
    </w:rPr>
  </w:style>
  <w:style w:type="character" w:customStyle="1" w:styleId="NotesChar10">
    <w:name w:val="Notes Char_10"/>
    <w:link w:val="Notes10"/>
    <w:rPr>
      <w:rFonts w:ascii="Arial" w:hAnsi="Arial"/>
      <w:b/>
      <w:szCs w:val="24"/>
      <w:lang w:val="bg-BG" w:eastAsia="bg-BG"/>
    </w:rPr>
  </w:style>
  <w:style w:type="paragraph" w:customStyle="1" w:styleId="Notes11">
    <w:name w:val="Notes_11"/>
    <w:basedOn w:val="Header11"/>
    <w:link w:val="NotesChar11"/>
    <w:pPr>
      <w:numPr>
        <w:numId w:val="3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10">
    <w:name w:val="Title 1.1_11"/>
    <w:basedOn w:val="Notes11"/>
    <w:pPr>
      <w:numPr>
        <w:ilvl w:val="1"/>
      </w:numPr>
      <w:tabs>
        <w:tab w:val="clear" w:pos="4320"/>
        <w:tab w:val="clear" w:pos="8640"/>
        <w:tab w:val="right" w:pos="-2700"/>
        <w:tab w:val="right" w:pos="720"/>
      </w:tabs>
      <w:spacing w:before="0" w:after="0"/>
    </w:pPr>
    <w:rPr>
      <w:b w:val="0"/>
      <w:szCs w:val="20"/>
    </w:rPr>
  </w:style>
  <w:style w:type="paragraph" w:customStyle="1" w:styleId="Header11">
    <w:name w:val="Header_11"/>
    <w:basedOn w:val="Normal13"/>
    <w:link w:val="HeaderChar11"/>
    <w:pPr>
      <w:tabs>
        <w:tab w:val="center" w:pos="4153"/>
        <w:tab w:val="right" w:pos="8306"/>
      </w:tabs>
    </w:pPr>
  </w:style>
  <w:style w:type="paragraph" w:customStyle="1" w:styleId="Normal13">
    <w:name w:val="Normal_13"/>
    <w:qFormat/>
    <w:pPr>
      <w:suppressAutoHyphens/>
    </w:pPr>
    <w:rPr>
      <w:rFonts w:ascii="Times New Roman" w:hAnsi="Times New Roman"/>
      <w:sz w:val="24"/>
      <w:szCs w:val="24"/>
    </w:rPr>
  </w:style>
  <w:style w:type="character" w:customStyle="1" w:styleId="HeaderChar11">
    <w:name w:val="Header Char_11"/>
    <w:link w:val="Header11"/>
    <w:rPr>
      <w:rFonts w:ascii="Times New Roman" w:hAnsi="Times New Roman"/>
      <w:sz w:val="24"/>
      <w:szCs w:val="24"/>
      <w:lang w:eastAsia="bg-BG"/>
    </w:rPr>
  </w:style>
  <w:style w:type="character" w:customStyle="1" w:styleId="NotesChar11">
    <w:name w:val="Notes Char_11"/>
    <w:link w:val="Notes11"/>
    <w:rPr>
      <w:rFonts w:ascii="Arial" w:hAnsi="Arial"/>
      <w:b/>
      <w:szCs w:val="24"/>
      <w:lang w:val="bg-BG" w:eastAsia="bg-BG"/>
    </w:rPr>
  </w:style>
  <w:style w:type="paragraph" w:customStyle="1" w:styleId="Title3212">
    <w:name w:val="Title 3.2.1._2"/>
    <w:basedOn w:val="Notes12"/>
    <w:pPr>
      <w:numPr>
        <w:ilvl w:val="2"/>
        <w:numId w:val="40"/>
      </w:numPr>
      <w:tabs>
        <w:tab w:val="clear" w:pos="4320"/>
        <w:tab w:val="clear" w:pos="8640"/>
        <w:tab w:val="right" w:pos="-2700"/>
      </w:tabs>
      <w:spacing w:before="240"/>
    </w:pPr>
    <w:rPr>
      <w:szCs w:val="20"/>
    </w:rPr>
  </w:style>
  <w:style w:type="paragraph" w:customStyle="1" w:styleId="Notes12">
    <w:name w:val="Notes_12"/>
    <w:basedOn w:val="Header12"/>
    <w:link w:val="NotesChar12"/>
    <w:pPr>
      <w:numPr>
        <w:numId w:val="4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2">
    <w:name w:val="Title 1.1_12"/>
    <w:basedOn w:val="Notes12"/>
    <w:pPr>
      <w:numPr>
        <w:ilvl w:val="1"/>
      </w:numPr>
      <w:tabs>
        <w:tab w:val="clear" w:pos="4320"/>
        <w:tab w:val="clear" w:pos="8640"/>
        <w:tab w:val="right" w:pos="720"/>
      </w:tabs>
      <w:spacing w:before="0" w:after="0"/>
    </w:pPr>
    <w:rPr>
      <w:b w:val="0"/>
    </w:rPr>
  </w:style>
  <w:style w:type="paragraph" w:customStyle="1" w:styleId="Header12">
    <w:name w:val="Header_12"/>
    <w:basedOn w:val="Normal14"/>
    <w:link w:val="HeaderChar12"/>
    <w:pPr>
      <w:tabs>
        <w:tab w:val="center" w:pos="4153"/>
        <w:tab w:val="right" w:pos="8306"/>
      </w:tabs>
    </w:pPr>
  </w:style>
  <w:style w:type="paragraph" w:customStyle="1" w:styleId="Normal14">
    <w:name w:val="Normal_14"/>
    <w:qFormat/>
    <w:pPr>
      <w:suppressAutoHyphens/>
    </w:pPr>
    <w:rPr>
      <w:rFonts w:ascii="Times New Roman" w:hAnsi="Times New Roman"/>
      <w:sz w:val="24"/>
      <w:szCs w:val="24"/>
    </w:rPr>
  </w:style>
  <w:style w:type="character" w:customStyle="1" w:styleId="HeaderChar12">
    <w:name w:val="Header Char_12"/>
    <w:link w:val="Header12"/>
    <w:rPr>
      <w:rFonts w:ascii="Times New Roman" w:hAnsi="Times New Roman"/>
      <w:sz w:val="24"/>
      <w:szCs w:val="24"/>
      <w:lang w:eastAsia="bg-BG"/>
    </w:rPr>
  </w:style>
  <w:style w:type="character" w:customStyle="1" w:styleId="NotesChar12">
    <w:name w:val="Notes Char_12"/>
    <w:link w:val="Notes12"/>
    <w:rPr>
      <w:rFonts w:ascii="Arial" w:hAnsi="Arial"/>
      <w:b/>
      <w:szCs w:val="24"/>
      <w:lang w:val="bg-BG" w:eastAsia="bg-BG"/>
    </w:rPr>
  </w:style>
  <w:style w:type="paragraph" w:customStyle="1" w:styleId="Normal15">
    <w:name w:val="Normal_15"/>
    <w:qFormat/>
    <w:pPr>
      <w:suppressAutoHyphens/>
    </w:pPr>
    <w:rPr>
      <w:rFonts w:ascii="Times New Roman" w:hAnsi="Times New Roman"/>
      <w:sz w:val="24"/>
      <w:szCs w:val="24"/>
    </w:rPr>
  </w:style>
  <w:style w:type="paragraph" w:customStyle="1" w:styleId="Notes13">
    <w:name w:val="Notes_13"/>
    <w:basedOn w:val="Header13"/>
    <w:link w:val="NotesChar13"/>
    <w:pPr>
      <w:numPr>
        <w:numId w:val="4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rFonts w:ascii="Times New Roman" w:hAnsi="Times New Roman"/>
      <w:sz w:val="24"/>
      <w:szCs w:val="24"/>
      <w:lang w:eastAsia="bg-BG"/>
    </w:rPr>
  </w:style>
  <w:style w:type="character" w:customStyle="1" w:styleId="NotesChar13">
    <w:name w:val="Notes Char_13"/>
    <w:link w:val="Notes13"/>
    <w:rPr>
      <w:rFonts w:ascii="Arial" w:hAnsi="Arial"/>
      <w:b/>
      <w:szCs w:val="24"/>
      <w:lang w:val="bg-BG" w:eastAsia="bg-BG"/>
    </w:rPr>
  </w:style>
  <w:style w:type="paragraph" w:customStyle="1" w:styleId="Notes14">
    <w:name w:val="Notes_14"/>
    <w:basedOn w:val="Header14"/>
    <w:link w:val="NotesChar14"/>
    <w:pPr>
      <w:numPr>
        <w:numId w:val="4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rPr>
  </w:style>
  <w:style w:type="paragraph" w:customStyle="1" w:styleId="Header14">
    <w:name w:val="Header_14"/>
    <w:basedOn w:val="Normal16"/>
    <w:link w:val="HeaderChar14"/>
    <w:pPr>
      <w:tabs>
        <w:tab w:val="center" w:pos="4153"/>
        <w:tab w:val="right" w:pos="8306"/>
      </w:tabs>
    </w:pPr>
  </w:style>
  <w:style w:type="paragraph" w:customStyle="1" w:styleId="Normal16">
    <w:name w:val="Normal_16"/>
    <w:qFormat/>
    <w:pPr>
      <w:suppressAutoHyphens/>
    </w:pPr>
    <w:rPr>
      <w:rFonts w:ascii="Times New Roman" w:hAnsi="Times New Roman"/>
      <w:sz w:val="24"/>
      <w:szCs w:val="24"/>
    </w:rPr>
  </w:style>
  <w:style w:type="character" w:customStyle="1" w:styleId="HeaderChar14">
    <w:name w:val="Header Char_14"/>
    <w:link w:val="Header14"/>
    <w:rPr>
      <w:rFonts w:ascii="Times New Roman" w:hAnsi="Times New Roman"/>
      <w:sz w:val="24"/>
      <w:szCs w:val="24"/>
      <w:lang w:eastAsia="bg-BG"/>
    </w:rPr>
  </w:style>
  <w:style w:type="character" w:customStyle="1" w:styleId="NotesChar14">
    <w:name w:val="Notes Char_14"/>
    <w:link w:val="Notes14"/>
    <w:rPr>
      <w:rFonts w:ascii="Arial" w:hAnsi="Arial"/>
      <w:b/>
      <w:szCs w:val="24"/>
      <w:lang w:val="bg-BG" w:eastAsia="bg-BG"/>
    </w:rPr>
  </w:style>
  <w:style w:type="paragraph" w:customStyle="1" w:styleId="Normal17">
    <w:name w:val="Normal_17"/>
    <w:qFormat/>
    <w:pPr>
      <w:suppressAutoHyphens/>
    </w:pPr>
    <w:rPr>
      <w:rFonts w:ascii="Times New Roman" w:hAnsi="Times New Roman"/>
      <w:sz w:val="24"/>
      <w:szCs w:val="24"/>
    </w:rPr>
  </w:style>
  <w:style w:type="paragraph" w:customStyle="1" w:styleId="Notes15">
    <w:name w:val="Notes_15"/>
    <w:basedOn w:val="Header15"/>
    <w:link w:val="NotesChar15"/>
    <w:pPr>
      <w:numPr>
        <w:numId w:val="4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rFonts w:ascii="Times New Roman" w:hAnsi="Times New Roman"/>
      <w:sz w:val="24"/>
      <w:szCs w:val="24"/>
      <w:lang w:eastAsia="bg-BG"/>
    </w:rPr>
  </w:style>
  <w:style w:type="character" w:customStyle="1" w:styleId="NotesChar15">
    <w:name w:val="Notes Char_15"/>
    <w:link w:val="Notes15"/>
    <w:rPr>
      <w:rFonts w:ascii="Arial" w:hAnsi="Arial"/>
      <w:b/>
      <w:szCs w:val="24"/>
      <w:lang w:val="bg-BG" w:eastAsia="bg-BG"/>
    </w:rPr>
  </w:style>
  <w:style w:type="paragraph" w:customStyle="1" w:styleId="Title3213">
    <w:name w:val="Title 3.2.1._3"/>
    <w:basedOn w:val="Notes16"/>
    <w:pPr>
      <w:numPr>
        <w:ilvl w:val="2"/>
        <w:numId w:val="45"/>
      </w:numPr>
      <w:tabs>
        <w:tab w:val="clear" w:pos="4320"/>
        <w:tab w:val="clear" w:pos="8640"/>
        <w:tab w:val="right" w:pos="-2700"/>
      </w:tabs>
      <w:spacing w:before="240"/>
    </w:pPr>
    <w:rPr>
      <w:szCs w:val="20"/>
    </w:rPr>
  </w:style>
  <w:style w:type="paragraph" w:customStyle="1" w:styleId="Notes16">
    <w:name w:val="Notes_16"/>
    <w:basedOn w:val="Header16"/>
    <w:link w:val="NotesChar16"/>
    <w:pPr>
      <w:numPr>
        <w:numId w:val="4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6">
    <w:name w:val="Title 1.1_16"/>
    <w:basedOn w:val="Notes16"/>
    <w:pPr>
      <w:numPr>
        <w:ilvl w:val="1"/>
      </w:numPr>
      <w:tabs>
        <w:tab w:val="clear" w:pos="4320"/>
        <w:tab w:val="clear" w:pos="8640"/>
        <w:tab w:val="right" w:pos="-2700"/>
        <w:tab w:val="right" w:pos="720"/>
      </w:tabs>
      <w:spacing w:before="0" w:after="0"/>
    </w:pPr>
    <w:rPr>
      <w:b w:val="0"/>
      <w:szCs w:val="20"/>
    </w:rPr>
  </w:style>
  <w:style w:type="paragraph" w:customStyle="1" w:styleId="Header16">
    <w:name w:val="Header_16"/>
    <w:basedOn w:val="Normal18"/>
    <w:link w:val="HeaderChar16"/>
    <w:pPr>
      <w:tabs>
        <w:tab w:val="center" w:pos="4153"/>
        <w:tab w:val="right" w:pos="8306"/>
      </w:tabs>
    </w:pPr>
  </w:style>
  <w:style w:type="paragraph" w:customStyle="1" w:styleId="Normal18">
    <w:name w:val="Normal_18"/>
    <w:qFormat/>
    <w:pPr>
      <w:suppressAutoHyphens/>
    </w:pPr>
    <w:rPr>
      <w:rFonts w:ascii="Times New Roman" w:hAnsi="Times New Roman"/>
      <w:sz w:val="24"/>
      <w:szCs w:val="24"/>
    </w:rPr>
  </w:style>
  <w:style w:type="character" w:customStyle="1" w:styleId="HeaderChar16">
    <w:name w:val="Header Char_16"/>
    <w:link w:val="Header16"/>
    <w:rPr>
      <w:rFonts w:ascii="Times New Roman" w:hAnsi="Times New Roman"/>
      <w:sz w:val="24"/>
      <w:szCs w:val="24"/>
      <w:lang w:eastAsia="bg-BG"/>
    </w:rPr>
  </w:style>
  <w:style w:type="character" w:customStyle="1" w:styleId="NotesChar16">
    <w:name w:val="Notes Char_16"/>
    <w:link w:val="Notes16"/>
    <w:rPr>
      <w:rFonts w:ascii="Arial" w:hAnsi="Arial"/>
      <w:b/>
      <w:szCs w:val="24"/>
      <w:lang w:val="bg-BG" w:eastAsia="bg-BG"/>
    </w:rPr>
  </w:style>
  <w:style w:type="paragraph" w:customStyle="1" w:styleId="Notes160">
    <w:name w:val="Notes_16_0"/>
    <w:basedOn w:val="Normal18"/>
    <w:link w:val="NotesChar160"/>
    <w:pPr>
      <w:numPr>
        <w:numId w:val="47"/>
      </w:numPr>
      <w:tabs>
        <w:tab w:val="center" w:pos="4320"/>
        <w:tab w:val="right" w:pos="8640"/>
      </w:tabs>
      <w:spacing w:before="120" w:after="120"/>
      <w:jc w:val="both"/>
    </w:pPr>
    <w:rPr>
      <w:rFonts w:ascii="Arial" w:hAnsi="Arial" w:cs="Arial"/>
      <w:b/>
      <w:sz w:val="20"/>
    </w:rPr>
  </w:style>
  <w:style w:type="paragraph" w:customStyle="1" w:styleId="Title11160">
    <w:name w:val="Title 1.1_16_0"/>
    <w:basedOn w:val="Notes160"/>
    <w:pPr>
      <w:tabs>
        <w:tab w:val="clear" w:pos="432"/>
        <w:tab w:val="clear" w:pos="4320"/>
        <w:tab w:val="clear" w:pos="8640"/>
        <w:tab w:val="num" w:pos="360"/>
        <w:tab w:val="num" w:pos="576"/>
      </w:tabs>
      <w:spacing w:before="0" w:after="0"/>
      <w:ind w:left="576" w:hanging="576"/>
    </w:pPr>
    <w:rPr>
      <w:b w:val="0"/>
    </w:rPr>
  </w:style>
  <w:style w:type="character" w:customStyle="1" w:styleId="NotesChar160">
    <w:name w:val="Notes Char_16_0"/>
    <w:link w:val="Notes160"/>
    <w:locked/>
    <w:rPr>
      <w:rFonts w:ascii="Arial" w:hAnsi="Arial" w:cs="Arial"/>
      <w:b/>
      <w:szCs w:val="24"/>
      <w:lang w:val="bg-BG" w:eastAsia="bg-BG"/>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rPr>
  </w:style>
  <w:style w:type="paragraph" w:customStyle="1" w:styleId="Notes17">
    <w:name w:val="Notes_17"/>
    <w:basedOn w:val="Header17"/>
    <w:link w:val="NotesChar17"/>
    <w:pPr>
      <w:numPr>
        <w:numId w:val="48"/>
      </w:numPr>
      <w:tabs>
        <w:tab w:val="clear" w:pos="4153"/>
        <w:tab w:val="clear" w:pos="8306"/>
        <w:tab w:val="center" w:pos="4320"/>
        <w:tab w:val="right" w:pos="8640"/>
      </w:tabs>
      <w:spacing w:before="120" w:after="120"/>
      <w:jc w:val="both"/>
    </w:pPr>
    <w:rPr>
      <w:rFonts w:ascii="Arial" w:hAnsi="Arial"/>
      <w:b/>
      <w:sz w:val="20"/>
    </w:rPr>
  </w:style>
  <w:style w:type="paragraph" w:customStyle="1" w:styleId="Header17">
    <w:name w:val="Header_17"/>
    <w:basedOn w:val="Normal19"/>
    <w:link w:val="HeaderChar17"/>
    <w:pPr>
      <w:tabs>
        <w:tab w:val="center" w:pos="4153"/>
        <w:tab w:val="right" w:pos="8306"/>
      </w:tabs>
    </w:pPr>
  </w:style>
  <w:style w:type="paragraph" w:customStyle="1" w:styleId="Normal19">
    <w:name w:val="Normal_19"/>
    <w:qFormat/>
    <w:pPr>
      <w:suppressAutoHyphens/>
    </w:pPr>
    <w:rPr>
      <w:rFonts w:ascii="Times New Roman" w:hAnsi="Times New Roman"/>
      <w:sz w:val="24"/>
      <w:szCs w:val="24"/>
    </w:rPr>
  </w:style>
  <w:style w:type="character" w:customStyle="1" w:styleId="HeaderChar17">
    <w:name w:val="Header Char_17"/>
    <w:link w:val="Header17"/>
    <w:rPr>
      <w:rFonts w:ascii="Times New Roman" w:hAnsi="Times New Roman"/>
      <w:sz w:val="24"/>
      <w:szCs w:val="24"/>
      <w:lang w:eastAsia="bg-BG"/>
    </w:rPr>
  </w:style>
  <w:style w:type="character" w:customStyle="1" w:styleId="NotesChar17">
    <w:name w:val="Notes Char_17"/>
    <w:link w:val="Notes17"/>
    <w:rPr>
      <w:rFonts w:ascii="Arial" w:hAnsi="Arial"/>
      <w:b/>
      <w:szCs w:val="24"/>
      <w:lang w:val="bg-BG" w:eastAsia="bg-BG"/>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rPr>
  </w:style>
  <w:style w:type="paragraph" w:customStyle="1" w:styleId="Notes18">
    <w:name w:val="Notes_18"/>
    <w:basedOn w:val="Header18"/>
    <w:link w:val="NotesChar18"/>
    <w:pPr>
      <w:numPr>
        <w:numId w:val="49"/>
      </w:numPr>
      <w:tabs>
        <w:tab w:val="clear" w:pos="4153"/>
        <w:tab w:val="clear" w:pos="8306"/>
        <w:tab w:val="center" w:pos="4320"/>
        <w:tab w:val="right" w:pos="8640"/>
      </w:tabs>
      <w:spacing w:before="120" w:after="120"/>
      <w:jc w:val="both"/>
    </w:pPr>
    <w:rPr>
      <w:rFonts w:ascii="Arial" w:hAnsi="Arial"/>
      <w:b/>
      <w:sz w:val="20"/>
    </w:rPr>
  </w:style>
  <w:style w:type="paragraph" w:customStyle="1" w:styleId="Header18">
    <w:name w:val="Header_18"/>
    <w:basedOn w:val="Normal20"/>
    <w:link w:val="HeaderChar18"/>
    <w:pPr>
      <w:tabs>
        <w:tab w:val="center" w:pos="4153"/>
        <w:tab w:val="right" w:pos="8306"/>
      </w:tabs>
    </w:pPr>
  </w:style>
  <w:style w:type="paragraph" w:customStyle="1" w:styleId="Normal20">
    <w:name w:val="Normal_20"/>
    <w:qFormat/>
    <w:pPr>
      <w:suppressAutoHyphens/>
    </w:pPr>
    <w:rPr>
      <w:rFonts w:ascii="Times New Roman" w:hAnsi="Times New Roman"/>
      <w:sz w:val="24"/>
      <w:szCs w:val="24"/>
    </w:rPr>
  </w:style>
  <w:style w:type="character" w:customStyle="1" w:styleId="HeaderChar18">
    <w:name w:val="Header Char_18"/>
    <w:link w:val="Header18"/>
    <w:rPr>
      <w:rFonts w:ascii="Times New Roman" w:hAnsi="Times New Roman"/>
      <w:sz w:val="24"/>
      <w:szCs w:val="24"/>
      <w:lang w:eastAsia="bg-BG"/>
    </w:rPr>
  </w:style>
  <w:style w:type="character" w:customStyle="1" w:styleId="NotesChar18">
    <w:name w:val="Notes Char_18"/>
    <w:link w:val="Notes18"/>
    <w:rPr>
      <w:rFonts w:ascii="Arial" w:hAnsi="Arial"/>
      <w:b/>
      <w:szCs w:val="24"/>
      <w:lang w:val="bg-BG" w:eastAsia="bg-BG"/>
    </w:rPr>
  </w:style>
  <w:style w:type="paragraph" w:customStyle="1" w:styleId="Normal21">
    <w:name w:val="Normal_21"/>
    <w:qFormat/>
    <w:pPr>
      <w:suppressAutoHyphens/>
    </w:pPr>
    <w:rPr>
      <w:rFonts w:ascii="Times New Roman" w:hAnsi="Times New Roman"/>
      <w:sz w:val="24"/>
      <w:szCs w:val="24"/>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rPr>
  </w:style>
  <w:style w:type="paragraph" w:customStyle="1" w:styleId="Notes19">
    <w:name w:val="Notes_19"/>
    <w:basedOn w:val="Header19"/>
    <w:link w:val="NotesChar19"/>
    <w:pPr>
      <w:numPr>
        <w:numId w:val="50"/>
      </w:numPr>
      <w:tabs>
        <w:tab w:val="clear" w:pos="4153"/>
        <w:tab w:val="clear" w:pos="8306"/>
        <w:tab w:val="center" w:pos="4320"/>
        <w:tab w:val="right" w:pos="8640"/>
      </w:tabs>
      <w:spacing w:before="120" w:after="120"/>
      <w:jc w:val="both"/>
    </w:pPr>
    <w:rPr>
      <w:rFonts w:ascii="Arial" w:hAnsi="Arial"/>
      <w:b/>
      <w:sz w:val="20"/>
    </w:r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rFonts w:ascii="Times New Roman" w:hAnsi="Times New Roman"/>
      <w:sz w:val="24"/>
      <w:szCs w:val="24"/>
      <w:lang w:eastAsia="bg-BG"/>
    </w:rPr>
  </w:style>
  <w:style w:type="character" w:customStyle="1" w:styleId="NotesChar19">
    <w:name w:val="Notes Char_19"/>
    <w:link w:val="Notes19"/>
    <w:rPr>
      <w:rFonts w:ascii="Arial" w:hAnsi="Arial"/>
      <w:b/>
      <w:szCs w:val="24"/>
      <w:lang w:val="bg-BG" w:eastAsia="bg-BG"/>
    </w:rPr>
  </w:style>
  <w:style w:type="paragraph" w:customStyle="1" w:styleId="Normal170">
    <w:name w:val="Normal_17_0"/>
    <w:qFormat/>
    <w:pPr>
      <w:suppressAutoHyphens/>
    </w:pPr>
    <w:rPr>
      <w:rFonts w:ascii="Times New Roman" w:hAnsi="Times New Roman"/>
      <w:sz w:val="24"/>
      <w:szCs w:val="24"/>
    </w:rPr>
  </w:style>
  <w:style w:type="paragraph" w:customStyle="1" w:styleId="Normal22">
    <w:name w:val="Normal_22"/>
    <w:qFormat/>
    <w:pPr>
      <w:suppressAutoHyphens/>
    </w:pPr>
    <w:rPr>
      <w:rFonts w:ascii="Times New Roman" w:hAnsi="Times New Roman"/>
      <w:sz w:val="24"/>
      <w:szCs w:val="24"/>
    </w:rPr>
  </w:style>
  <w:style w:type="paragraph" w:customStyle="1" w:styleId="Notes20">
    <w:name w:val="Notes_20"/>
    <w:basedOn w:val="Header20"/>
    <w:link w:val="NotesChar20"/>
    <w:pPr>
      <w:numPr>
        <w:numId w:val="5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rFonts w:ascii="Times New Roman" w:hAnsi="Times New Roman"/>
      <w:sz w:val="24"/>
      <w:szCs w:val="24"/>
      <w:lang w:eastAsia="bg-BG"/>
    </w:rPr>
  </w:style>
  <w:style w:type="character" w:customStyle="1" w:styleId="NotesChar20">
    <w:name w:val="Notes Char_20"/>
    <w:link w:val="Notes20"/>
    <w:rPr>
      <w:rFonts w:ascii="Arial" w:hAnsi="Arial"/>
      <w:b/>
      <w:szCs w:val="24"/>
      <w:lang w:val="bg-BG" w:eastAsia="bg-BG"/>
    </w:rPr>
  </w:style>
  <w:style w:type="paragraph" w:customStyle="1" w:styleId="Normal180">
    <w:name w:val="Normal_18_0"/>
    <w:qFormat/>
    <w:pPr>
      <w:suppressAutoHyphens/>
    </w:pPr>
    <w:rPr>
      <w:rFonts w:ascii="Times New Roman" w:hAnsi="Times New Roman"/>
      <w:sz w:val="24"/>
      <w:szCs w:val="24"/>
    </w:rPr>
  </w:style>
  <w:style w:type="paragraph" w:customStyle="1" w:styleId="Normal1800">
    <w:name w:val="Normal_18_0_0"/>
    <w:qFormat/>
    <w:pPr>
      <w:suppressAutoHyphens/>
    </w:pPr>
    <w:rPr>
      <w:rFonts w:ascii="Times New Roman" w:hAnsi="Times New Roman"/>
      <w:sz w:val="24"/>
      <w:szCs w:val="24"/>
    </w:rPr>
  </w:style>
  <w:style w:type="paragraph" w:customStyle="1" w:styleId="Notes21">
    <w:name w:val="Notes_21"/>
    <w:basedOn w:val="Header21"/>
    <w:link w:val="NotesChar21"/>
    <w:pPr>
      <w:numPr>
        <w:numId w:val="5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1">
    <w:name w:val="Title 1.1_21"/>
    <w:basedOn w:val="Notes21"/>
    <w:pPr>
      <w:numPr>
        <w:ilvl w:val="1"/>
      </w:numPr>
      <w:tabs>
        <w:tab w:val="clear" w:pos="4320"/>
        <w:tab w:val="clear" w:pos="8640"/>
        <w:tab w:val="right" w:pos="-2700"/>
        <w:tab w:val="right" w:pos="720"/>
      </w:tabs>
      <w:spacing w:before="0" w:after="0"/>
    </w:pPr>
    <w:rPr>
      <w:b w:val="0"/>
      <w:szCs w:val="20"/>
    </w:rPr>
  </w:style>
  <w:style w:type="paragraph" w:customStyle="1" w:styleId="Header21">
    <w:name w:val="Header_21"/>
    <w:basedOn w:val="Normal23"/>
    <w:link w:val="HeaderChar21"/>
    <w:pPr>
      <w:tabs>
        <w:tab w:val="center" w:pos="4153"/>
        <w:tab w:val="right" w:pos="8306"/>
      </w:tabs>
    </w:pPr>
  </w:style>
  <w:style w:type="paragraph" w:customStyle="1" w:styleId="Normal23">
    <w:name w:val="Normal_23"/>
    <w:qFormat/>
    <w:pPr>
      <w:suppressAutoHyphens/>
    </w:pPr>
    <w:rPr>
      <w:rFonts w:ascii="Times New Roman" w:hAnsi="Times New Roman"/>
      <w:sz w:val="24"/>
      <w:szCs w:val="24"/>
    </w:rPr>
  </w:style>
  <w:style w:type="character" w:customStyle="1" w:styleId="HeaderChar21">
    <w:name w:val="Header Char_21"/>
    <w:link w:val="Header21"/>
    <w:rPr>
      <w:rFonts w:ascii="Times New Roman" w:hAnsi="Times New Roman"/>
      <w:sz w:val="24"/>
      <w:szCs w:val="24"/>
      <w:lang w:eastAsia="bg-BG"/>
    </w:rPr>
  </w:style>
  <w:style w:type="character" w:customStyle="1" w:styleId="NotesChar21">
    <w:name w:val="Notes Char_21"/>
    <w:link w:val="Notes21"/>
    <w:rPr>
      <w:rFonts w:ascii="Arial" w:hAnsi="Arial"/>
      <w:b/>
      <w:szCs w:val="24"/>
      <w:lang w:val="bg-BG" w:eastAsia="bg-BG"/>
    </w:rPr>
  </w:style>
  <w:style w:type="paragraph" w:customStyle="1" w:styleId="Normal181">
    <w:name w:val="Normal_18_1"/>
    <w:qFormat/>
    <w:pPr>
      <w:suppressAutoHyphens/>
    </w:pPr>
    <w:rPr>
      <w:rFonts w:ascii="Times New Roman" w:hAnsi="Times New Roman"/>
      <w:sz w:val="24"/>
      <w:szCs w:val="24"/>
    </w:rPr>
  </w:style>
  <w:style w:type="paragraph" w:customStyle="1" w:styleId="Normal24">
    <w:name w:val="Normal_24"/>
    <w:qFormat/>
    <w:pPr>
      <w:suppressAutoHyphens/>
    </w:pPr>
    <w:rPr>
      <w:rFonts w:ascii="Times New Roman" w:hAnsi="Times New Roman"/>
      <w:sz w:val="24"/>
      <w:szCs w:val="24"/>
    </w:rPr>
  </w:style>
  <w:style w:type="paragraph" w:customStyle="1" w:styleId="ListParagraph1">
    <w:name w:val="List Paragraph_1"/>
    <w:basedOn w:val="Normal24"/>
    <w:uiPriority w:val="34"/>
    <w:qFormat/>
    <w:pPr>
      <w:ind w:left="720"/>
      <w:contextualSpacing/>
    </w:pPr>
  </w:style>
  <w:style w:type="paragraph" w:customStyle="1" w:styleId="ListParagraph2">
    <w:name w:val="List Paragraph_2"/>
    <w:basedOn w:val="Normal25"/>
    <w:uiPriority w:val="34"/>
    <w:qFormat/>
    <w:pPr>
      <w:ind w:left="720"/>
      <w:contextualSpacing/>
    </w:pPr>
  </w:style>
  <w:style w:type="paragraph" w:customStyle="1" w:styleId="Normal25">
    <w:name w:val="Normal_25"/>
    <w:qFormat/>
    <w:pPr>
      <w:suppressAutoHyphens/>
    </w:pPr>
    <w:rPr>
      <w:rFonts w:ascii="Times New Roman" w:hAnsi="Times New Roman"/>
      <w:sz w:val="24"/>
      <w:szCs w:val="24"/>
    </w:rPr>
  </w:style>
  <w:style w:type="paragraph" w:customStyle="1" w:styleId="Notes22">
    <w:name w:val="Notes_22"/>
    <w:basedOn w:val="Header24"/>
    <w:link w:val="NotesChar22"/>
    <w:pPr>
      <w:numPr>
        <w:numId w:val="5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rPr>
  </w:style>
  <w:style w:type="paragraph" w:customStyle="1" w:styleId="Header24">
    <w:name w:val="Header_24"/>
    <w:basedOn w:val="Normal26"/>
    <w:link w:val="HeaderChar24"/>
    <w:pPr>
      <w:tabs>
        <w:tab w:val="center" w:pos="4153"/>
        <w:tab w:val="right" w:pos="8306"/>
      </w:tabs>
    </w:pPr>
  </w:style>
  <w:style w:type="paragraph" w:customStyle="1" w:styleId="Normal26">
    <w:name w:val="Normal_26"/>
    <w:qFormat/>
    <w:pPr>
      <w:suppressAutoHyphens/>
    </w:pPr>
    <w:rPr>
      <w:rFonts w:ascii="Times New Roman" w:hAnsi="Times New Roman"/>
      <w:sz w:val="24"/>
      <w:szCs w:val="24"/>
    </w:rPr>
  </w:style>
  <w:style w:type="character" w:customStyle="1" w:styleId="HeaderChar24">
    <w:name w:val="Header Char_24"/>
    <w:link w:val="Header24"/>
    <w:rPr>
      <w:rFonts w:ascii="Times New Roman" w:hAnsi="Times New Roman"/>
      <w:sz w:val="24"/>
      <w:szCs w:val="24"/>
      <w:lang w:eastAsia="bg-BG"/>
    </w:rPr>
  </w:style>
  <w:style w:type="character" w:customStyle="1" w:styleId="NotesChar22">
    <w:name w:val="Notes Char_22"/>
    <w:link w:val="Notes22"/>
    <w:rPr>
      <w:rFonts w:ascii="Arial" w:hAnsi="Arial"/>
      <w:b/>
      <w:szCs w:val="24"/>
      <w:lang w:val="bg-BG" w:eastAsia="bg-BG"/>
    </w:rPr>
  </w:style>
  <w:style w:type="paragraph" w:customStyle="1" w:styleId="Header25">
    <w:name w:val="Header_25"/>
    <w:basedOn w:val="Normal27"/>
    <w:link w:val="HeaderChar25"/>
    <w:pPr>
      <w:tabs>
        <w:tab w:val="center" w:pos="4153"/>
        <w:tab w:val="right" w:pos="8306"/>
      </w:tabs>
    </w:pPr>
  </w:style>
  <w:style w:type="paragraph" w:customStyle="1" w:styleId="Normal27">
    <w:name w:val="Normal_27"/>
    <w:qFormat/>
    <w:pPr>
      <w:suppressAutoHyphens/>
    </w:pPr>
    <w:rPr>
      <w:rFonts w:ascii="Times New Roman" w:hAnsi="Times New Roman"/>
      <w:sz w:val="24"/>
      <w:szCs w:val="24"/>
    </w:rPr>
  </w:style>
  <w:style w:type="character" w:customStyle="1" w:styleId="HeaderChar25">
    <w:name w:val="Header Char_25"/>
    <w:link w:val="Header25"/>
    <w:rPr>
      <w:rFonts w:ascii="Times New Roman" w:hAnsi="Times New Roman"/>
      <w:sz w:val="24"/>
      <w:szCs w:val="24"/>
      <w:lang w:eastAsia="bg-BG"/>
    </w:rPr>
  </w:style>
  <w:style w:type="paragraph" w:customStyle="1" w:styleId="Notes23">
    <w:name w:val="Notes_23"/>
    <w:basedOn w:val="Header25"/>
    <w:link w:val="NotesChar23"/>
    <w:pPr>
      <w:numPr>
        <w:numId w:val="5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rPr>
  </w:style>
  <w:style w:type="character" w:customStyle="1" w:styleId="NotesChar23">
    <w:name w:val="Notes Char_23"/>
    <w:link w:val="Notes23"/>
    <w:rPr>
      <w:rFonts w:ascii="Arial" w:hAnsi="Arial"/>
      <w:b/>
      <w:szCs w:val="24"/>
      <w:lang w:val="bg-BG" w:eastAsia="bg-BG"/>
    </w:rPr>
  </w:style>
  <w:style w:type="paragraph" w:customStyle="1" w:styleId="Notes24">
    <w:name w:val="Notes_24"/>
    <w:basedOn w:val="Header26"/>
    <w:link w:val="NotesChar24"/>
    <w:pPr>
      <w:numPr>
        <w:numId w:val="5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rPr>
  </w:style>
  <w:style w:type="paragraph" w:customStyle="1" w:styleId="Header26">
    <w:name w:val="Header_26"/>
    <w:basedOn w:val="Normal28"/>
    <w:link w:val="HeaderChar26"/>
    <w:pPr>
      <w:tabs>
        <w:tab w:val="center" w:pos="4153"/>
        <w:tab w:val="right" w:pos="8306"/>
      </w:tabs>
    </w:pPr>
  </w:style>
  <w:style w:type="paragraph" w:customStyle="1" w:styleId="Normal28">
    <w:name w:val="Normal_28"/>
    <w:qFormat/>
    <w:pPr>
      <w:suppressAutoHyphens/>
    </w:pPr>
    <w:rPr>
      <w:rFonts w:ascii="Times New Roman" w:hAnsi="Times New Roman"/>
      <w:sz w:val="24"/>
      <w:szCs w:val="24"/>
    </w:rPr>
  </w:style>
  <w:style w:type="character" w:customStyle="1" w:styleId="HeaderChar26">
    <w:name w:val="Header Char_26"/>
    <w:link w:val="Header26"/>
    <w:rPr>
      <w:rFonts w:ascii="Times New Roman" w:hAnsi="Times New Roman"/>
      <w:sz w:val="24"/>
      <w:szCs w:val="24"/>
      <w:lang w:eastAsia="bg-BG"/>
    </w:rPr>
  </w:style>
  <w:style w:type="character" w:customStyle="1" w:styleId="NotesChar24">
    <w:name w:val="Notes Char_24"/>
    <w:link w:val="Notes24"/>
    <w:rPr>
      <w:rFonts w:ascii="Arial" w:hAnsi="Arial"/>
      <w:b/>
      <w:szCs w:val="24"/>
      <w:lang w:val="bg-BG" w:eastAsia="bg-BG"/>
    </w:rPr>
  </w:style>
  <w:style w:type="paragraph" w:customStyle="1" w:styleId="Header27">
    <w:name w:val="Header_27"/>
    <w:basedOn w:val="Normal29"/>
    <w:link w:val="HeaderChar27"/>
    <w:pPr>
      <w:tabs>
        <w:tab w:val="center" w:pos="4153"/>
        <w:tab w:val="right" w:pos="8306"/>
      </w:tabs>
    </w:pPr>
  </w:style>
  <w:style w:type="paragraph" w:customStyle="1" w:styleId="Normal29">
    <w:name w:val="Normal_29"/>
    <w:qFormat/>
    <w:pPr>
      <w:suppressAutoHyphens/>
    </w:pPr>
    <w:rPr>
      <w:rFonts w:ascii="Times New Roman" w:hAnsi="Times New Roman"/>
      <w:sz w:val="24"/>
      <w:szCs w:val="24"/>
    </w:rPr>
  </w:style>
  <w:style w:type="character" w:customStyle="1" w:styleId="HeaderChar27">
    <w:name w:val="Header Char_27"/>
    <w:link w:val="Header27"/>
    <w:rPr>
      <w:rFonts w:ascii="Times New Roman" w:hAnsi="Times New Roman"/>
      <w:sz w:val="24"/>
      <w:szCs w:val="24"/>
      <w:lang w:eastAsia="bg-BG"/>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rPr>
  </w:style>
  <w:style w:type="paragraph" w:customStyle="1" w:styleId="Notes25">
    <w:name w:val="Notes_25"/>
    <w:basedOn w:val="Header27"/>
    <w:link w:val="NotesChar25"/>
    <w:pPr>
      <w:numPr>
        <w:numId w:val="56"/>
      </w:numPr>
      <w:tabs>
        <w:tab w:val="clear" w:pos="4153"/>
        <w:tab w:val="clear" w:pos="8306"/>
        <w:tab w:val="center" w:pos="4320"/>
        <w:tab w:val="right" w:pos="8640"/>
      </w:tabs>
      <w:spacing w:before="120" w:after="120"/>
      <w:jc w:val="both"/>
    </w:pPr>
    <w:rPr>
      <w:rFonts w:ascii="Arial" w:hAnsi="Arial"/>
      <w:b/>
      <w:sz w:val="20"/>
    </w:rPr>
  </w:style>
  <w:style w:type="character" w:customStyle="1" w:styleId="NotesChar25">
    <w:name w:val="Notes Char_25"/>
    <w:link w:val="Notes25"/>
    <w:rPr>
      <w:rFonts w:ascii="Arial" w:hAnsi="Arial"/>
      <w:b/>
      <w:szCs w:val="24"/>
      <w:lang w:val="bg-BG" w:eastAsia="bg-BG"/>
    </w:rPr>
  </w:style>
  <w:style w:type="paragraph" w:customStyle="1" w:styleId="ListParagraph3">
    <w:name w:val="List Paragraph_3"/>
    <w:basedOn w:val="Normal29"/>
    <w:uiPriority w:val="34"/>
    <w:qFormat/>
    <w:pPr>
      <w:ind w:left="720"/>
      <w:contextualSpacing/>
    </w:p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rPr>
  </w:style>
  <w:style w:type="paragraph" w:customStyle="1" w:styleId="Notes26">
    <w:name w:val="Notes_26"/>
    <w:basedOn w:val="Header28"/>
    <w:link w:val="NotesChar26"/>
    <w:pPr>
      <w:numPr>
        <w:numId w:val="57"/>
      </w:numPr>
      <w:tabs>
        <w:tab w:val="clear" w:pos="4153"/>
        <w:tab w:val="clear" w:pos="8306"/>
        <w:tab w:val="center" w:pos="4320"/>
        <w:tab w:val="right" w:pos="8640"/>
      </w:tabs>
      <w:spacing w:before="120" w:after="120"/>
      <w:jc w:val="both"/>
    </w:pPr>
    <w:rPr>
      <w:rFonts w:ascii="Arial" w:hAnsi="Arial"/>
      <w:b/>
      <w:sz w:val="20"/>
    </w:rPr>
  </w:style>
  <w:style w:type="paragraph" w:customStyle="1" w:styleId="Header28">
    <w:name w:val="Header_28"/>
    <w:basedOn w:val="Normal30"/>
    <w:link w:val="HeaderChar28"/>
    <w:pPr>
      <w:tabs>
        <w:tab w:val="center" w:pos="4153"/>
        <w:tab w:val="right" w:pos="8306"/>
      </w:tabs>
    </w:pPr>
  </w:style>
  <w:style w:type="paragraph" w:customStyle="1" w:styleId="Normal30">
    <w:name w:val="Normal_30"/>
    <w:qFormat/>
    <w:pPr>
      <w:suppressAutoHyphens/>
    </w:pPr>
    <w:rPr>
      <w:rFonts w:ascii="Times New Roman" w:hAnsi="Times New Roman"/>
      <w:sz w:val="24"/>
      <w:szCs w:val="24"/>
    </w:rPr>
  </w:style>
  <w:style w:type="character" w:customStyle="1" w:styleId="HeaderChar28">
    <w:name w:val="Header Char_28"/>
    <w:link w:val="Header28"/>
    <w:rPr>
      <w:rFonts w:ascii="Times New Roman" w:hAnsi="Times New Roman"/>
      <w:sz w:val="24"/>
      <w:szCs w:val="24"/>
      <w:lang w:eastAsia="bg-BG"/>
    </w:rPr>
  </w:style>
  <w:style w:type="character" w:customStyle="1" w:styleId="NotesChar26">
    <w:name w:val="Notes Char_26"/>
    <w:link w:val="Notes26"/>
    <w:rPr>
      <w:rFonts w:ascii="Arial" w:hAnsi="Arial"/>
      <w:b/>
      <w:szCs w:val="24"/>
      <w:lang w:val="bg-BG" w:eastAsia="bg-BG"/>
    </w:rPr>
  </w:style>
  <w:style w:type="paragraph" w:customStyle="1" w:styleId="Notes">
    <w:name w:val="Notes"/>
    <w:basedOn w:val="Header"/>
    <w:link w:val="NotesChar"/>
    <w:pPr>
      <w:numPr>
        <w:numId w:val="58"/>
      </w:numPr>
      <w:tabs>
        <w:tab w:val="clear" w:pos="4677"/>
        <w:tab w:val="clear" w:pos="9355"/>
        <w:tab w:val="center" w:pos="4320"/>
        <w:tab w:val="right" w:pos="8640"/>
      </w:tabs>
      <w:suppressAutoHyphens/>
      <w:spacing w:before="120" w:after="120"/>
      <w:jc w:val="both"/>
    </w:pPr>
    <w:rPr>
      <w:rFonts w:ascii="Arial" w:hAnsi="Arial"/>
      <w:b/>
      <w:sz w:val="20"/>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rPr>
  </w:style>
  <w:style w:type="character" w:customStyle="1" w:styleId="NotesChar">
    <w:name w:val="Notes Char"/>
    <w:link w:val="Notes"/>
    <w:rPr>
      <w:rFonts w:ascii="Arial" w:hAnsi="Arial"/>
      <w:b/>
      <w:szCs w:val="24"/>
      <w:lang w:val="bg-BG" w:eastAsia="bg-BG"/>
    </w:rPr>
  </w:style>
  <w:style w:type="paragraph" w:customStyle="1" w:styleId="Title1">
    <w:name w:val="Title 1"/>
    <w:basedOn w:val="Notes"/>
    <w:pPr>
      <w:spacing w:before="0" w:after="0"/>
    </w:pPr>
  </w:style>
  <w:style w:type="paragraph" w:customStyle="1" w:styleId="Notes27">
    <w:name w:val="Notes_27"/>
    <w:basedOn w:val="Header29"/>
    <w:link w:val="NotesChar27"/>
    <w:pPr>
      <w:numPr>
        <w:numId w:val="5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rPr>
  </w:style>
  <w:style w:type="paragraph" w:customStyle="1" w:styleId="Header29">
    <w:name w:val="Header_29"/>
    <w:basedOn w:val="Normal31"/>
    <w:link w:val="HeaderChar29"/>
    <w:pPr>
      <w:tabs>
        <w:tab w:val="center" w:pos="4153"/>
        <w:tab w:val="right" w:pos="8306"/>
      </w:tabs>
    </w:pPr>
  </w:style>
  <w:style w:type="paragraph" w:customStyle="1" w:styleId="Normal31">
    <w:name w:val="Normal_31"/>
    <w:qFormat/>
    <w:pPr>
      <w:suppressAutoHyphens/>
    </w:pPr>
    <w:rPr>
      <w:rFonts w:ascii="Times New Roman" w:hAnsi="Times New Roman"/>
      <w:sz w:val="24"/>
      <w:szCs w:val="24"/>
    </w:rPr>
  </w:style>
  <w:style w:type="character" w:customStyle="1" w:styleId="HeaderChar29">
    <w:name w:val="Header Char_29"/>
    <w:link w:val="Header29"/>
    <w:rPr>
      <w:rFonts w:ascii="Times New Roman" w:hAnsi="Times New Roman"/>
      <w:sz w:val="24"/>
      <w:szCs w:val="24"/>
      <w:lang w:eastAsia="bg-BG"/>
    </w:rPr>
  </w:style>
  <w:style w:type="character" w:customStyle="1" w:styleId="NotesChar27">
    <w:name w:val="Notes Char_27"/>
    <w:link w:val="Notes27"/>
    <w:rPr>
      <w:rFonts w:ascii="Arial" w:hAnsi="Arial"/>
      <w:b/>
      <w:szCs w:val="24"/>
      <w:lang w:val="bg-BG" w:eastAsia="bg-BG"/>
    </w:rPr>
  </w:style>
  <w:style w:type="paragraph" w:customStyle="1" w:styleId="ListParagraph4">
    <w:name w:val="List Paragraph_4"/>
    <w:basedOn w:val="Normal31"/>
    <w:uiPriority w:val="34"/>
    <w:qFormat/>
    <w:pPr>
      <w:ind w:left="720"/>
      <w:contextualSpacing/>
    </w:pPr>
  </w:style>
  <w:style w:type="paragraph" w:customStyle="1" w:styleId="Notes28">
    <w:name w:val="Notes_28"/>
    <w:basedOn w:val="Header30"/>
    <w:link w:val="NotesChar28"/>
    <w:pPr>
      <w:numPr>
        <w:numId w:val="60"/>
      </w:numPr>
      <w:tabs>
        <w:tab w:val="clear" w:pos="4680"/>
        <w:tab w:val="clear" w:pos="9360"/>
        <w:tab w:val="center" w:pos="4320"/>
        <w:tab w:val="right" w:pos="8640"/>
      </w:tabs>
      <w:suppressAutoHyphens/>
      <w:spacing w:before="120" w:after="120"/>
      <w:jc w:val="both"/>
    </w:pPr>
    <w:rPr>
      <w:rFonts w:ascii="Arial" w:hAnsi="Arial"/>
      <w:b/>
      <w:szCs w:val="24"/>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paragraph" w:customStyle="1" w:styleId="Header30">
    <w:name w:val="Header_30"/>
    <w:basedOn w:val="Normal32"/>
    <w:link w:val="HeaderChar30"/>
    <w:uiPriority w:val="99"/>
    <w:semiHidden/>
    <w:unhideWhenUsed/>
    <w:pPr>
      <w:tabs>
        <w:tab w:val="center" w:pos="4680"/>
        <w:tab w:val="right" w:pos="9360"/>
      </w:tabs>
    </w:pPr>
  </w:style>
  <w:style w:type="paragraph" w:customStyle="1" w:styleId="Normal32">
    <w:name w:val="Normal_32"/>
    <w:qFormat/>
    <w:rPr>
      <w:rFonts w:eastAsia="Calibri" w:cs="Arial"/>
    </w:rPr>
  </w:style>
  <w:style w:type="character" w:customStyle="1" w:styleId="HeaderChar30">
    <w:name w:val="Header Char_30"/>
    <w:basedOn w:val="DefaultParagraphFont"/>
    <w:link w:val="Header30"/>
    <w:uiPriority w:val="99"/>
    <w:semiHidden/>
    <w:rPr>
      <w:rFonts w:ascii="Times New Roman" w:hAnsi="Times New Roman"/>
    </w:rPr>
  </w:style>
  <w:style w:type="character" w:customStyle="1" w:styleId="NotesChar28">
    <w:name w:val="Notes Char_28"/>
    <w:link w:val="Notes28"/>
    <w:locked/>
    <w:rPr>
      <w:rFonts w:ascii="Arial" w:eastAsia="Calibri" w:hAnsi="Arial" w:cs="Arial"/>
      <w:b/>
      <w:szCs w:val="24"/>
      <w:lang w:val="bg-BG" w:eastAsia="bg-BG"/>
    </w:rPr>
  </w:style>
  <w:style w:type="table" w:styleId="TableGrid">
    <w:name w:val="Table Grid"/>
    <w:basedOn w:val="TableNormal"/>
    <w:uiPriority w:val="59"/>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pPr>
      <w:tabs>
        <w:tab w:val="right" w:leader="dot" w:pos="9628"/>
      </w:tabs>
      <w:spacing w:after="100"/>
    </w:pPr>
    <w:rPr>
      <w:rFonts w:ascii="Verdana" w:hAnsi="Verdana"/>
      <w:noProof/>
      <w:color w:val="016794"/>
      <w:sz w:val="22"/>
    </w:rPr>
  </w:style>
  <w:style w:type="paragraph" w:styleId="TOC2">
    <w:name w:val="toc 2"/>
    <w:basedOn w:val="Normal"/>
    <w:next w:val="Normal"/>
    <w:autoRedefine/>
    <w:uiPriority w:val="39"/>
    <w:unhideWhenUsed/>
    <w:pPr>
      <w:spacing w:after="100"/>
      <w:ind w:left="240"/>
    </w:pPr>
    <w:rPr>
      <w:rFonts w:ascii="Verdana" w:hAnsi="Verdana"/>
      <w:color w:val="BFBFBF" w:themeColor="background1" w:themeShade="BF"/>
      <w:sz w:val="22"/>
    </w:rPr>
  </w:style>
  <w:style w:type="paragraph" w:styleId="TOCHeading">
    <w:name w:val="TOC Heading"/>
    <w:basedOn w:val="Heading1"/>
    <w:next w:val="Normal"/>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DMETW15549BIPTable22number3">
    <w:name w:val="DM_ETW_15549_BIP_Table22number3"/>
    <w:rPr>
      <w:rFonts w:eastAsia="Calibri"/>
    </w:rPr>
  </w:style>
  <w:style w:type="paragraph" w:customStyle="1" w:styleId="Normal00">
    <w:name w:val="Normal_0_0"/>
    <w:qFormat/>
    <w:rPr>
      <w:rFonts w:eastAsia="Calibri" w:cs="Arial"/>
    </w:rPr>
  </w:style>
  <w:style w:type="paragraph" w:customStyle="1" w:styleId="Normal1">
    <w:name w:val="Normal_1"/>
    <w:qFormat/>
    <w:rPr>
      <w:rFonts w:ascii="Times New Roman" w:hAnsi="Times New Roman"/>
      <w:sz w:val="24"/>
      <w:szCs w:val="24"/>
    </w:rPr>
  </w:style>
  <w:style w:type="table" w:customStyle="1" w:styleId="CDMRange1">
    <w:name w:val="CDM Range 1"/>
    <w:basedOn w:val="TableNormal"/>
    <w:next w:val="TableNormal"/>
    <w:semiHidden/>
    <w:rPr>
      <w:rFonts w:ascii="Times New Roman" w:hAnsi="Times New Roman"/>
    </w:rPr>
    <w:tblPr/>
  </w:style>
  <w:style w:type="paragraph" w:customStyle="1" w:styleId="Normal01">
    <w:name w:val="Normal_0_1"/>
    <w:qFormat/>
    <w:rPr>
      <w:rFonts w:ascii="Times New Roman" w:hAnsi="Times New Roman"/>
    </w:rPr>
  </w:style>
  <w:style w:type="table" w:customStyle="1" w:styleId="CDMRange2">
    <w:name w:val="CDM Range 2"/>
    <w:basedOn w:val="TableNormal"/>
    <w:next w:val="TableNormal"/>
    <w:semiHidden/>
    <w:rPr>
      <w:rFonts w:ascii="Times New Roman" w:hAnsi="Times New Roman"/>
    </w:rPr>
    <w:tblPr/>
  </w:style>
  <w:style w:type="table" w:customStyle="1" w:styleId="CDMRange10">
    <w:name w:val="CDM Range 1_0"/>
    <w:basedOn w:val="TableNormal"/>
    <w:next w:val="TableNormal"/>
    <w:semiHidden/>
    <w:rPr>
      <w:rFonts w:ascii="Times New Roman" w:hAnsi="Times New Roman"/>
    </w:rPr>
    <w:tblPr/>
  </w:style>
  <w:style w:type="table" w:customStyle="1" w:styleId="CDMRange20">
    <w:name w:val="CDM Range 2_0"/>
    <w:basedOn w:val="TableNormal"/>
    <w:next w:val="TableNormal"/>
    <w:semiHidden/>
    <w:rPr>
      <w:rFonts w:ascii="Times New Roman" w:hAnsi="Times New Roman"/>
    </w:rPr>
    <w:tblPr/>
  </w:style>
  <w:style w:type="paragraph" w:customStyle="1" w:styleId="Normal8">
    <w:name w:val="Normal_8"/>
    <w:qFormat/>
    <w:pPr>
      <w:suppressAutoHyphens/>
    </w:pPr>
    <w:rPr>
      <w:rFonts w:ascii="Times New Roman" w:hAnsi="Times New Roman"/>
      <w:sz w:val="24"/>
      <w:szCs w:val="24"/>
    </w:rPr>
  </w:style>
  <w:style w:type="paragraph" w:customStyle="1" w:styleId="Header00">
    <w:name w:val="Header_0_0"/>
    <w:basedOn w:val="Normal02"/>
    <w:uiPriority w:val="99"/>
    <w:unhideWhenUsed/>
    <w:pPr>
      <w:tabs>
        <w:tab w:val="center" w:pos="4680"/>
        <w:tab w:val="right" w:pos="9360"/>
      </w:tabs>
    </w:pPr>
    <w:rPr>
      <w:rFonts w:ascii="Calibri" w:eastAsia="Calibri" w:hAnsi="Calibri" w:cs="Arial"/>
    </w:rPr>
  </w:style>
  <w:style w:type="paragraph" w:customStyle="1" w:styleId="Normal02">
    <w:name w:val="Normal_0_2"/>
    <w:qFormat/>
    <w:rPr>
      <w:rFonts w:ascii="Times New Roman" w:hAnsi="Times New Roman"/>
    </w:rPr>
  </w:style>
  <w:style w:type="character" w:customStyle="1" w:styleId="HeaderChar00">
    <w:name w:val="Header Char_0_0"/>
    <w:basedOn w:val="DefaultParagraphFont"/>
    <w:uiPriority w:val="99"/>
    <w:rPr>
      <w:rFonts w:eastAsia="Calibri" w:cs="Arial"/>
      <w:lang w:val="bg-BG" w:eastAsia="bg-BG"/>
    </w:rPr>
  </w:style>
  <w:style w:type="paragraph" w:customStyle="1" w:styleId="Header100">
    <w:name w:val="Header_1_0"/>
    <w:basedOn w:val="Normal200"/>
    <w:uiPriority w:val="99"/>
    <w:unhideWhenUsed/>
    <w:pPr>
      <w:tabs>
        <w:tab w:val="center" w:pos="4680"/>
        <w:tab w:val="right" w:pos="9360"/>
      </w:tabs>
    </w:pPr>
    <w:rPr>
      <w:rFonts w:ascii="Calibri" w:eastAsia="Calibri" w:hAnsi="Calibri" w:cs="Arial"/>
    </w:rPr>
  </w:style>
  <w:style w:type="paragraph" w:customStyle="1" w:styleId="Normal200">
    <w:name w:val="Normal_2_0"/>
    <w:qFormat/>
    <w:rPr>
      <w:rFonts w:ascii="Times New Roman" w:hAnsi="Times New Roman"/>
    </w:rPr>
  </w:style>
  <w:style w:type="character" w:customStyle="1" w:styleId="HeaderChar100">
    <w:name w:val="Header Char_1_0"/>
    <w:basedOn w:val="DefaultParagraphFont"/>
    <w:uiPriority w:val="99"/>
    <w:rPr>
      <w:rFonts w:eastAsia="Calibri" w:cs="Arial"/>
      <w:lang w:val="bg-BG" w:eastAsia="bg-BG"/>
    </w:rPr>
  </w:style>
  <w:style w:type="paragraph" w:customStyle="1" w:styleId="Normal300">
    <w:name w:val="Normal_3_0"/>
    <w:qFormat/>
    <w:rPr>
      <w:rFonts w:eastAsia="Calibri" w:cs="Arial"/>
    </w:rPr>
  </w:style>
  <w:style w:type="paragraph" w:customStyle="1" w:styleId="Normal40">
    <w:name w:val="Normal_4_0"/>
    <w:qFormat/>
    <w:rPr>
      <w:rFonts w:eastAsia="Calibri" w:cs="Arial"/>
    </w:rPr>
  </w:style>
  <w:style w:type="paragraph" w:customStyle="1" w:styleId="NotesText">
    <w:name w:val="Notes Text"/>
    <w:basedOn w:val="Normal9"/>
    <w:pPr>
      <w:spacing w:after="60" w:line="180" w:lineRule="atLeast"/>
      <w:jc w:val="both"/>
    </w:pPr>
    <w:rPr>
      <w:rFonts w:ascii="Arial" w:hAnsi="Arial" w:cs="Arial"/>
      <w:sz w:val="15"/>
      <w:szCs w:val="15"/>
    </w:rPr>
  </w:style>
  <w:style w:type="paragraph" w:customStyle="1" w:styleId="Normal90">
    <w:name w:val="Normal_9_0"/>
    <w:qFormat/>
    <w:pPr>
      <w:suppressAutoHyphens/>
    </w:pPr>
    <w:rPr>
      <w:rFonts w:ascii="Times New Roman" w:hAnsi="Times New Roman"/>
      <w:sz w:val="24"/>
      <w:szCs w:val="24"/>
    </w:rPr>
  </w:style>
  <w:style w:type="paragraph" w:customStyle="1" w:styleId="Normal1000">
    <w:name w:val="Normal_1_0_0"/>
    <w:qFormat/>
    <w:pPr>
      <w:spacing w:line="190" w:lineRule="atLeast"/>
      <w:jc w:val="both"/>
    </w:pPr>
    <w:rPr>
      <w:rFonts w:ascii="Arial" w:hAnsi="Arial"/>
      <w:sz w:val="15"/>
      <w:szCs w:val="24"/>
    </w:rPr>
  </w:style>
  <w:style w:type="paragraph" w:customStyle="1" w:styleId="Normal400">
    <w:name w:val="Normal_4_0_0"/>
    <w:qFormat/>
    <w:rPr>
      <w:rFonts w:eastAsia="Calibri" w:cs="Arial"/>
    </w:rPr>
  </w:style>
  <w:style w:type="paragraph" w:customStyle="1" w:styleId="Title111">
    <w:name w:val="Title 1.1.1"/>
    <w:basedOn w:val="Notes0"/>
    <w:link w:val="Title111Char"/>
    <w:pPr>
      <w:numPr>
        <w:ilvl w:val="2"/>
        <w:numId w:val="62"/>
      </w:numPr>
      <w:tabs>
        <w:tab w:val="clear" w:pos="4320"/>
        <w:tab w:val="clear" w:pos="8640"/>
        <w:tab w:val="right" w:pos="-2700"/>
      </w:tabs>
      <w:spacing w:before="0" w:after="0"/>
    </w:pPr>
    <w:rPr>
      <w:b w:val="0"/>
      <w:szCs w:val="20"/>
    </w:rPr>
  </w:style>
  <w:style w:type="character" w:customStyle="1" w:styleId="Title111Char">
    <w:name w:val="Title 1.1.1 Char"/>
    <w:link w:val="Title111"/>
    <w:rPr>
      <w:rFonts w:ascii="Arial" w:hAnsi="Arial"/>
      <w:lang w:eastAsia="bg-BG"/>
    </w:rPr>
  </w:style>
  <w:style w:type="paragraph" w:customStyle="1" w:styleId="Normal91">
    <w:name w:val="Normal_9_1"/>
    <w:qFormat/>
    <w:pPr>
      <w:spacing w:line="190" w:lineRule="atLeast"/>
      <w:jc w:val="both"/>
    </w:pPr>
    <w:rPr>
      <w:rFonts w:ascii="Arial" w:hAnsi="Arial"/>
      <w:sz w:val="15"/>
      <w:szCs w:val="24"/>
    </w:rPr>
  </w:style>
  <w:style w:type="paragraph" w:customStyle="1" w:styleId="xx">
    <w:name w:val="xx"/>
    <w:basedOn w:val="Normal9"/>
    <w:pPr>
      <w:jc w:val="both"/>
    </w:pPr>
    <w:rPr>
      <w:rFonts w:ascii="Univers (WN)" w:hAnsi="Univers (WN)"/>
      <w:sz w:val="20"/>
      <w:szCs w:val="20"/>
    </w:rPr>
  </w:style>
  <w:style w:type="paragraph" w:customStyle="1" w:styleId="Header200">
    <w:name w:val="Header_2_0"/>
    <w:basedOn w:val="Normal50"/>
    <w:uiPriority w:val="99"/>
    <w:unhideWhenUsed/>
    <w:pPr>
      <w:tabs>
        <w:tab w:val="center" w:pos="4680"/>
        <w:tab w:val="right" w:pos="9360"/>
      </w:tabs>
    </w:pPr>
    <w:rPr>
      <w:rFonts w:ascii="Calibri" w:eastAsia="Calibri" w:hAnsi="Calibri" w:cs="Arial"/>
    </w:rPr>
  </w:style>
  <w:style w:type="paragraph" w:customStyle="1" w:styleId="Normal50">
    <w:name w:val="Normal_5_0"/>
    <w:qFormat/>
    <w:rPr>
      <w:rFonts w:ascii="Times New Roman" w:hAnsi="Times New Roman"/>
    </w:rPr>
  </w:style>
  <w:style w:type="character" w:customStyle="1" w:styleId="HeaderChar200">
    <w:name w:val="Header Char_2_0"/>
    <w:basedOn w:val="DefaultParagraphFont"/>
    <w:uiPriority w:val="99"/>
    <w:rPr>
      <w:rFonts w:eastAsia="Calibri" w:cs="Arial"/>
      <w:lang w:val="bg-BG" w:eastAsia="bg-BG"/>
    </w:rPr>
  </w:style>
  <w:style w:type="paragraph" w:customStyle="1" w:styleId="Header300">
    <w:name w:val="Header_3_0"/>
    <w:basedOn w:val="Normal60"/>
    <w:uiPriority w:val="99"/>
    <w:unhideWhenUsed/>
    <w:pPr>
      <w:tabs>
        <w:tab w:val="center" w:pos="4680"/>
        <w:tab w:val="right" w:pos="9360"/>
      </w:tabs>
    </w:pPr>
    <w:rPr>
      <w:rFonts w:ascii="Calibri" w:eastAsia="Calibri" w:hAnsi="Calibri" w:cs="Arial"/>
    </w:rPr>
  </w:style>
  <w:style w:type="paragraph" w:customStyle="1" w:styleId="Normal60">
    <w:name w:val="Normal_6_0"/>
    <w:qFormat/>
    <w:rPr>
      <w:rFonts w:ascii="Times New Roman" w:hAnsi="Times New Roman"/>
    </w:rPr>
  </w:style>
  <w:style w:type="character" w:customStyle="1" w:styleId="HeaderChar300">
    <w:name w:val="Header Char_3_0"/>
    <w:basedOn w:val="DefaultParagraphFont"/>
    <w:uiPriority w:val="99"/>
    <w:rPr>
      <w:rFonts w:eastAsia="Calibri" w:cs="Arial"/>
      <w:lang w:val="bg-BG" w:eastAsia="bg-BG"/>
    </w:rPr>
  </w:style>
  <w:style w:type="paragraph" w:customStyle="1" w:styleId="Normal70">
    <w:name w:val="Normal_7_0"/>
    <w:qFormat/>
    <w:rPr>
      <w:rFonts w:eastAsia="Calibri" w:cs="Arial"/>
    </w:rPr>
  </w:style>
  <w:style w:type="paragraph" w:customStyle="1" w:styleId="Title321">
    <w:name w:val="Title 3.2.1."/>
    <w:basedOn w:val="Notes5"/>
    <w:pPr>
      <w:numPr>
        <w:ilvl w:val="2"/>
        <w:numId w:val="78"/>
      </w:numPr>
      <w:tabs>
        <w:tab w:val="clear" w:pos="4320"/>
        <w:tab w:val="clear" w:pos="8640"/>
        <w:tab w:val="right" w:pos="-2700"/>
      </w:tabs>
      <w:spacing w:before="240"/>
    </w:pPr>
    <w:rPr>
      <w:szCs w:val="20"/>
    </w:rPr>
  </w:style>
  <w:style w:type="table" w:customStyle="1" w:styleId="CDMRange11">
    <w:name w:val="CDM Range 1_1"/>
    <w:basedOn w:val="TableNormal"/>
    <w:next w:val="TableNormal"/>
    <w:semiHidden/>
    <w:rPr>
      <w:rFonts w:ascii="Times New Roman" w:hAnsi="Times New Roman"/>
    </w:rPr>
    <w:tblPr/>
  </w:style>
  <w:style w:type="paragraph" w:customStyle="1" w:styleId="Listi">
    <w:name w:val="List i)"/>
    <w:basedOn w:val="Normal21"/>
    <w:next w:val="Normal21"/>
    <w:pPr>
      <w:keepNext/>
      <w:numPr>
        <w:numId w:val="82"/>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rPr>
  </w:style>
  <w:style w:type="paragraph" w:customStyle="1" w:styleId="Normal140">
    <w:name w:val="Normal_14_0"/>
    <w:qFormat/>
    <w:pPr>
      <w:suppressAutoHyphens/>
    </w:pPr>
    <w:rPr>
      <w:rFonts w:ascii="Times New Roman" w:hAnsi="Times New Roman"/>
      <w:sz w:val="24"/>
      <w:szCs w:val="24"/>
    </w:rPr>
  </w:style>
  <w:style w:type="paragraph" w:customStyle="1" w:styleId="Normal85">
    <w:name w:val="Normal_85"/>
    <w:qFormat/>
    <w:pPr>
      <w:spacing w:line="190" w:lineRule="atLeast"/>
      <w:jc w:val="both"/>
    </w:pPr>
    <w:rPr>
      <w:rFonts w:ascii="Arial" w:hAnsi="Arial"/>
      <w:sz w:val="15"/>
      <w:szCs w:val="24"/>
    </w:rPr>
  </w:style>
  <w:style w:type="paragraph" w:customStyle="1" w:styleId="Notes40">
    <w:name w:val="Notes_4_0"/>
    <w:basedOn w:val="Normal21"/>
    <w:pPr>
      <w:tabs>
        <w:tab w:val="num" w:pos="720"/>
        <w:tab w:val="center" w:pos="4320"/>
        <w:tab w:val="right" w:pos="8640"/>
      </w:tabs>
      <w:spacing w:before="120" w:after="120"/>
      <w:ind w:left="720" w:hanging="360"/>
      <w:jc w:val="both"/>
    </w:pPr>
    <w:rPr>
      <w:rFonts w:ascii="Arial" w:hAnsi="Arial" w:cs="Arial"/>
      <w:b/>
      <w:sz w:val="20"/>
    </w:rPr>
  </w:style>
  <w:style w:type="character" w:customStyle="1" w:styleId="NotesChar40">
    <w:name w:val="Notes Char_4_0"/>
    <w:locked/>
    <w:rPr>
      <w:rFonts w:ascii="Arial" w:hAnsi="Arial" w:cs="Arial"/>
      <w:b/>
      <w:szCs w:val="24"/>
      <w:lang w:val="bg-BG" w:eastAsia="bg-BG"/>
    </w:rPr>
  </w:style>
  <w:style w:type="table" w:customStyle="1" w:styleId="CDMRange21">
    <w:name w:val="CDM Range 2_1"/>
    <w:basedOn w:val="TableNormal"/>
    <w:next w:val="TableNormal"/>
    <w:semiHidden/>
    <w:rPr>
      <w:rFonts w:ascii="Times New Roman" w:hAnsi="Times New Roman"/>
    </w:rPr>
    <w:tblPr/>
  </w:style>
  <w:style w:type="table" w:customStyle="1" w:styleId="CDMRange12">
    <w:name w:val="CDM Range 1_2"/>
    <w:basedOn w:val="TableNormal"/>
    <w:next w:val="TableNormal"/>
    <w:semiHidden/>
    <w:rPr>
      <w:rFonts w:ascii="Times New Roman" w:hAnsi="Times New Roman"/>
    </w:rPr>
    <w:tblPr/>
  </w:style>
  <w:style w:type="table" w:customStyle="1" w:styleId="CDMRange22">
    <w:name w:val="CDM Range 2_2"/>
    <w:basedOn w:val="TableNormal"/>
    <w:next w:val="TableNormal"/>
    <w:semiHidden/>
    <w:rPr>
      <w:rFonts w:ascii="Times New Roman" w:hAnsi="Times New Roman"/>
    </w:rPr>
    <w:tblPr/>
  </w:style>
  <w:style w:type="table" w:customStyle="1" w:styleId="CDMRange13">
    <w:name w:val="CDM Range 1_3"/>
    <w:basedOn w:val="TableNormal"/>
    <w:next w:val="TableNormal"/>
    <w:semiHidden/>
    <w:rPr>
      <w:rFonts w:ascii="Times New Roman" w:hAnsi="Times New Roman"/>
    </w:rPr>
    <w:tblPr/>
  </w:style>
  <w:style w:type="paragraph" w:customStyle="1" w:styleId="Notes41">
    <w:name w:val="Notes_4_1"/>
    <w:basedOn w:val="Normal30"/>
    <w:pPr>
      <w:tabs>
        <w:tab w:val="num" w:pos="720"/>
        <w:tab w:val="center" w:pos="4320"/>
        <w:tab w:val="right" w:pos="8640"/>
      </w:tabs>
      <w:spacing w:before="120" w:after="120"/>
      <w:ind w:left="720" w:hanging="360"/>
      <w:jc w:val="both"/>
    </w:pPr>
    <w:rPr>
      <w:rFonts w:ascii="Arial" w:eastAsia="Calibri" w:hAnsi="Arial" w:cs="Arial"/>
      <w:b/>
      <w:sz w:val="20"/>
    </w:rPr>
  </w:style>
  <w:style w:type="character" w:customStyle="1" w:styleId="NotesChar41">
    <w:name w:val="Notes Char_4_1"/>
    <w:locked/>
    <w:rPr>
      <w:rFonts w:ascii="Arial" w:eastAsia="Calibri" w:hAnsi="Arial" w:cs="Arial"/>
      <w:b/>
      <w:szCs w:val="24"/>
      <w:lang w:val="bg-BG" w:eastAsia="bg-BG"/>
    </w:rPr>
  </w:style>
  <w:style w:type="table" w:customStyle="1" w:styleId="CDMRange23">
    <w:name w:val="CDM Range 2_3"/>
    <w:basedOn w:val="TableNormal"/>
    <w:next w:val="TableNormal"/>
    <w:semiHidden/>
    <w:rPr>
      <w:rFonts w:ascii="Times New Roman" w:hAnsi="Times New Roman"/>
    </w:rPr>
    <w:tblPr/>
  </w:style>
  <w:style w:type="table" w:customStyle="1" w:styleId="CDMRange14">
    <w:name w:val="CDM Range 1_4"/>
    <w:basedOn w:val="TableNormal"/>
    <w:next w:val="TableNormal"/>
    <w:semiHidden/>
    <w:rPr>
      <w:rFonts w:ascii="Times New Roman" w:hAnsi="Times New Roman"/>
    </w:rPr>
    <w:tblPr/>
  </w:style>
  <w:style w:type="paragraph" w:customStyle="1" w:styleId="Normal33">
    <w:name w:val="Normal_33"/>
    <w:qFormat/>
    <w:pPr>
      <w:suppressAutoHyphens/>
    </w:pPr>
    <w:rPr>
      <w:rFonts w:ascii="Times New Roman" w:hAnsi="Times New Roman"/>
      <w:sz w:val="24"/>
      <w:szCs w:val="24"/>
    </w:rPr>
  </w:style>
  <w:style w:type="paragraph" w:customStyle="1" w:styleId="Normal34">
    <w:name w:val="Normal_34"/>
    <w:qFormat/>
    <w:rPr>
      <w:rFonts w:ascii="Times New Roman" w:hAnsi="Times New Roman"/>
      <w:sz w:val="24"/>
      <w:szCs w:val="24"/>
    </w:rPr>
  </w:style>
  <w:style w:type="table" w:customStyle="1" w:styleId="CDMRange24">
    <w:name w:val="CDM Range 2_4"/>
    <w:basedOn w:val="TableNormal"/>
    <w:next w:val="TableNormal"/>
    <w:semiHidden/>
    <w:rPr>
      <w:rFonts w:ascii="Times New Roman" w:hAnsi="Times New Roman"/>
    </w:rPr>
    <w:tblPr/>
  </w:style>
  <w:style w:type="paragraph" w:customStyle="1" w:styleId="Normal35">
    <w:name w:val="Normal_35"/>
    <w:qFormat/>
    <w:pPr>
      <w:suppressAutoHyphens/>
    </w:pPr>
    <w:rPr>
      <w:rFonts w:ascii="Times New Roman" w:hAnsi="Times New Roman"/>
      <w:sz w:val="24"/>
      <w:szCs w:val="24"/>
    </w:rPr>
  </w:style>
  <w:style w:type="paragraph" w:customStyle="1" w:styleId="Normal250">
    <w:name w:val="Normal_25_0"/>
    <w:qFormat/>
    <w:pPr>
      <w:suppressAutoHyphens/>
    </w:pPr>
    <w:rPr>
      <w:rFonts w:ascii="Times New Roman" w:hAnsi="Times New Roman"/>
      <w:sz w:val="24"/>
      <w:szCs w:val="24"/>
    </w:rPr>
  </w:style>
  <w:style w:type="paragraph" w:customStyle="1" w:styleId="Normal36">
    <w:name w:val="Normal_36"/>
    <w:qFormat/>
    <w:rPr>
      <w:rFonts w:ascii="Times New Roman" w:hAnsi="Times New Roman"/>
      <w:sz w:val="24"/>
      <w:szCs w:val="24"/>
    </w:rPr>
  </w:style>
  <w:style w:type="table" w:customStyle="1" w:styleId="CDMRange15">
    <w:name w:val="CDM Range 1_5"/>
    <w:basedOn w:val="TableNormal"/>
    <w:next w:val="TableNormal"/>
    <w:semiHidden/>
    <w:rPr>
      <w:rFonts w:ascii="Times New Roman" w:hAnsi="Times New Roman"/>
    </w:rPr>
    <w:tblPr/>
  </w:style>
  <w:style w:type="paragraph" w:customStyle="1" w:styleId="Normal37">
    <w:name w:val="Normal_37"/>
    <w:qFormat/>
    <w:rPr>
      <w:rFonts w:ascii="Times New Roman" w:hAnsi="Times New Roman"/>
      <w:sz w:val="24"/>
      <w:szCs w:val="24"/>
    </w:rPr>
  </w:style>
  <w:style w:type="table" w:customStyle="1" w:styleId="CDMRange25">
    <w:name w:val="CDM Range 2_5"/>
    <w:basedOn w:val="TableNormal"/>
    <w:next w:val="TableNormal"/>
    <w:semiHidden/>
    <w:rPr>
      <w:rFonts w:ascii="Times New Roman" w:hAnsi="Times New Roman"/>
    </w:rPr>
    <w:tblPr/>
  </w:style>
  <w:style w:type="paragraph" w:customStyle="1" w:styleId="Normal38">
    <w:name w:val="Normal_38"/>
    <w:qFormat/>
    <w:pPr>
      <w:suppressAutoHyphens/>
    </w:pPr>
    <w:rPr>
      <w:rFonts w:ascii="Times New Roman" w:hAnsi="Times New Roman"/>
      <w:sz w:val="24"/>
      <w:szCs w:val="24"/>
    </w:rPr>
  </w:style>
  <w:style w:type="paragraph" w:customStyle="1" w:styleId="Normal39">
    <w:name w:val="Normal_39"/>
    <w:qFormat/>
    <w:rPr>
      <w:rFonts w:ascii="Times New Roman" w:hAnsi="Times New Roman"/>
      <w:sz w:val="24"/>
      <w:szCs w:val="24"/>
    </w:rPr>
  </w:style>
  <w:style w:type="table" w:customStyle="1" w:styleId="CDMRange16">
    <w:name w:val="CDM Range 1_6"/>
    <w:basedOn w:val="TableNormal"/>
    <w:next w:val="TableNormal"/>
    <w:semiHidden/>
    <w:rPr>
      <w:rFonts w:ascii="Times New Roman" w:hAnsi="Times New Roman"/>
    </w:rPr>
    <w:tblPr/>
  </w:style>
  <w:style w:type="paragraph" w:customStyle="1" w:styleId="Normal401">
    <w:name w:val="Normal_40"/>
    <w:qFormat/>
    <w:pPr>
      <w:suppressAutoHyphens/>
    </w:pPr>
    <w:rPr>
      <w:rFonts w:ascii="Times New Roman" w:hAnsi="Times New Roman"/>
      <w:sz w:val="24"/>
      <w:szCs w:val="24"/>
    </w:rPr>
  </w:style>
  <w:style w:type="paragraph" w:customStyle="1" w:styleId="Normal41">
    <w:name w:val="Normal_41"/>
    <w:qFormat/>
    <w:pPr>
      <w:suppressAutoHyphens/>
    </w:pPr>
    <w:rPr>
      <w:rFonts w:ascii="Times New Roman" w:hAnsi="Times New Roman"/>
      <w:sz w:val="24"/>
      <w:szCs w:val="24"/>
    </w:rPr>
  </w:style>
  <w:style w:type="paragraph" w:customStyle="1" w:styleId="Normal42">
    <w:name w:val="Normal_42"/>
    <w:qFormat/>
    <w:rPr>
      <w:rFonts w:ascii="Times New Roman" w:hAnsi="Times New Roman"/>
      <w:sz w:val="24"/>
      <w:szCs w:val="24"/>
    </w:rPr>
  </w:style>
  <w:style w:type="table" w:customStyle="1" w:styleId="CDMRange26">
    <w:name w:val="CDM Range 2_6"/>
    <w:basedOn w:val="TableNormal"/>
    <w:next w:val="TableNormal"/>
    <w:semiHidden/>
    <w:rPr>
      <w:rFonts w:ascii="Times New Roman" w:hAnsi="Times New Roman"/>
    </w:rPr>
    <w:tblPr/>
  </w:style>
  <w:style w:type="paragraph" w:customStyle="1" w:styleId="Normal43">
    <w:name w:val="Normal_43"/>
    <w:qFormat/>
    <w:pPr>
      <w:suppressAutoHyphens/>
    </w:pPr>
    <w:rPr>
      <w:rFonts w:ascii="Times New Roman" w:hAnsi="Times New Roman"/>
      <w:sz w:val="24"/>
      <w:szCs w:val="24"/>
    </w:rPr>
  </w:style>
  <w:style w:type="paragraph" w:customStyle="1" w:styleId="Normal44">
    <w:name w:val="Normal_44"/>
    <w:qFormat/>
    <w:pPr>
      <w:suppressAutoHyphens/>
    </w:pPr>
    <w:rPr>
      <w:rFonts w:ascii="Times New Roman" w:hAnsi="Times New Roman"/>
      <w:sz w:val="24"/>
      <w:szCs w:val="24"/>
    </w:rPr>
  </w:style>
  <w:style w:type="paragraph" w:customStyle="1" w:styleId="Normal45">
    <w:name w:val="Normal_45"/>
    <w:qFormat/>
    <w:rPr>
      <w:rFonts w:ascii="Times New Roman" w:hAnsi="Times New Roman"/>
      <w:sz w:val="24"/>
      <w:szCs w:val="24"/>
    </w:rPr>
  </w:style>
  <w:style w:type="table" w:customStyle="1" w:styleId="CDMRange17">
    <w:name w:val="CDM Range 1_7"/>
    <w:basedOn w:val="TableNormal"/>
    <w:next w:val="TableNormal"/>
    <w:semiHidden/>
    <w:rPr>
      <w:rFonts w:ascii="Times New Roman" w:hAnsi="Times New Roman"/>
    </w:rPr>
    <w:tblPr/>
  </w:style>
  <w:style w:type="paragraph" w:customStyle="1" w:styleId="Normal46">
    <w:name w:val="Normal_46"/>
    <w:qFormat/>
    <w:pPr>
      <w:suppressAutoHyphens/>
    </w:pPr>
    <w:rPr>
      <w:rFonts w:ascii="Times New Roman" w:hAnsi="Times New Roman"/>
      <w:sz w:val="24"/>
      <w:szCs w:val="24"/>
    </w:rPr>
  </w:style>
  <w:style w:type="paragraph" w:customStyle="1" w:styleId="Normal47">
    <w:name w:val="Normal_47"/>
    <w:qFormat/>
    <w:rPr>
      <w:rFonts w:ascii="Times New Roman" w:hAnsi="Times New Roman"/>
      <w:sz w:val="24"/>
      <w:szCs w:val="24"/>
    </w:rPr>
  </w:style>
  <w:style w:type="table" w:customStyle="1" w:styleId="CDMRange27">
    <w:name w:val="CDM Range 2_7"/>
    <w:basedOn w:val="TableNormal"/>
    <w:next w:val="TableNormal"/>
    <w:semiHidden/>
    <w:rPr>
      <w:rFonts w:ascii="Times New Roman" w:hAnsi="Times New Roman"/>
    </w:rPr>
    <w:tblPr/>
  </w:style>
  <w:style w:type="paragraph" w:customStyle="1" w:styleId="Normal48">
    <w:name w:val="Normal_48"/>
    <w:qFormat/>
    <w:rPr>
      <w:rFonts w:ascii="Times New Roman" w:hAnsi="Times New Roman"/>
      <w:sz w:val="24"/>
      <w:szCs w:val="24"/>
    </w:rPr>
  </w:style>
  <w:style w:type="table" w:customStyle="1" w:styleId="CDMRange18">
    <w:name w:val="CDM Range 1_8"/>
    <w:basedOn w:val="TableNormal"/>
    <w:next w:val="TableNormal"/>
    <w:semiHidden/>
    <w:rPr>
      <w:rFonts w:ascii="Times New Roman" w:hAnsi="Times New Roman"/>
    </w:rPr>
    <w:tblPr/>
  </w:style>
  <w:style w:type="paragraph" w:customStyle="1" w:styleId="Header22">
    <w:name w:val="Header_22"/>
    <w:basedOn w:val="Normal49"/>
    <w:pPr>
      <w:tabs>
        <w:tab w:val="center" w:pos="4153"/>
        <w:tab w:val="right" w:pos="8306"/>
      </w:tabs>
    </w:pPr>
  </w:style>
  <w:style w:type="paragraph" w:customStyle="1" w:styleId="Normal49">
    <w:name w:val="Normal_49"/>
    <w:qFormat/>
    <w:pPr>
      <w:suppressAutoHyphens/>
    </w:pPr>
    <w:rPr>
      <w:rFonts w:ascii="Times New Roman" w:hAnsi="Times New Roman"/>
      <w:sz w:val="24"/>
      <w:szCs w:val="24"/>
    </w:rPr>
  </w:style>
  <w:style w:type="character" w:customStyle="1" w:styleId="HeaderChar22">
    <w:name w:val="Header Char_22"/>
    <w:rPr>
      <w:rFonts w:ascii="Times New Roman" w:hAnsi="Times New Roman"/>
      <w:sz w:val="24"/>
      <w:szCs w:val="24"/>
      <w:lang w:eastAsia="bg-BG"/>
    </w:rPr>
  </w:style>
  <w:style w:type="paragraph" w:customStyle="1" w:styleId="Normal500">
    <w:name w:val="Normal_50"/>
    <w:qFormat/>
    <w:rPr>
      <w:rFonts w:ascii="Times New Roman" w:hAnsi="Times New Roman"/>
      <w:sz w:val="24"/>
      <w:szCs w:val="24"/>
    </w:rPr>
  </w:style>
  <w:style w:type="table" w:customStyle="1" w:styleId="CDMRange28">
    <w:name w:val="CDM Range 2_8"/>
    <w:basedOn w:val="TableNormal"/>
    <w:next w:val="TableNormal"/>
    <w:semiHidden/>
    <w:rPr>
      <w:rFonts w:ascii="Times New Roman" w:hAnsi="Times New Roman"/>
    </w:rPr>
    <w:tblPr/>
  </w:style>
  <w:style w:type="paragraph" w:customStyle="1" w:styleId="Normal51">
    <w:name w:val="Normal_51"/>
    <w:qFormat/>
    <w:pPr>
      <w:suppressAutoHyphens/>
    </w:pPr>
    <w:rPr>
      <w:rFonts w:ascii="Times New Roman" w:hAnsi="Times New Roman"/>
      <w:sz w:val="24"/>
      <w:szCs w:val="24"/>
    </w:rPr>
  </w:style>
  <w:style w:type="paragraph" w:customStyle="1" w:styleId="Header23">
    <w:name w:val="Header_23"/>
    <w:basedOn w:val="Normal51"/>
    <w:pPr>
      <w:tabs>
        <w:tab w:val="center" w:pos="4153"/>
        <w:tab w:val="right" w:pos="8306"/>
      </w:tabs>
    </w:pPr>
  </w:style>
  <w:style w:type="character" w:customStyle="1" w:styleId="HeaderChar23">
    <w:name w:val="Header Char_23"/>
    <w:rPr>
      <w:rFonts w:ascii="Times New Roman" w:hAnsi="Times New Roman"/>
      <w:sz w:val="24"/>
      <w:szCs w:val="24"/>
      <w:lang w:eastAsia="bg-BG"/>
    </w:rPr>
  </w:style>
  <w:style w:type="paragraph" w:customStyle="1" w:styleId="Normal52">
    <w:name w:val="Normal_52"/>
    <w:qFormat/>
    <w:rPr>
      <w:rFonts w:ascii="Times New Roman" w:hAnsi="Times New Roman"/>
      <w:sz w:val="24"/>
      <w:szCs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53">
    <w:name w:val="Normal_53"/>
    <w:qFormat/>
    <w:pPr>
      <w:suppressAutoHyphens/>
    </w:pPr>
    <w:rPr>
      <w:rFonts w:ascii="Times New Roman" w:hAnsi="Times New Roman"/>
      <w:sz w:val="24"/>
      <w:szCs w:val="24"/>
    </w:rPr>
  </w:style>
  <w:style w:type="paragraph" w:customStyle="1" w:styleId="Normal54">
    <w:name w:val="Normal_54"/>
    <w:qFormat/>
    <w:pPr>
      <w:suppressAutoHyphens/>
    </w:pPr>
    <w:rPr>
      <w:rFonts w:ascii="Times New Roman" w:hAnsi="Times New Roman"/>
      <w:sz w:val="24"/>
      <w:szCs w:val="24"/>
    </w:rPr>
  </w:style>
  <w:style w:type="paragraph" w:customStyle="1" w:styleId="Notes210">
    <w:name w:val="Notes_21_0"/>
    <w:basedOn w:val="Normal54"/>
    <w:pPr>
      <w:tabs>
        <w:tab w:val="num" w:pos="720"/>
        <w:tab w:val="center" w:pos="4320"/>
        <w:tab w:val="right" w:pos="8640"/>
      </w:tabs>
      <w:spacing w:before="120" w:after="120"/>
      <w:ind w:left="720" w:hanging="360"/>
      <w:jc w:val="both"/>
    </w:pPr>
    <w:rPr>
      <w:rFonts w:ascii="Arial" w:hAnsi="Arial"/>
      <w:b/>
      <w:sz w:val="20"/>
    </w:rPr>
  </w:style>
  <w:style w:type="character" w:customStyle="1" w:styleId="NotesChar210">
    <w:name w:val="Notes Char_21_0"/>
    <w:locked/>
    <w:rPr>
      <w:rFonts w:ascii="Arial" w:hAnsi="Arial"/>
      <w:b/>
      <w:szCs w:val="24"/>
      <w:lang w:eastAsia="bg-BG"/>
    </w:rPr>
  </w:style>
  <w:style w:type="paragraph" w:customStyle="1" w:styleId="Normal160">
    <w:name w:val="Normal_16_0"/>
    <w:qFormat/>
    <w:rPr>
      <w:rFonts w:ascii="Times New Roman" w:hAnsi="Times New Roman"/>
      <w:sz w:val="24"/>
      <w:szCs w:val="24"/>
    </w:rPr>
  </w:style>
  <w:style w:type="paragraph" w:customStyle="1" w:styleId="Normal55">
    <w:name w:val="Normal_55"/>
    <w:qFormat/>
    <w:rPr>
      <w:rFonts w:ascii="Times New Roman" w:hAnsi="Times New Roman"/>
      <w:sz w:val="24"/>
      <w:szCs w:val="24"/>
    </w:rPr>
  </w:style>
  <w:style w:type="table" w:customStyle="1" w:styleId="CDMRange29">
    <w:name w:val="CDM Range 2_9"/>
    <w:basedOn w:val="TableNormal"/>
    <w:next w:val="TableNormal"/>
    <w:semiHidden/>
    <w:rPr>
      <w:rFonts w:ascii="Times New Roman" w:hAnsi="Times New Roman"/>
    </w:rPr>
    <w:tblPr/>
  </w:style>
  <w:style w:type="paragraph" w:customStyle="1" w:styleId="Normal56">
    <w:name w:val="Normal_56"/>
    <w:qFormat/>
    <w:rPr>
      <w:rFonts w:ascii="Times New Roman" w:hAnsi="Times New Roman"/>
      <w:sz w:val="24"/>
      <w:szCs w:val="24"/>
    </w:rPr>
  </w:style>
  <w:style w:type="table" w:customStyle="1" w:styleId="CDMRange110">
    <w:name w:val="CDM Range 1_10"/>
    <w:basedOn w:val="TableNormal"/>
    <w:next w:val="TableNormal"/>
    <w:semiHidden/>
    <w:rPr>
      <w:rFonts w:ascii="Times New Roman" w:hAnsi="Times New Roman"/>
    </w:rPr>
    <w:tblPr/>
  </w:style>
  <w:style w:type="paragraph" w:customStyle="1" w:styleId="Normal57">
    <w:name w:val="Normal_57"/>
    <w:qFormat/>
    <w:pPr>
      <w:suppressAutoHyphens/>
    </w:pPr>
    <w:rPr>
      <w:rFonts w:ascii="Times New Roman" w:hAnsi="Times New Roman"/>
      <w:sz w:val="24"/>
      <w:szCs w:val="24"/>
    </w:rPr>
  </w:style>
  <w:style w:type="paragraph" w:customStyle="1" w:styleId="Normal58">
    <w:name w:val="Normal_58"/>
    <w:qFormat/>
    <w:pPr>
      <w:suppressAutoHyphens/>
    </w:pPr>
    <w:rPr>
      <w:rFonts w:ascii="Times New Roman" w:hAnsi="Times New Roman"/>
      <w:sz w:val="24"/>
      <w:szCs w:val="24"/>
    </w:rPr>
  </w:style>
  <w:style w:type="paragraph" w:customStyle="1" w:styleId="Normal59">
    <w:name w:val="Normal_59"/>
    <w:qFormat/>
    <w:rPr>
      <w:rFonts w:ascii="Times New Roman" w:hAnsi="Times New Roman"/>
      <w:sz w:val="24"/>
      <w:szCs w:val="24"/>
    </w:rPr>
  </w:style>
  <w:style w:type="table" w:customStyle="1" w:styleId="CDMRange210">
    <w:name w:val="CDM Range 2_10"/>
    <w:basedOn w:val="TableNormal"/>
    <w:next w:val="TableNormal"/>
    <w:semiHidden/>
    <w:rPr>
      <w:rFonts w:ascii="Times New Roman" w:hAnsi="Times New Roman"/>
    </w:rPr>
    <w:tblPr/>
  </w:style>
  <w:style w:type="paragraph" w:customStyle="1" w:styleId="Normal600">
    <w:name w:val="Normal_60"/>
    <w:qFormat/>
    <w:pPr>
      <w:suppressAutoHyphens/>
    </w:pPr>
    <w:rPr>
      <w:rFonts w:ascii="Times New Roman" w:hAnsi="Times New Roman"/>
      <w:sz w:val="24"/>
      <w:szCs w:val="24"/>
    </w:rPr>
  </w:style>
  <w:style w:type="paragraph" w:customStyle="1" w:styleId="Normal61">
    <w:name w:val="Normal_61"/>
    <w:qFormat/>
    <w:rPr>
      <w:rFonts w:ascii="Times New Roman" w:hAnsi="Times New Roman"/>
      <w:sz w:val="24"/>
      <w:szCs w:val="24"/>
    </w:rPr>
  </w:style>
  <w:style w:type="table" w:customStyle="1" w:styleId="CDMRange111">
    <w:name w:val="CDM Range 1_11"/>
    <w:basedOn w:val="TableNormal"/>
    <w:next w:val="TableNormal"/>
    <w:semiHidden/>
    <w:rPr>
      <w:rFonts w:ascii="Times New Roman" w:hAnsi="Times New Roman"/>
    </w:rPr>
    <w:tblPr/>
  </w:style>
  <w:style w:type="paragraph" w:customStyle="1" w:styleId="Normal62">
    <w:name w:val="Normal_62"/>
    <w:qFormat/>
    <w:rPr>
      <w:rFonts w:ascii="Times New Roman" w:hAnsi="Times New Roman"/>
      <w:sz w:val="24"/>
      <w:szCs w:val="24"/>
    </w:rPr>
  </w:style>
  <w:style w:type="table" w:customStyle="1" w:styleId="CDMRange211">
    <w:name w:val="CDM Range 2_11"/>
    <w:basedOn w:val="TableNormal"/>
    <w:next w:val="TableNormal"/>
    <w:semiHidden/>
    <w:rPr>
      <w:rFonts w:ascii="Times New Roman" w:hAnsi="Times New Roman"/>
    </w:rPr>
    <w:tblPr/>
  </w:style>
  <w:style w:type="paragraph" w:customStyle="1" w:styleId="Normal63">
    <w:name w:val="Normal_63"/>
    <w:qFormat/>
    <w:pPr>
      <w:suppressAutoHyphens/>
    </w:pPr>
    <w:rPr>
      <w:rFonts w:ascii="Times New Roman" w:hAnsi="Times New Roman"/>
      <w:sz w:val="24"/>
      <w:szCs w:val="24"/>
    </w:rPr>
  </w:style>
  <w:style w:type="paragraph" w:customStyle="1" w:styleId="Normal550">
    <w:name w:val="Normal_55_0"/>
    <w:qFormat/>
    <w:pPr>
      <w:suppressAutoHyphens/>
    </w:pPr>
    <w:rPr>
      <w:rFonts w:ascii="Times New Roman" w:hAnsi="Times New Roman"/>
      <w:sz w:val="24"/>
      <w:szCs w:val="24"/>
    </w:rPr>
  </w:style>
  <w:style w:type="paragraph" w:customStyle="1" w:styleId="Header01">
    <w:name w:val="Header_0_1"/>
    <w:basedOn w:val="Normal03"/>
    <w:uiPriority w:val="99"/>
    <w:unhideWhenUsed/>
    <w:pPr>
      <w:tabs>
        <w:tab w:val="center" w:pos="4680"/>
        <w:tab w:val="right" w:pos="9360"/>
      </w:tabs>
    </w:pPr>
    <w:rPr>
      <w:rFonts w:ascii="Calibri" w:eastAsia="Calibri" w:hAnsi="Calibri" w:cs="Arial"/>
    </w:rPr>
  </w:style>
  <w:style w:type="paragraph" w:customStyle="1" w:styleId="Normal03">
    <w:name w:val="Normal_0_3"/>
    <w:qFormat/>
    <w:rPr>
      <w:rFonts w:ascii="Times New Roman" w:hAnsi="Times New Roman"/>
    </w:rPr>
  </w:style>
  <w:style w:type="character" w:customStyle="1" w:styleId="HeaderChar01">
    <w:name w:val="Header Char_0_1"/>
    <w:basedOn w:val="DefaultParagraphFont"/>
    <w:uiPriority w:val="99"/>
    <w:rPr>
      <w:rFonts w:eastAsia="Calibri" w:cs="Arial"/>
      <w:lang w:val="bg-BG" w:eastAsia="bg-BG"/>
    </w:rPr>
  </w:style>
  <w:style w:type="paragraph" w:customStyle="1" w:styleId="Header110">
    <w:name w:val="Header_1_1"/>
    <w:basedOn w:val="Normal210"/>
    <w:uiPriority w:val="99"/>
    <w:unhideWhenUsed/>
    <w:pPr>
      <w:tabs>
        <w:tab w:val="center" w:pos="4680"/>
        <w:tab w:val="right" w:pos="9360"/>
      </w:tabs>
    </w:pPr>
    <w:rPr>
      <w:rFonts w:ascii="Calibri" w:eastAsia="Calibri" w:hAnsi="Calibri" w:cs="Arial"/>
    </w:rPr>
  </w:style>
  <w:style w:type="paragraph" w:customStyle="1" w:styleId="Normal210">
    <w:name w:val="Normal_2_1"/>
    <w:qFormat/>
    <w:rPr>
      <w:rFonts w:ascii="Times New Roman" w:hAnsi="Times New Roman"/>
    </w:rPr>
  </w:style>
  <w:style w:type="character" w:customStyle="1" w:styleId="HeaderChar110">
    <w:name w:val="Header Char_1_1"/>
    <w:basedOn w:val="DefaultParagraphFont"/>
    <w:uiPriority w:val="99"/>
    <w:rPr>
      <w:rFonts w:eastAsia="Calibri" w:cs="Arial"/>
      <w:lang w:val="bg-BG" w:eastAsia="bg-BG"/>
    </w:rPr>
  </w:style>
  <w:style w:type="paragraph" w:customStyle="1" w:styleId="Normal310">
    <w:name w:val="Normal_3_1"/>
    <w:qFormat/>
    <w:rPr>
      <w:rFonts w:eastAsia="Calibri" w:cs="Arial"/>
    </w:rPr>
  </w:style>
  <w:style w:type="paragraph" w:customStyle="1" w:styleId="Normal410">
    <w:name w:val="Normal_4_1"/>
    <w:qFormat/>
    <w:rPr>
      <w:rFonts w:eastAsia="Calibri" w:cs="Arial"/>
    </w:rPr>
  </w:style>
  <w:style w:type="paragraph" w:customStyle="1" w:styleId="Normal64">
    <w:name w:val="Normal_64"/>
    <w:qFormat/>
    <w:pPr>
      <w:suppressAutoHyphens/>
    </w:pPr>
    <w:rPr>
      <w:rFonts w:ascii="Times New Roman" w:hAnsi="Times New Roman"/>
      <w:sz w:val="24"/>
      <w:szCs w:val="24"/>
    </w:rPr>
  </w:style>
  <w:style w:type="paragraph" w:customStyle="1" w:styleId="Normal65">
    <w:name w:val="Normal_65"/>
    <w:qFormat/>
    <w:rPr>
      <w:rFonts w:ascii="Times New Roman" w:hAnsi="Times New Roman"/>
      <w:sz w:val="24"/>
      <w:szCs w:val="24"/>
    </w:rPr>
  </w:style>
  <w:style w:type="table" w:customStyle="1" w:styleId="CDMRange112">
    <w:name w:val="CDM Range 1_12"/>
    <w:basedOn w:val="TableNormal"/>
    <w:next w:val="TableNormal"/>
    <w:semiHidden/>
    <w:rPr>
      <w:rFonts w:ascii="Times New Roman" w:hAnsi="Times New Roman"/>
    </w:rPr>
    <w:tblPr/>
  </w:style>
  <w:style w:type="paragraph" w:customStyle="1" w:styleId="Normal66">
    <w:name w:val="Normal_66"/>
    <w:qFormat/>
    <w:rPr>
      <w:rFonts w:ascii="Times New Roman" w:hAnsi="Times New Roman"/>
      <w:sz w:val="24"/>
      <w:szCs w:val="24"/>
    </w:rPr>
  </w:style>
  <w:style w:type="table" w:customStyle="1" w:styleId="CDMRange212">
    <w:name w:val="CDM Range 2_12"/>
    <w:basedOn w:val="TableNormal"/>
    <w:next w:val="TableNormal"/>
    <w:semiHidden/>
    <w:rPr>
      <w:rFonts w:ascii="Times New Roman" w:hAnsi="Times New Roman"/>
    </w:rPr>
    <w:tblPr/>
  </w:style>
  <w:style w:type="paragraph" w:customStyle="1" w:styleId="Normal67">
    <w:name w:val="Normal_67"/>
    <w:qFormat/>
    <w:rPr>
      <w:rFonts w:ascii="Times New Roman" w:hAnsi="Times New Roman"/>
      <w:sz w:val="24"/>
      <w:szCs w:val="24"/>
    </w:rPr>
  </w:style>
  <w:style w:type="table" w:customStyle="1" w:styleId="CDMRange113">
    <w:name w:val="CDM Range 1_13"/>
    <w:basedOn w:val="TableNormal"/>
    <w:next w:val="TableNormal"/>
    <w:semiHidden/>
    <w:rPr>
      <w:rFonts w:ascii="Times New Roman" w:hAnsi="Times New Roman"/>
    </w:rPr>
    <w:tblPr/>
  </w:style>
  <w:style w:type="paragraph" w:customStyle="1" w:styleId="Normal68">
    <w:name w:val="Normal_68"/>
    <w:qFormat/>
    <w:rPr>
      <w:rFonts w:ascii="Times New Roman" w:hAnsi="Times New Roman"/>
      <w:sz w:val="24"/>
      <w:szCs w:val="24"/>
    </w:rPr>
  </w:style>
  <w:style w:type="table" w:customStyle="1" w:styleId="CDMRange213">
    <w:name w:val="CDM Range 2_13"/>
    <w:basedOn w:val="TableNormal"/>
    <w:next w:val="TableNormal"/>
    <w:semiHidden/>
    <w:rPr>
      <w:rFonts w:ascii="Times New Roman" w:hAnsi="Times New Roman"/>
    </w:rPr>
    <w:tblPr/>
  </w:style>
  <w:style w:type="paragraph" w:customStyle="1" w:styleId="Normal69">
    <w:name w:val="Normal_69"/>
    <w:qFormat/>
    <w:pPr>
      <w:suppressAutoHyphens/>
    </w:pPr>
    <w:rPr>
      <w:rFonts w:ascii="Times New Roman" w:hAnsi="Times New Roman"/>
      <w:sz w:val="24"/>
      <w:szCs w:val="24"/>
    </w:rPr>
  </w:style>
  <w:style w:type="paragraph" w:customStyle="1" w:styleId="Normal700">
    <w:name w:val="Normal_70"/>
    <w:qFormat/>
    <w:rPr>
      <w:rFonts w:ascii="Times New Roman" w:hAnsi="Times New Roman"/>
      <w:sz w:val="24"/>
      <w:szCs w:val="24"/>
    </w:rPr>
  </w:style>
  <w:style w:type="table" w:customStyle="1" w:styleId="CDMRange114">
    <w:name w:val="CDM Range 1_14"/>
    <w:basedOn w:val="TableNormal"/>
    <w:next w:val="TableNormal"/>
    <w:semiHidden/>
    <w:rPr>
      <w:rFonts w:ascii="Times New Roman" w:hAnsi="Times New Roman"/>
    </w:rPr>
    <w:tblPr/>
  </w:style>
  <w:style w:type="paragraph" w:customStyle="1" w:styleId="Normal71">
    <w:name w:val="Normal_71"/>
    <w:qFormat/>
    <w:rPr>
      <w:rFonts w:ascii="Times New Roman" w:hAnsi="Times New Roman"/>
      <w:sz w:val="24"/>
      <w:szCs w:val="24"/>
    </w:rPr>
  </w:style>
  <w:style w:type="table" w:customStyle="1" w:styleId="CDMRange214">
    <w:name w:val="CDM Range 2_14"/>
    <w:basedOn w:val="TableNormal"/>
    <w:next w:val="TableNormal"/>
    <w:semiHidden/>
    <w:rPr>
      <w:rFonts w:ascii="Times New Roman" w:hAnsi="Times New Roman"/>
    </w:rPr>
    <w:tblPr/>
  </w:style>
  <w:style w:type="paragraph" w:customStyle="1" w:styleId="Normal72">
    <w:name w:val="Normal_72"/>
    <w:qFormat/>
    <w:rPr>
      <w:rFonts w:ascii="Times New Roman" w:hAnsi="Times New Roman"/>
      <w:sz w:val="24"/>
      <w:szCs w:val="24"/>
    </w:rPr>
  </w:style>
  <w:style w:type="table" w:customStyle="1" w:styleId="CDMRange115">
    <w:name w:val="CDM Range 1_15"/>
    <w:basedOn w:val="TableNormal"/>
    <w:next w:val="TableNormal"/>
    <w:semiHidden/>
    <w:rPr>
      <w:rFonts w:ascii="Times New Roman" w:hAnsi="Times New Roman"/>
    </w:rPr>
    <w:tblPr/>
  </w:style>
  <w:style w:type="paragraph" w:customStyle="1" w:styleId="Normal73">
    <w:name w:val="Normal_73"/>
    <w:qFormat/>
    <w:rPr>
      <w:rFonts w:ascii="Times New Roman" w:hAnsi="Times New Roman"/>
      <w:sz w:val="24"/>
      <w:szCs w:val="24"/>
    </w:rPr>
  </w:style>
  <w:style w:type="table" w:customStyle="1" w:styleId="CDMRange215">
    <w:name w:val="CDM Range 2_15"/>
    <w:basedOn w:val="TableNormal"/>
    <w:next w:val="TableNormal"/>
    <w:semiHidden/>
    <w:rPr>
      <w:rFonts w:ascii="Times New Roman" w:hAnsi="Times New Roman"/>
    </w:rPr>
    <w:tblPr/>
  </w:style>
  <w:style w:type="paragraph" w:customStyle="1" w:styleId="Normal74">
    <w:name w:val="Normal_74"/>
    <w:qFormat/>
    <w:rPr>
      <w:rFonts w:ascii="Times New Roman" w:hAnsi="Times New Roman"/>
      <w:sz w:val="24"/>
      <w:szCs w:val="24"/>
    </w:rPr>
  </w:style>
  <w:style w:type="table" w:customStyle="1" w:styleId="CDMRange116">
    <w:name w:val="CDM Range 1_16"/>
    <w:basedOn w:val="TableNormal"/>
    <w:next w:val="TableNormal"/>
    <w:semiHidden/>
    <w:rPr>
      <w:rFonts w:ascii="Times New Roman" w:hAnsi="Times New Roman"/>
    </w:rPr>
    <w:tblPr/>
  </w:style>
  <w:style w:type="paragraph" w:customStyle="1" w:styleId="Normal75">
    <w:name w:val="Normal_75"/>
    <w:qFormat/>
    <w:rPr>
      <w:rFonts w:ascii="Times New Roman" w:hAnsi="Times New Roman"/>
      <w:sz w:val="24"/>
      <w:szCs w:val="24"/>
    </w:rPr>
  </w:style>
  <w:style w:type="table" w:customStyle="1" w:styleId="CDMRange216">
    <w:name w:val="CDM Range 2_16"/>
    <w:basedOn w:val="TableNormal"/>
    <w:next w:val="TableNormal"/>
    <w:semiHidden/>
    <w:rPr>
      <w:rFonts w:ascii="Times New Roman" w:hAnsi="Times New Roman"/>
    </w:rPr>
    <w:tblPr/>
  </w:style>
  <w:style w:type="paragraph" w:customStyle="1" w:styleId="Normal76">
    <w:name w:val="Normal_76"/>
    <w:qFormat/>
    <w:rPr>
      <w:rFonts w:ascii="Times New Roman" w:hAnsi="Times New Roman"/>
      <w:sz w:val="24"/>
      <w:szCs w:val="24"/>
    </w:rPr>
  </w:style>
  <w:style w:type="table" w:customStyle="1" w:styleId="CDMRange117">
    <w:name w:val="CDM Range 1_17"/>
    <w:basedOn w:val="TableNormal"/>
    <w:next w:val="TableNormal"/>
    <w:semiHidden/>
    <w:rPr>
      <w:rFonts w:ascii="Times New Roman" w:hAnsi="Times New Roman"/>
    </w:rPr>
    <w:tblPr/>
  </w:style>
  <w:style w:type="paragraph" w:customStyle="1" w:styleId="Normal77">
    <w:name w:val="Normal_77"/>
    <w:qFormat/>
    <w:rPr>
      <w:rFonts w:ascii="Times New Roman" w:hAnsi="Times New Roman"/>
      <w:sz w:val="24"/>
      <w:szCs w:val="24"/>
    </w:rPr>
  </w:style>
  <w:style w:type="table" w:customStyle="1" w:styleId="CDMRange217">
    <w:name w:val="CDM Range 2_17"/>
    <w:basedOn w:val="TableNormal"/>
    <w:next w:val="TableNormal"/>
    <w:semiHidden/>
    <w:rPr>
      <w:rFonts w:ascii="Times New Roman" w:hAnsi="Times New Roman"/>
    </w:rPr>
    <w:tblPr/>
  </w:style>
  <w:style w:type="paragraph" w:customStyle="1" w:styleId="Normal78">
    <w:name w:val="Normal_78"/>
    <w:qFormat/>
    <w:rPr>
      <w:rFonts w:ascii="Times New Roman" w:hAnsi="Times New Roman"/>
      <w:sz w:val="24"/>
      <w:szCs w:val="24"/>
    </w:rPr>
  </w:style>
  <w:style w:type="table" w:customStyle="1" w:styleId="CDMRange118">
    <w:name w:val="CDM Range 1_18"/>
    <w:basedOn w:val="TableNormal"/>
    <w:next w:val="TableNormal"/>
    <w:semiHidden/>
    <w:rPr>
      <w:rFonts w:ascii="Times New Roman" w:hAnsi="Times New Roman"/>
    </w:rPr>
    <w:tblPr/>
  </w:style>
  <w:style w:type="paragraph" w:customStyle="1" w:styleId="Normal79">
    <w:name w:val="Normal_79"/>
    <w:qFormat/>
    <w:rPr>
      <w:rFonts w:ascii="Times New Roman" w:hAnsi="Times New Roman"/>
      <w:sz w:val="24"/>
      <w:szCs w:val="24"/>
    </w:rPr>
  </w:style>
  <w:style w:type="table" w:customStyle="1" w:styleId="CDMRange218">
    <w:name w:val="CDM Range 2_18"/>
    <w:basedOn w:val="TableNormal"/>
    <w:next w:val="TableNormal"/>
    <w:semiHidden/>
    <w:rPr>
      <w:rFonts w:ascii="Times New Roman" w:hAnsi="Times New Roman"/>
    </w:rPr>
    <w:tblPr/>
  </w:style>
  <w:style w:type="paragraph" w:customStyle="1" w:styleId="Normal80">
    <w:name w:val="Normal_80"/>
    <w:qFormat/>
    <w:rPr>
      <w:rFonts w:ascii="Times New Roman" w:hAnsi="Times New Roman"/>
      <w:sz w:val="24"/>
      <w:szCs w:val="24"/>
    </w:rPr>
  </w:style>
  <w:style w:type="table" w:customStyle="1" w:styleId="CDMRange119">
    <w:name w:val="CDM Range 1_19"/>
    <w:basedOn w:val="TableNormal"/>
    <w:next w:val="TableNormal"/>
    <w:semiHidden/>
    <w:rPr>
      <w:rFonts w:ascii="Times New Roman" w:hAnsi="Times New Roman"/>
    </w:rPr>
    <w:tblPr/>
  </w:style>
  <w:style w:type="paragraph" w:customStyle="1" w:styleId="Normal81">
    <w:name w:val="Normal_81"/>
    <w:qFormat/>
    <w:rPr>
      <w:rFonts w:ascii="Times New Roman" w:hAnsi="Times New Roman"/>
      <w:sz w:val="24"/>
      <w:szCs w:val="24"/>
    </w:rPr>
  </w:style>
  <w:style w:type="table" w:customStyle="1" w:styleId="CDMRange219">
    <w:name w:val="CDM Range 2_19"/>
    <w:basedOn w:val="TableNormal"/>
    <w:next w:val="TableNormal"/>
    <w:semiHidden/>
    <w:rPr>
      <w:rFonts w:ascii="Times New Roman" w:hAnsi="Times New Roman"/>
    </w:rPr>
    <w:tblPr/>
  </w:style>
  <w:style w:type="paragraph" w:customStyle="1" w:styleId="Normal82">
    <w:name w:val="Normal_82"/>
    <w:qFormat/>
    <w:rPr>
      <w:rFonts w:ascii="Times New Roman" w:hAnsi="Times New Roman"/>
      <w:sz w:val="24"/>
      <w:szCs w:val="24"/>
    </w:rPr>
  </w:style>
  <w:style w:type="table" w:customStyle="1" w:styleId="CDMRange120">
    <w:name w:val="CDM Range 1_20"/>
    <w:basedOn w:val="TableNormal"/>
    <w:next w:val="TableNormal"/>
    <w:semiHidden/>
    <w:rPr>
      <w:rFonts w:ascii="Times New Roman" w:hAnsi="Times New Roman"/>
    </w:rPr>
    <w:tblPr/>
  </w:style>
  <w:style w:type="paragraph" w:customStyle="1" w:styleId="Normal83">
    <w:name w:val="Normal_83"/>
    <w:qFormat/>
    <w:rPr>
      <w:rFonts w:ascii="Times New Roman" w:hAnsi="Times New Roman"/>
      <w:sz w:val="24"/>
      <w:szCs w:val="24"/>
    </w:rPr>
  </w:style>
  <w:style w:type="table" w:customStyle="1" w:styleId="CDMRange220">
    <w:name w:val="CDM Range 2_20"/>
    <w:basedOn w:val="TableNormal"/>
    <w:next w:val="TableNormal"/>
    <w:semiHidden/>
    <w:rPr>
      <w:rFonts w:ascii="Times New Roman" w:hAnsi="Times New Roman"/>
    </w:rPr>
    <w:tblPr/>
  </w:style>
  <w:style w:type="paragraph" w:customStyle="1" w:styleId="Normal84">
    <w:name w:val="Normal_84"/>
    <w:qFormat/>
    <w:rPr>
      <w:rFonts w:ascii="Times New Roman" w:hAnsi="Times New Roman"/>
      <w:sz w:val="24"/>
      <w:szCs w:val="24"/>
    </w:rPr>
  </w:style>
  <w:style w:type="table" w:customStyle="1" w:styleId="CDMRange121">
    <w:name w:val="CDM Range 1_21"/>
    <w:basedOn w:val="TableNormal"/>
    <w:next w:val="TableNormal"/>
    <w:semiHidden/>
    <w:rPr>
      <w:rFonts w:ascii="Times New Roman" w:hAnsi="Times New Roman"/>
    </w:rPr>
    <w:tblPr/>
  </w:style>
  <w:style w:type="paragraph" w:customStyle="1" w:styleId="Normal86">
    <w:name w:val="Normal_86"/>
    <w:qFormat/>
    <w:rPr>
      <w:rFonts w:ascii="Times New Roman" w:hAnsi="Times New Roman"/>
      <w:sz w:val="24"/>
      <w:szCs w:val="24"/>
    </w:rPr>
  </w:style>
  <w:style w:type="table" w:customStyle="1" w:styleId="CDMRange221">
    <w:name w:val="CDM Range 2_21"/>
    <w:basedOn w:val="TableNormal"/>
    <w:next w:val="TableNormal"/>
    <w:semiHidden/>
    <w:rPr>
      <w:rFonts w:ascii="Times New Roman" w:hAnsi="Times New Roman"/>
    </w:rPr>
    <w:tblPr/>
  </w:style>
  <w:style w:type="paragraph" w:customStyle="1" w:styleId="Normal87">
    <w:name w:val="Normal_87"/>
    <w:qFormat/>
    <w:rPr>
      <w:rFonts w:ascii="Times New Roman" w:hAnsi="Times New Roman"/>
      <w:sz w:val="24"/>
      <w:szCs w:val="24"/>
    </w:rPr>
  </w:style>
  <w:style w:type="table" w:customStyle="1" w:styleId="CDMRange122">
    <w:name w:val="CDM Range 1_22"/>
    <w:basedOn w:val="TableNormal"/>
    <w:next w:val="TableNormal"/>
    <w:semiHidden/>
    <w:rPr>
      <w:rFonts w:ascii="Times New Roman" w:hAnsi="Times New Roman"/>
    </w:rPr>
    <w:tblPr/>
  </w:style>
  <w:style w:type="paragraph" w:customStyle="1" w:styleId="Normal88">
    <w:name w:val="Normal_88"/>
    <w:qFormat/>
    <w:rPr>
      <w:rFonts w:eastAsia="Calibri" w:cs="Arial"/>
    </w:rPr>
  </w:style>
  <w:style w:type="paragraph" w:customStyle="1" w:styleId="Normal89">
    <w:name w:val="Normal_89"/>
    <w:qFormat/>
    <w:rPr>
      <w:rFonts w:ascii="Times New Roman" w:hAnsi="Times New Roman"/>
      <w:sz w:val="24"/>
      <w:szCs w:val="24"/>
    </w:rPr>
  </w:style>
  <w:style w:type="table" w:customStyle="1" w:styleId="CDMRange222">
    <w:name w:val="CDM Range 2_22"/>
    <w:basedOn w:val="TableNormal"/>
    <w:next w:val="TableNormal"/>
    <w:semiHidden/>
    <w:rPr>
      <w:rFonts w:ascii="Times New Roman" w:hAnsi="Times New Roman"/>
    </w:rPr>
    <w:tblPr/>
  </w:style>
  <w:style w:type="paragraph" w:customStyle="1" w:styleId="Normal900">
    <w:name w:val="Normal_90"/>
    <w:qFormat/>
    <w:rPr>
      <w:rFonts w:ascii="Times New Roman" w:hAnsi="Times New Roman"/>
      <w:sz w:val="24"/>
      <w:szCs w:val="24"/>
    </w:rPr>
  </w:style>
  <w:style w:type="table" w:customStyle="1" w:styleId="CDMRange123">
    <w:name w:val="CDM Range 1_23"/>
    <w:basedOn w:val="TableNormal"/>
    <w:next w:val="TableNormal"/>
    <w:semiHidden/>
    <w:rPr>
      <w:rFonts w:ascii="Times New Roman" w:hAnsi="Times New Roman"/>
    </w:rPr>
    <w:tblPr/>
  </w:style>
  <w:style w:type="paragraph" w:styleId="Revision">
    <w:name w:val="Revision"/>
    <w:hidden/>
    <w:uiPriority w:val="99"/>
    <w:semiHidden/>
    <w:rPr>
      <w:rFonts w:ascii="Times New Roman" w:hAnsi="Times New Roman"/>
      <w:sz w:val="24"/>
      <w:szCs w:val="24"/>
    </w:rPr>
  </w:style>
  <w:style w:type="paragraph" w:customStyle="1" w:styleId="Pagedecouverture">
    <w:name w:val="Page de couverture"/>
    <w:basedOn w:val="Normal"/>
    <w:next w:val="Normal"/>
    <w:pPr>
      <w:jc w:val="both"/>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paragraph" w:customStyle="1" w:styleId="SecurityMarking">
    <w:name w:val="SecurityMarking"/>
    <w:basedOn w:val="Normal"/>
    <w:pPr>
      <w:spacing w:line="276" w:lineRule="auto"/>
      <w:ind w:left="5103"/>
    </w:pPr>
    <w:rPr>
      <w:rFonts w:eastAsiaTheme="minorHAnsi"/>
      <w:sz w:val="28"/>
      <w:szCs w:val="22"/>
      <w:lang w:eastAsia="en-US" w:bidi="ar-SA"/>
    </w:rPr>
  </w:style>
  <w:style w:type="paragraph" w:customStyle="1" w:styleId="DateMarking">
    <w:name w:val="DateMarking"/>
    <w:basedOn w:val="Normal"/>
    <w:pPr>
      <w:spacing w:line="276" w:lineRule="auto"/>
      <w:ind w:left="5103"/>
    </w:pPr>
    <w:rPr>
      <w:rFonts w:eastAsiaTheme="minorHAnsi"/>
      <w:i/>
      <w:sz w:val="28"/>
      <w:szCs w:val="22"/>
      <w:lang w:eastAsia="en-US" w:bidi="ar-SA"/>
    </w:rPr>
  </w:style>
  <w:style w:type="paragraph" w:customStyle="1" w:styleId="ReleasableTo">
    <w:name w:val="ReleasableTo"/>
    <w:basedOn w:val="Normal"/>
    <w:pPr>
      <w:spacing w:line="276" w:lineRule="auto"/>
      <w:ind w:left="5103"/>
    </w:pPr>
    <w:rPr>
      <w:rFonts w:eastAsiaTheme="minorHAnsi"/>
      <w:i/>
      <w:sz w:val="28"/>
      <w:szCs w:val="22"/>
      <w:lang w:eastAsia="en-US" w:bidi="ar-SA"/>
    </w:rPr>
  </w:style>
  <w:style w:type="paragraph" w:customStyle="1" w:styleId="HeaderSensitivityRight">
    <w:name w:val="Header Sensitivity Right"/>
    <w:basedOn w:val="Normal"/>
    <w:pPr>
      <w:spacing w:after="120"/>
      <w:jc w:val="right"/>
    </w:pPr>
    <w:rPr>
      <w:sz w:val="28"/>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bg-BG"/>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bg-BG"/>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rFonts w:ascii="Times New Roman" w:eastAsia="Times New Roman" w:hAnsi="Times New Roman" w:cs="Times New Roman"/>
      <w:sz w:val="24"/>
      <w:szCs w:val="24"/>
      <w:lang w:eastAsia="bg-BG"/>
    </w:rPr>
  </w:style>
  <w:style w:type="character" w:customStyle="1" w:styleId="Heading1Char">
    <w:name w:val="Heading 1 Char"/>
    <w:link w:val="Heading1"/>
    <w:rPr>
      <w:rFonts w:ascii="Cambria" w:eastAsia="Times New Roman" w:hAnsi="Cambria" w:cs="Times New Roman"/>
      <w:b/>
      <w:bCs/>
      <w:color w:val="365F91"/>
      <w:sz w:val="28"/>
      <w:szCs w:val="28"/>
      <w:lang w:eastAsia="bg-BG"/>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2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customStyle="1" w:styleId="HEADERTITLE0">
    <w:name w:val="HEADER_TITLE_0"/>
    <w:basedOn w:val="HEADERTITLE"/>
    <w:qFormat/>
    <w:pPr>
      <w:jc w:val="both"/>
    </w:pPr>
  </w:style>
  <w:style w:type="character" w:styleId="FootnoteReference">
    <w:name w:val="footnote reference"/>
    <w:basedOn w:val="DefaultParagraphFont"/>
    <w:uiPriority w:val="99"/>
    <w:semiHidden/>
    <w:unhideWhenUsed/>
    <w:rPr>
      <w:vertAlign w:val="superscript"/>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rPr>
  </w:style>
  <w:style w:type="paragraph" w:customStyle="1" w:styleId="Heading10pNormalLeft">
    <w:name w:val="Heading_10p_Normal_Left"/>
    <w:qFormat/>
    <w:pPr>
      <w:pBdr>
        <w:top w:val="nil"/>
        <w:left w:val="nil"/>
        <w:bottom w:val="nil"/>
        <w:right w:val="nil"/>
        <w:between w:val="nil"/>
        <w:bar w:val="nil"/>
      </w:pBdr>
    </w:pPr>
    <w:rPr>
      <w:rFonts w:ascii="Verdana" w:eastAsia="Calibri" w:hAnsi="Verdana"/>
      <w:noProof/>
      <w:color w:val="FFFFFF"/>
      <w:szCs w:val="30"/>
      <w:bdr w:val="nil"/>
    </w:rPr>
  </w:style>
  <w:style w:type="paragraph" w:customStyle="1" w:styleId="Heading10pNormalRight025">
    <w:name w:val="Heading_10p_Normal_Right_0.25"/>
    <w:qFormat/>
    <w:pPr>
      <w:pBdr>
        <w:top w:val="nil"/>
        <w:left w:val="nil"/>
        <w:bottom w:val="nil"/>
        <w:right w:val="nil"/>
        <w:between w:val="nil"/>
        <w:bar w:val="nil"/>
      </w:pBdr>
      <w:ind w:right="142"/>
      <w:jc w:val="right"/>
    </w:pPr>
    <w:rPr>
      <w:rFonts w:ascii="Verdana" w:eastAsia="Calibri" w:hAnsi="Verdana"/>
      <w:noProof/>
      <w:color w:val="FFFFFF"/>
      <w:szCs w:val="30"/>
      <w:bdr w:val="nil"/>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rPr>
  </w:style>
  <w:style w:type="paragraph" w:customStyle="1" w:styleId="Text9pItalicCentered">
    <w:name w:val="Text_9p_Italic_Centered"/>
    <w:qFormat/>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Figures9pBoldRight025">
    <w:name w:val="Figures_9p_Bold_Right_0.25"/>
    <w:qFormat/>
    <w:pPr>
      <w:pBdr>
        <w:top w:val="nil"/>
        <w:left w:val="nil"/>
        <w:bottom w:val="nil"/>
        <w:right w:val="nil"/>
        <w:between w:val="nil"/>
        <w:bar w:val="nil"/>
      </w:pBdr>
      <w:ind w:right="142"/>
      <w:jc w:val="right"/>
    </w:pPr>
    <w:rPr>
      <w:rFonts w:ascii="Verdana" w:eastAsia="Calibri" w:hAnsi="Verdana"/>
      <w:b/>
      <w:noProof/>
      <w:sz w:val="18"/>
      <w:szCs w:val="18"/>
      <w:bdr w:val="nil"/>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rPr>
  </w:style>
  <w:style w:type="paragraph" w:customStyle="1" w:styleId="Figures9pItalicRight025">
    <w:name w:val="Figures_9p_Italic_Right_0.25"/>
    <w:qFormat/>
    <w:pPr>
      <w:pBdr>
        <w:top w:val="nil"/>
        <w:left w:val="nil"/>
        <w:bottom w:val="nil"/>
        <w:right w:val="nil"/>
        <w:between w:val="nil"/>
        <w:bar w:val="nil"/>
      </w:pBdr>
      <w:ind w:right="142"/>
      <w:jc w:val="right"/>
    </w:pPr>
    <w:rPr>
      <w:rFonts w:ascii="Verdana" w:eastAsia="Calibri" w:hAnsi="Verdana"/>
      <w:i/>
      <w:noProof/>
      <w:sz w:val="18"/>
      <w:szCs w:val="18"/>
      <w:bdr w:val="nil"/>
    </w:rPr>
  </w:style>
  <w:style w:type="paragraph" w:customStyle="1" w:styleId="Text9pItalicBoldLeft">
    <w:name w:val="Text_9p_ItalicBold_Left"/>
    <w:qFormat/>
    <w:pPr>
      <w:pBdr>
        <w:top w:val="nil"/>
        <w:left w:val="nil"/>
        <w:bottom w:val="nil"/>
        <w:right w:val="nil"/>
        <w:between w:val="nil"/>
        <w:bar w:val="nil"/>
      </w:pBdr>
    </w:pPr>
    <w:rPr>
      <w:rFonts w:ascii="Verdana" w:eastAsia="Calibri" w:hAnsi="Verdana"/>
      <w:b/>
      <w:i/>
      <w:noProof/>
      <w:sz w:val="18"/>
      <w:szCs w:val="18"/>
      <w:bdr w:val="nil"/>
    </w:r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pBdr>
        <w:top w:val="nil"/>
        <w:left w:val="nil"/>
        <w:bottom w:val="nil"/>
        <w:right w:val="nil"/>
        <w:between w:val="nil"/>
        <w:bar w:val="nil"/>
      </w:pBdr>
      <w:jc w:val="center"/>
    </w:pPr>
    <w:rPr>
      <w:rFonts w:ascii="Verdana" w:eastAsia="Calibri" w:hAnsi="Verdana"/>
      <w:noProof/>
      <w:color w:val="FFFFFF"/>
      <w:sz w:val="16"/>
      <w:szCs w:val="30"/>
      <w:bdr w:val="nil"/>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rPr>
  </w:style>
  <w:style w:type="paragraph" w:customStyle="1" w:styleId="Text7pItalicRight025">
    <w:name w:val="Text_7p_Italic_Right_0.25"/>
    <w:basedOn w:val="Text8pItalicRight025EUR"/>
    <w:qFormat/>
    <w:rPr>
      <w:sz w:val="14"/>
    </w:rPr>
  </w:style>
  <w:style w:type="paragraph" w:customStyle="1" w:styleId="Text8pBoldLeft">
    <w:name w:val="Text_8p_Bold_Left"/>
    <w:qFormat/>
    <w:pPr>
      <w:pBdr>
        <w:top w:val="nil"/>
        <w:left w:val="nil"/>
        <w:bottom w:val="nil"/>
        <w:right w:val="nil"/>
        <w:between w:val="nil"/>
        <w:bar w:val="nil"/>
      </w:pBdr>
    </w:pPr>
    <w:rPr>
      <w:rFonts w:ascii="Verdana" w:eastAsia="Calibri" w:hAnsi="Verdana"/>
      <w:b/>
      <w:bCs/>
      <w:noProof/>
      <w:sz w:val="16"/>
      <w:bdr w:val="nil"/>
    </w:rPr>
  </w:style>
  <w:style w:type="paragraph" w:customStyle="1" w:styleId="Figures8pBoldRight025">
    <w:name w:val="Figures_8p_Bold_Right_0.25"/>
    <w:qFormat/>
    <w:pPr>
      <w:pBdr>
        <w:top w:val="nil"/>
        <w:left w:val="nil"/>
        <w:bottom w:val="nil"/>
        <w:right w:val="nil"/>
        <w:between w:val="nil"/>
        <w:bar w:val="nil"/>
      </w:pBdr>
      <w:ind w:right="142"/>
      <w:jc w:val="right"/>
    </w:pPr>
    <w:rPr>
      <w:rFonts w:ascii="Verdana" w:eastAsia="Calibri" w:hAnsi="Verdana"/>
      <w:b/>
      <w:bCs/>
      <w:noProof/>
      <w:sz w:val="16"/>
      <w:bdr w:val="nil"/>
    </w:rPr>
  </w:style>
  <w:style w:type="paragraph" w:customStyle="1" w:styleId="Text9pBoldLeft025">
    <w:name w:val="Text_9p_Bold_Left_0.25"/>
    <w:qFormat/>
    <w:pPr>
      <w:pBdr>
        <w:top w:val="nil"/>
        <w:left w:val="nil"/>
        <w:bottom w:val="nil"/>
        <w:right w:val="nil"/>
        <w:between w:val="nil"/>
        <w:bar w:val="nil"/>
      </w:pBdr>
      <w:ind w:left="142"/>
    </w:pPr>
    <w:rPr>
      <w:rFonts w:ascii="Verdana" w:eastAsia="Calibri" w:hAnsi="Verdana"/>
      <w:b/>
      <w:noProof/>
      <w:sz w:val="18"/>
      <w:szCs w:val="18"/>
      <w:bdr w:val="nil"/>
    </w:rPr>
  </w:style>
  <w:style w:type="paragraph" w:customStyle="1" w:styleId="Figures9pItalicCentered">
    <w:name w:val="Figures_9p_Italic_Centered"/>
    <w:qFormat/>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rPr>
  </w:style>
  <w:style w:type="character" w:customStyle="1" w:styleId="DGTextstand-aloneChar">
    <w:name w:val="DG_Text_stand-alone Char"/>
    <w:link w:val="DGTextstand-alone"/>
    <w:locked/>
    <w:rPr>
      <w:rFonts w:ascii="Verdana" w:eastAsia="Calibri" w:hAnsi="Verdana"/>
      <w:noProof/>
      <w:sz w:val="18"/>
      <w:szCs w:val="18"/>
      <w:lang w:eastAsia="bg-BG"/>
    </w:rPr>
  </w:style>
  <w:style w:type="paragraph" w:customStyle="1" w:styleId="Heading9pNormalLeft">
    <w:name w:val="Heading_9p_Normal_Left"/>
    <w:basedOn w:val="Heading9pNormalCentered"/>
    <w:qFormat/>
    <w:pPr>
      <w:jc w:val="left"/>
    </w:pPr>
  </w:style>
  <w:style w:type="paragraph" w:customStyle="1" w:styleId="Heading9pNormalCentered">
    <w:name w:val="Heading_9p_Normal_Centered"/>
    <w:qFormat/>
    <w:pPr>
      <w:pBdr>
        <w:top w:val="nil"/>
        <w:left w:val="nil"/>
        <w:bottom w:val="nil"/>
        <w:right w:val="nil"/>
        <w:between w:val="nil"/>
        <w:bar w:val="nil"/>
      </w:pBdr>
      <w:jc w:val="center"/>
    </w:pPr>
    <w:rPr>
      <w:rFonts w:ascii="Verdana" w:hAnsi="Verdana" w:cs="Calibri"/>
      <w:bCs/>
      <w:color w:val="FFFFFF"/>
      <w:sz w:val="18"/>
      <w:szCs w:val="22"/>
      <w:bdr w:val="nil"/>
    </w:rPr>
  </w:style>
  <w:style w:type="paragraph" w:customStyle="1" w:styleId="Heading10pNormalCentered">
    <w:name w:val="Heading_10p_Normal_Centered"/>
    <w:qFormat/>
    <w:pPr>
      <w:jc w:val="center"/>
    </w:pPr>
    <w:rPr>
      <w:rFonts w:ascii="Verdana" w:eastAsia="Calibri" w:hAnsi="Verdana"/>
      <w:noProof/>
      <w:color w:val="FFFFFF"/>
      <w:szCs w:val="30"/>
    </w:rPr>
  </w:style>
  <w:style w:type="paragraph" w:customStyle="1" w:styleId="Text9pItalicLeftIndented">
    <w:name w:val="Text_9p_Italic_LeftIndented"/>
    <w:qFormat/>
    <w:pPr>
      <w:ind w:left="720"/>
    </w:pPr>
    <w:rPr>
      <w:rFonts w:ascii="Verdana" w:eastAsia="Calibri" w:hAnsi="Verdana"/>
      <w:i/>
      <w:noProof/>
      <w:sz w:val="18"/>
      <w:szCs w:val="18"/>
    </w:rPr>
  </w:style>
  <w:style w:type="paragraph" w:customStyle="1" w:styleId="Heading-9pNormalCentered">
    <w:name w:val="Heading-9p_Normal_Centered"/>
    <w:basedOn w:val="Heading10pNormalCentered"/>
    <w:qFormat/>
    <w:pPr>
      <w:pBdr>
        <w:top w:val="nil"/>
        <w:left w:val="nil"/>
        <w:bottom w:val="nil"/>
        <w:right w:val="nil"/>
        <w:between w:val="nil"/>
        <w:bar w:val="nil"/>
      </w:pBdr>
    </w:pPr>
    <w:rPr>
      <w:sz w:val="18"/>
      <w:bdr w:val="nil"/>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Heading9pNormalRight01">
    <w:name w:val="Heading_9p_Normal_Right_0.1"/>
    <w:basedOn w:val="Heading9pNormalRight025"/>
    <w:qFormat/>
    <w:pPr>
      <w:ind w:right="57"/>
    </w:pPr>
  </w:style>
  <w:style w:type="paragraph" w:customStyle="1" w:styleId="Heading9pNormalRight025">
    <w:name w:val="Heading_9p_Normal_Right_0.25"/>
    <w:basedOn w:val="Heading9pNormalCentered"/>
    <w:qFormat/>
    <w:pPr>
      <w:ind w:right="142"/>
      <w:jc w:val="right"/>
    </w:pPr>
  </w:style>
  <w:style w:type="paragraph" w:customStyle="1" w:styleId="Heading9pBoldRight01">
    <w:name w:val="Heading_9p_Bold_Right_0.1"/>
    <w:basedOn w:val="Heading9pBoldLeft"/>
    <w:qFormat/>
    <w:pPr>
      <w:ind w:right="57"/>
      <w:jc w:val="right"/>
    </w:pPr>
  </w:style>
  <w:style w:type="paragraph" w:customStyle="1" w:styleId="Heading9pBoldLeft">
    <w:name w:val="Heading_9p_Bold_Left"/>
    <w:basedOn w:val="Heading9pBoldCentered"/>
    <w:qFormat/>
    <w:pPr>
      <w:jc w:val="left"/>
    </w:pPr>
    <w:rPr>
      <w:color w:val="FFFFFF"/>
    </w:rPr>
  </w:style>
  <w:style w:type="paragraph" w:customStyle="1" w:styleId="Heading9pBoldCentered">
    <w:name w:val="Heading_9p_Bold_Centered"/>
    <w:qFormat/>
    <w:pPr>
      <w:pBdr>
        <w:top w:val="nil"/>
        <w:left w:val="nil"/>
        <w:bottom w:val="nil"/>
        <w:right w:val="nil"/>
        <w:between w:val="nil"/>
        <w:bar w:val="nil"/>
      </w:pBdr>
      <w:jc w:val="center"/>
    </w:pPr>
    <w:rPr>
      <w:rFonts w:ascii="Verdana" w:eastAsia="Calibri" w:hAnsi="Verdana"/>
      <w:b/>
      <w:noProof/>
      <w:sz w:val="18"/>
      <w:szCs w:val="18"/>
      <w:bdr w:val="nil"/>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rPr>
  </w:style>
  <w:style w:type="paragraph" w:customStyle="1" w:styleId="Figures9pItalicBoldRight025">
    <w:name w:val="Figures_9p_ItalicBold_Right_0.25"/>
    <w:qFormat/>
    <w:pPr>
      <w:pBdr>
        <w:top w:val="nil"/>
        <w:left w:val="nil"/>
        <w:bottom w:val="nil"/>
        <w:right w:val="nil"/>
        <w:between w:val="nil"/>
        <w:bar w:val="nil"/>
      </w:pBdr>
      <w:ind w:right="142"/>
      <w:jc w:val="right"/>
    </w:pPr>
    <w:rPr>
      <w:rFonts w:ascii="Verdana" w:eastAsia="Calibri" w:hAnsi="Verdana"/>
      <w:b/>
      <w:i/>
      <w:noProof/>
      <w:sz w:val="18"/>
      <w:szCs w:val="18"/>
      <w:bdr w:val="nil"/>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6pBoldRight01">
    <w:name w:val="Figures_6p_Bold_Right_0.1"/>
    <w:basedOn w:val="Figures7pBoldRight025"/>
    <w:qFormat/>
    <w:pPr>
      <w:ind w:right="57"/>
    </w:pPr>
    <w:rPr>
      <w:sz w:val="12"/>
      <w:szCs w:val="12"/>
    </w:rPr>
  </w:style>
  <w:style w:type="paragraph" w:customStyle="1" w:styleId="Figures55pItalicRight01">
    <w:name w:val="Figures_5.5p_Italic_Right_0.1"/>
    <w:basedOn w:val="Figures6pItalicRight01"/>
    <w:qFormat/>
    <w:rPr>
      <w:sz w:val="11"/>
    </w:rPr>
  </w:style>
  <w:style w:type="paragraph" w:customStyle="1" w:styleId="Figures6pItalicRight01">
    <w:name w:val="Figures_6p_Italic_Right_0.1"/>
    <w:basedOn w:val="Figures7pItalicRight025"/>
    <w:qFormat/>
    <w:pPr>
      <w:ind w:right="57"/>
    </w:pPr>
    <w:rPr>
      <w:sz w:val="12"/>
      <w:szCs w:val="12"/>
    </w:rPr>
  </w:style>
  <w:style w:type="paragraph" w:customStyle="1" w:styleId="Heading8pNormalRight01">
    <w:name w:val="Heading_8p_Normal_Right_0.1"/>
    <w:qFormat/>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Text8pItalicBoldLeft">
    <w:name w:val="Text_8p_ItalicBold_Left"/>
    <w:basedOn w:val="Text9pItalicLeft"/>
    <w:qFormat/>
    <w:rPr>
      <w:b/>
      <w:sz w:val="16"/>
    </w:rPr>
  </w:style>
  <w:style w:type="paragraph" w:customStyle="1" w:styleId="Figures8pItalicBoldRight025">
    <w:name w:val="Figures_8p_ItalicBold_Right_0.25"/>
    <w:basedOn w:val="Figures8pBoldRight025"/>
    <w:qFormat/>
    <w:rPr>
      <w:i/>
    </w:rPr>
  </w:style>
  <w:style w:type="paragraph" w:customStyle="1" w:styleId="Heading7pBoldLeft">
    <w:name w:val="Heading_7p_Bold_Left"/>
    <w:qFormat/>
    <w:pPr>
      <w:pBdr>
        <w:top w:val="nil"/>
        <w:left w:val="nil"/>
        <w:bottom w:val="nil"/>
        <w:right w:val="nil"/>
        <w:between w:val="nil"/>
        <w:bar w:val="nil"/>
      </w:pBdr>
    </w:pPr>
    <w:rPr>
      <w:rFonts w:ascii="Verdana" w:eastAsia="Calibri" w:hAnsi="Verdana"/>
      <w:b/>
      <w:noProof/>
      <w:sz w:val="14"/>
      <w:szCs w:val="18"/>
      <w:bdr w:val="nil"/>
    </w:rPr>
  </w:style>
  <w:style w:type="paragraph" w:styleId="FootnoteText">
    <w:name w:val="footnote text"/>
    <w:basedOn w:val="Normal"/>
    <w:link w:val="FootnoteTextChar"/>
    <w:unhideWhenUsed/>
    <w:rPr>
      <w:sz w:val="20"/>
      <w:szCs w:val="20"/>
    </w:rPr>
  </w:style>
  <w:style w:type="character" w:customStyle="1" w:styleId="FootnoteTextChar">
    <w:name w:val="Footnote Text Char"/>
    <w:basedOn w:val="DefaultParagraphFont"/>
    <w:link w:val="FootnoteText"/>
    <w:rPr>
      <w:rFonts w:ascii="Times New Roman" w:hAnsi="Times New Roman"/>
    </w:rPr>
  </w:style>
  <w:style w:type="paragraph" w:customStyle="1" w:styleId="Text1">
    <w:name w:val="Text 1"/>
    <w:basedOn w:val="Normal"/>
    <w:pPr>
      <w:spacing w:before="120" w:after="120"/>
      <w:jc w:val="both"/>
    </w:pPr>
  </w:style>
  <w:style w:type="paragraph" w:customStyle="1" w:styleId="DMETW15549BIPTable11">
    <w:name w:val="DM_ETW_15549_BIP_Table_1.1"/>
    <w:rPr>
      <w:rFonts w:eastAsia="Calibri"/>
    </w:rPr>
  </w:style>
  <w:style w:type="paragraph" w:customStyle="1" w:styleId="DMETW15549BIPTable12">
    <w:name w:val="DM_ETW_15549_BIP_Table_1.2"/>
    <w:rPr>
      <w:rFonts w:eastAsia="Calibri"/>
    </w:rPr>
  </w:style>
  <w:style w:type="paragraph" w:customStyle="1" w:styleId="DMETW15549BIPTable13">
    <w:name w:val="DM_ETW_15549_BIP_Table_1.3"/>
    <w:rPr>
      <w:rFonts w:eastAsia="Calibri"/>
    </w:rPr>
  </w:style>
  <w:style w:type="paragraph" w:customStyle="1" w:styleId="DMETW15549BIPTable14">
    <w:name w:val="DM_ETW_15549_BIP_Table_1.4"/>
    <w:rPr>
      <w:rFonts w:eastAsia="Calibri"/>
    </w:rPr>
  </w:style>
  <w:style w:type="paragraph" w:customStyle="1" w:styleId="DMETW15549BIPTable21a">
    <w:name w:val="DM_ETW_15549_BIP_Table_2.1a"/>
    <w:rPr>
      <w:rFonts w:eastAsia="Calibri"/>
    </w:rPr>
  </w:style>
  <w:style w:type="paragraph" w:customStyle="1" w:styleId="DMETW15549BIPTable21b">
    <w:name w:val="DM_ETW_15549_BIP_Table_2.1b"/>
    <w:rPr>
      <w:rFonts w:eastAsia="Calibri"/>
    </w:rPr>
  </w:style>
  <w:style w:type="paragraph" w:customStyle="1" w:styleId="DMETW15549BIPTable221">
    <w:name w:val="DM_ETW_15549_BIP_Table2.2.1"/>
    <w:rPr>
      <w:rFonts w:eastAsia="Calibri"/>
    </w:rPr>
  </w:style>
  <w:style w:type="paragraph" w:customStyle="1" w:styleId="DMETW15549BIPTable222">
    <w:name w:val="DM_ETW_15549_BIP_Table2.2.2"/>
    <w:rPr>
      <w:rFonts w:eastAsia="Calibri"/>
    </w:rPr>
  </w:style>
  <w:style w:type="paragraph" w:customStyle="1" w:styleId="DMETW15549BIPTable223">
    <w:name w:val="DM_ETW_15549_BIP_Table2.2.3"/>
    <w:rPr>
      <w:rFonts w:eastAsia="Calibri"/>
    </w:rPr>
  </w:style>
  <w:style w:type="paragraph" w:customStyle="1" w:styleId="DMETW15549BIPTable23">
    <w:name w:val="DM_ETW_15549_BIP_Table_2.3"/>
    <w:rPr>
      <w:rFonts w:eastAsia="Calibri"/>
    </w:rPr>
  </w:style>
  <w:style w:type="paragraph" w:customStyle="1" w:styleId="DMETW15549BIPTable24">
    <w:name w:val="DM_ETW_15549_BIP_Table_2.4"/>
    <w:rPr>
      <w:rFonts w:eastAsia="Calibri"/>
    </w:rPr>
  </w:style>
  <w:style w:type="paragraph" w:customStyle="1" w:styleId="DMETW15549BIPTable25">
    <w:name w:val="DM_ETW_15549_BIP_Table_2.5"/>
    <w:rPr>
      <w:rFonts w:eastAsia="Calibri"/>
    </w:rPr>
  </w:style>
  <w:style w:type="paragraph" w:customStyle="1" w:styleId="DMETW15549BIPTable26">
    <w:name w:val="DM_ETW_15549_BIP_Table_2.6"/>
    <w:rPr>
      <w:rFonts w:eastAsia="Calibri"/>
    </w:rPr>
  </w:style>
  <w:style w:type="paragraph" w:customStyle="1" w:styleId="Header0">
    <w:name w:val="Header_0"/>
    <w:basedOn w:val="Normal0"/>
    <w:link w:val="HeaderChar0"/>
    <w:uiPriority w:val="99"/>
    <w:pPr>
      <w:tabs>
        <w:tab w:val="center" w:pos="4153"/>
        <w:tab w:val="right" w:pos="8306"/>
      </w:tabs>
    </w:pPr>
  </w:style>
  <w:style w:type="paragraph" w:customStyle="1" w:styleId="Normal0">
    <w:name w:val="Normal_0"/>
    <w:qFormat/>
    <w:pPr>
      <w:suppressAutoHyphens/>
    </w:pPr>
    <w:rPr>
      <w:rFonts w:ascii="Times New Roman" w:hAnsi="Times New Roman"/>
      <w:sz w:val="24"/>
      <w:szCs w:val="24"/>
    </w:rPr>
  </w:style>
  <w:style w:type="character" w:customStyle="1" w:styleId="HeaderChar0">
    <w:name w:val="Header Char_0"/>
    <w:link w:val="Header0"/>
    <w:uiPriority w:val="99"/>
    <w:rPr>
      <w:rFonts w:ascii="Times New Roman" w:hAnsi="Times New Roman"/>
      <w:sz w:val="24"/>
      <w:szCs w:val="24"/>
      <w:lang w:eastAsia="bg-BG"/>
    </w:rPr>
  </w:style>
  <w:style w:type="paragraph" w:customStyle="1" w:styleId="Notes0">
    <w:name w:val="Notes_0"/>
    <w:basedOn w:val="Header0"/>
    <w:link w:val="NotesChar0"/>
    <w:pPr>
      <w:numPr>
        <w:numId w:val="2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rPr>
  </w:style>
  <w:style w:type="character" w:customStyle="1" w:styleId="NotesChar0">
    <w:name w:val="Notes Char_0"/>
    <w:link w:val="Notes0"/>
    <w:rPr>
      <w:rFonts w:ascii="Arial" w:hAnsi="Arial"/>
      <w:b/>
      <w:szCs w:val="24"/>
      <w:lang w:val="bg-BG" w:eastAsia="bg-BG"/>
    </w:rPr>
  </w:style>
  <w:style w:type="paragraph" w:customStyle="1" w:styleId="Title10">
    <w:name w:val="Title 1_0"/>
    <w:basedOn w:val="Notes0"/>
    <w:pPr>
      <w:spacing w:before="0" w:after="0"/>
    </w:pPr>
  </w:style>
  <w:style w:type="paragraph" w:customStyle="1" w:styleId="Notes1">
    <w:name w:val="Notes_1"/>
    <w:basedOn w:val="Header1"/>
    <w:link w:val="NotesChar1"/>
    <w:pPr>
      <w:numPr>
        <w:numId w:val="2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
    <w:name w:val="Title 1.1_1"/>
    <w:basedOn w:val="Notes1"/>
    <w:pPr>
      <w:numPr>
        <w:ilvl w:val="1"/>
      </w:numPr>
      <w:tabs>
        <w:tab w:val="clear" w:pos="4320"/>
        <w:tab w:val="clear" w:pos="8640"/>
        <w:tab w:val="right" w:pos="-2700"/>
        <w:tab w:val="right" w:pos="720"/>
      </w:tabs>
      <w:spacing w:before="0" w:after="0"/>
    </w:pPr>
    <w:rPr>
      <w:b w:val="0"/>
      <w:szCs w:val="20"/>
    </w:rPr>
  </w:style>
  <w:style w:type="paragraph" w:customStyle="1" w:styleId="Header1">
    <w:name w:val="Header_1"/>
    <w:basedOn w:val="Normal2"/>
    <w:link w:val="HeaderChar1"/>
    <w:uiPriority w:val="99"/>
    <w:pPr>
      <w:tabs>
        <w:tab w:val="center" w:pos="4153"/>
        <w:tab w:val="right" w:pos="8306"/>
      </w:tabs>
    </w:pPr>
  </w:style>
  <w:style w:type="paragraph" w:customStyle="1" w:styleId="Normal2">
    <w:name w:val="Normal_2"/>
    <w:qFormat/>
    <w:pPr>
      <w:suppressAutoHyphens/>
    </w:pPr>
    <w:rPr>
      <w:rFonts w:ascii="Times New Roman" w:hAnsi="Times New Roman"/>
      <w:sz w:val="24"/>
      <w:szCs w:val="24"/>
    </w:rPr>
  </w:style>
  <w:style w:type="character" w:customStyle="1" w:styleId="HeaderChar1">
    <w:name w:val="Header Char_1"/>
    <w:link w:val="Header1"/>
    <w:uiPriority w:val="99"/>
    <w:rPr>
      <w:rFonts w:ascii="Times New Roman" w:hAnsi="Times New Roman"/>
      <w:sz w:val="24"/>
      <w:szCs w:val="24"/>
      <w:lang w:eastAsia="bg-BG"/>
    </w:rPr>
  </w:style>
  <w:style w:type="character" w:customStyle="1" w:styleId="NotesChar1">
    <w:name w:val="Notes Char_1"/>
    <w:link w:val="Notes1"/>
    <w:rPr>
      <w:rFonts w:ascii="Arial" w:hAnsi="Arial"/>
      <w:b/>
      <w:szCs w:val="24"/>
      <w:lang w:val="bg-BG" w:eastAsia="bg-BG"/>
    </w:rPr>
  </w:style>
  <w:style w:type="paragraph" w:customStyle="1" w:styleId="Title11a">
    <w:name w:val="Title 1_1"/>
    <w:basedOn w:val="Notes1"/>
    <w:pPr>
      <w:spacing w:before="0" w:after="0"/>
    </w:p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10">
    <w:name w:val="Normal_1_0"/>
    <w:qFormat/>
    <w:pPr>
      <w:spacing w:line="190" w:lineRule="atLeast"/>
      <w:jc w:val="both"/>
    </w:pPr>
    <w:rPr>
      <w:rFonts w:ascii="Arial" w:hAnsi="Arial"/>
      <w:sz w:val="15"/>
      <w:szCs w:val="24"/>
    </w:rPr>
  </w:style>
  <w:style w:type="paragraph" w:customStyle="1" w:styleId="Pa10">
    <w:name w:val="Pa10"/>
    <w:basedOn w:val="Normal10"/>
    <w:next w:val="Normal10"/>
    <w:uiPriority w:val="99"/>
    <w:pPr>
      <w:autoSpaceDE w:val="0"/>
      <w:autoSpaceDN w:val="0"/>
      <w:adjustRightInd w:val="0"/>
      <w:spacing w:line="191" w:lineRule="atLeast"/>
      <w:jc w:val="left"/>
    </w:pPr>
    <w:rPr>
      <w:rFonts w:ascii="Univers 45 Light" w:hAnsi="Univers 45 Light"/>
      <w:sz w:val="24"/>
    </w:rPr>
  </w:style>
  <w:style w:type="paragraph" w:customStyle="1" w:styleId="ListParagraph0">
    <w:name w:val="List Paragraph_0"/>
    <w:basedOn w:val="Normal2"/>
    <w:uiPriority w:val="34"/>
    <w:qFormat/>
    <w:pPr>
      <w:ind w:left="720"/>
      <w:contextualSpacing/>
    </w:pPr>
  </w:style>
  <w:style w:type="paragraph" w:styleId="ListParagraph">
    <w:name w:val="List Paragraph"/>
    <w:basedOn w:val="Normal"/>
    <w:uiPriority w:val="34"/>
    <w:qFormat/>
    <w:pPr>
      <w:suppressAutoHyphens/>
      <w:ind w:left="720"/>
      <w:contextualSpacing/>
    </w:pPr>
  </w:style>
  <w:style w:type="paragraph" w:customStyle="1" w:styleId="Title11100">
    <w:name w:val="Title 1.1.1_0"/>
    <w:basedOn w:val="Notes1"/>
    <w:link w:val="Title111Char0"/>
    <w:pPr>
      <w:numPr>
        <w:ilvl w:val="2"/>
        <w:numId w:val="25"/>
      </w:numPr>
      <w:tabs>
        <w:tab w:val="clear" w:pos="4320"/>
        <w:tab w:val="clear" w:pos="8640"/>
        <w:tab w:val="right" w:pos="-2700"/>
      </w:tabs>
      <w:spacing w:before="0" w:after="0"/>
    </w:pPr>
    <w:rPr>
      <w:b w:val="0"/>
      <w:szCs w:val="20"/>
    </w:rPr>
  </w:style>
  <w:style w:type="character" w:customStyle="1" w:styleId="Title111Char0">
    <w:name w:val="Title 1.1.1 Char_0"/>
    <w:link w:val="Title11100"/>
    <w:rPr>
      <w:rFonts w:ascii="Arial" w:hAnsi="Arial"/>
      <w:lang w:eastAsia="bg-BG"/>
    </w:rPr>
  </w:style>
  <w:style w:type="paragraph" w:customStyle="1" w:styleId="xx0">
    <w:name w:val="xx_0"/>
    <w:basedOn w:val="Normal2"/>
    <w:pPr>
      <w:jc w:val="both"/>
    </w:pPr>
    <w:rPr>
      <w:rFonts w:ascii="Univers (WN)" w:hAnsi="Univers (WN)"/>
      <w:sz w:val="20"/>
      <w:szCs w:val="20"/>
    </w:rPr>
  </w:style>
  <w:style w:type="paragraph" w:customStyle="1" w:styleId="Notes2">
    <w:name w:val="Notes_2"/>
    <w:basedOn w:val="Header2"/>
    <w:link w:val="NotesChar2"/>
    <w:pPr>
      <w:numPr>
        <w:numId w:val="2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rPr>
  </w:style>
  <w:style w:type="paragraph" w:customStyle="1" w:styleId="Header2">
    <w:name w:val="Header_2"/>
    <w:basedOn w:val="Normal3"/>
    <w:link w:val="HeaderChar2"/>
    <w:pPr>
      <w:tabs>
        <w:tab w:val="center" w:pos="4153"/>
        <w:tab w:val="right" w:pos="8306"/>
      </w:tabs>
    </w:pPr>
  </w:style>
  <w:style w:type="paragraph" w:customStyle="1" w:styleId="Normal3">
    <w:name w:val="Normal_3"/>
    <w:qFormat/>
    <w:pPr>
      <w:suppressAutoHyphens/>
    </w:pPr>
    <w:rPr>
      <w:rFonts w:ascii="Times New Roman" w:hAnsi="Times New Roman"/>
      <w:sz w:val="24"/>
      <w:szCs w:val="24"/>
    </w:rPr>
  </w:style>
  <w:style w:type="character" w:customStyle="1" w:styleId="HeaderChar2">
    <w:name w:val="Header Char_2"/>
    <w:link w:val="Header2"/>
    <w:rPr>
      <w:rFonts w:ascii="Times New Roman" w:hAnsi="Times New Roman"/>
      <w:sz w:val="24"/>
      <w:szCs w:val="24"/>
      <w:lang w:eastAsia="bg-BG"/>
    </w:rPr>
  </w:style>
  <w:style w:type="character" w:customStyle="1" w:styleId="NotesChar2">
    <w:name w:val="Notes Char_2"/>
    <w:link w:val="Notes2"/>
    <w:rPr>
      <w:rFonts w:ascii="Arial" w:hAnsi="Arial"/>
      <w:b/>
      <w:szCs w:val="24"/>
      <w:lang w:val="bg-BG" w:eastAsia="bg-BG"/>
    </w:rPr>
  </w:style>
  <w:style w:type="paragraph" w:customStyle="1" w:styleId="Title12">
    <w:name w:val="Title 1_2"/>
    <w:basedOn w:val="Notes2"/>
    <w:pPr>
      <w:spacing w:before="0" w:after="0"/>
    </w:p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rPr>
  </w:style>
  <w:style w:type="paragraph" w:customStyle="1" w:styleId="Notes3">
    <w:name w:val="Notes_3"/>
    <w:basedOn w:val="Header3"/>
    <w:link w:val="NotesChar3"/>
    <w:pPr>
      <w:numPr>
        <w:numId w:val="27"/>
      </w:numPr>
      <w:tabs>
        <w:tab w:val="clear" w:pos="4153"/>
        <w:tab w:val="clear" w:pos="8306"/>
        <w:tab w:val="center" w:pos="4320"/>
        <w:tab w:val="right" w:pos="8640"/>
      </w:tabs>
      <w:spacing w:before="120" w:after="120"/>
      <w:jc w:val="both"/>
    </w:pPr>
    <w:rPr>
      <w:rFonts w:ascii="Arial" w:hAnsi="Arial"/>
      <w:b/>
      <w:sz w:val="20"/>
    </w:rPr>
  </w:style>
  <w:style w:type="paragraph" w:customStyle="1" w:styleId="Header3">
    <w:name w:val="Header_3"/>
    <w:basedOn w:val="Normal4"/>
    <w:link w:val="HeaderChar3"/>
    <w:pPr>
      <w:tabs>
        <w:tab w:val="center" w:pos="4153"/>
        <w:tab w:val="right" w:pos="8306"/>
      </w:tabs>
    </w:pPr>
  </w:style>
  <w:style w:type="paragraph" w:customStyle="1" w:styleId="Normal4">
    <w:name w:val="Normal_4"/>
    <w:qFormat/>
    <w:pPr>
      <w:suppressAutoHyphens/>
    </w:pPr>
    <w:rPr>
      <w:rFonts w:ascii="Times New Roman" w:hAnsi="Times New Roman"/>
      <w:sz w:val="24"/>
      <w:szCs w:val="24"/>
    </w:rPr>
  </w:style>
  <w:style w:type="character" w:customStyle="1" w:styleId="HeaderChar3">
    <w:name w:val="Header Char_3"/>
    <w:link w:val="Header3"/>
    <w:rPr>
      <w:rFonts w:ascii="Times New Roman" w:hAnsi="Times New Roman"/>
      <w:sz w:val="24"/>
      <w:szCs w:val="24"/>
      <w:lang w:eastAsia="bg-BG"/>
    </w:rPr>
  </w:style>
  <w:style w:type="character" w:customStyle="1" w:styleId="NotesChar3">
    <w:name w:val="Notes Char_3"/>
    <w:link w:val="Notes3"/>
    <w:rPr>
      <w:rFonts w:ascii="Arial" w:hAnsi="Arial"/>
      <w:b/>
      <w:szCs w:val="24"/>
      <w:lang w:val="bg-BG" w:eastAsia="bg-BG"/>
    </w:rPr>
  </w:style>
  <w:style w:type="character" w:customStyle="1" w:styleId="Title111Char1">
    <w:name w:val="Title 1.1.1 Char_1"/>
    <w:link w:val="Title1111"/>
    <w:rPr>
      <w:rFonts w:ascii="Arial" w:hAnsi="Arial"/>
      <w:lang w:eastAsia="bg-BG"/>
    </w:rPr>
  </w:style>
  <w:style w:type="paragraph" w:customStyle="1" w:styleId="Title1111">
    <w:name w:val="Title 1.1.1_1"/>
    <w:basedOn w:val="Notes3"/>
    <w:link w:val="Title111Char1"/>
    <w:pPr>
      <w:numPr>
        <w:ilvl w:val="2"/>
        <w:numId w:val="28"/>
      </w:numPr>
      <w:tabs>
        <w:tab w:val="clear" w:pos="4320"/>
        <w:tab w:val="clear" w:pos="8640"/>
        <w:tab w:val="right" w:pos="-2700"/>
      </w:tabs>
      <w:spacing w:before="0" w:after="0"/>
    </w:pPr>
    <w:rPr>
      <w:b w:val="0"/>
      <w:szCs w:val="20"/>
    </w:rPr>
  </w:style>
  <w:style w:type="paragraph" w:customStyle="1" w:styleId="Title3210">
    <w:name w:val="Title 3.2.1._0"/>
    <w:basedOn w:val="Notes4"/>
    <w:pPr>
      <w:numPr>
        <w:ilvl w:val="2"/>
        <w:numId w:val="29"/>
      </w:numPr>
      <w:tabs>
        <w:tab w:val="clear" w:pos="4320"/>
        <w:tab w:val="clear" w:pos="8640"/>
        <w:tab w:val="right" w:pos="-2700"/>
      </w:tabs>
      <w:spacing w:before="240"/>
    </w:pPr>
    <w:rPr>
      <w:szCs w:val="20"/>
    </w:rPr>
  </w:style>
  <w:style w:type="paragraph" w:customStyle="1" w:styleId="Notes4">
    <w:name w:val="Notes_4"/>
    <w:basedOn w:val="Header4"/>
    <w:link w:val="NotesChar4"/>
    <w:pPr>
      <w:numPr>
        <w:numId w:val="3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rPr>
  </w:style>
  <w:style w:type="paragraph" w:customStyle="1" w:styleId="Header4">
    <w:name w:val="Header_4"/>
    <w:basedOn w:val="Normal5"/>
    <w:link w:val="HeaderChar4"/>
    <w:uiPriority w:val="99"/>
    <w:pPr>
      <w:tabs>
        <w:tab w:val="center" w:pos="4153"/>
        <w:tab w:val="right" w:pos="8306"/>
      </w:tabs>
    </w:pPr>
  </w:style>
  <w:style w:type="paragraph" w:customStyle="1" w:styleId="Normal5">
    <w:name w:val="Normal_5"/>
    <w:qFormat/>
    <w:pPr>
      <w:suppressAutoHyphens/>
    </w:pPr>
    <w:rPr>
      <w:rFonts w:ascii="Times New Roman" w:hAnsi="Times New Roman"/>
      <w:sz w:val="24"/>
      <w:szCs w:val="24"/>
    </w:rPr>
  </w:style>
  <w:style w:type="character" w:customStyle="1" w:styleId="HeaderChar4">
    <w:name w:val="Header Char_4"/>
    <w:link w:val="Header4"/>
    <w:uiPriority w:val="99"/>
    <w:rPr>
      <w:rFonts w:ascii="Times New Roman" w:hAnsi="Times New Roman"/>
      <w:sz w:val="24"/>
      <w:szCs w:val="24"/>
      <w:lang w:eastAsia="bg-BG"/>
    </w:rPr>
  </w:style>
  <w:style w:type="character" w:customStyle="1" w:styleId="NotesChar4">
    <w:name w:val="Notes Char_4"/>
    <w:link w:val="Notes4"/>
    <w:rPr>
      <w:rFonts w:ascii="Arial" w:hAnsi="Arial"/>
      <w:b/>
      <w:szCs w:val="24"/>
      <w:lang w:val="bg-BG" w:eastAsia="bg-BG"/>
    </w:rPr>
  </w:style>
  <w:style w:type="paragraph" w:customStyle="1" w:styleId="Normal6">
    <w:name w:val="Normal_6"/>
    <w:qFormat/>
    <w:pPr>
      <w:suppressAutoHyphens/>
    </w:pPr>
    <w:rPr>
      <w:rFonts w:ascii="Times New Roman" w:hAnsi="Times New Roman"/>
      <w:sz w:val="24"/>
      <w:szCs w:val="24"/>
    </w:rPr>
  </w:style>
  <w:style w:type="paragraph" w:customStyle="1" w:styleId="Title3211">
    <w:name w:val="Title 3.2.1._1"/>
    <w:basedOn w:val="Notes5"/>
    <w:pPr>
      <w:numPr>
        <w:ilvl w:val="2"/>
        <w:numId w:val="31"/>
      </w:numPr>
      <w:tabs>
        <w:tab w:val="clear" w:pos="4320"/>
        <w:tab w:val="clear" w:pos="8640"/>
        <w:tab w:val="right" w:pos="-2700"/>
      </w:tabs>
      <w:spacing w:before="240"/>
    </w:pPr>
    <w:rPr>
      <w:szCs w:val="20"/>
    </w:rPr>
  </w:style>
  <w:style w:type="paragraph" w:customStyle="1" w:styleId="Notes5">
    <w:name w:val="Notes_5"/>
    <w:basedOn w:val="Header50"/>
    <w:link w:val="NotesChar5"/>
    <w:pPr>
      <w:numPr>
        <w:numId w:val="3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rPr>
  </w:style>
  <w:style w:type="paragraph" w:customStyle="1" w:styleId="Header50">
    <w:name w:val="Header_5"/>
    <w:basedOn w:val="Normal6"/>
    <w:link w:val="HeaderChar5"/>
    <w:uiPriority w:val="99"/>
    <w:pPr>
      <w:tabs>
        <w:tab w:val="center" w:pos="4153"/>
        <w:tab w:val="right" w:pos="8306"/>
      </w:tabs>
    </w:pPr>
  </w:style>
  <w:style w:type="character" w:customStyle="1" w:styleId="HeaderChar5">
    <w:name w:val="Header Char_5"/>
    <w:link w:val="Header50"/>
    <w:uiPriority w:val="99"/>
    <w:rPr>
      <w:rFonts w:ascii="Times New Roman" w:hAnsi="Times New Roman"/>
      <w:sz w:val="24"/>
      <w:szCs w:val="24"/>
      <w:lang w:eastAsia="bg-BG"/>
    </w:rPr>
  </w:style>
  <w:style w:type="character" w:customStyle="1" w:styleId="NotesChar5">
    <w:name w:val="Notes Char_5"/>
    <w:link w:val="Notes5"/>
    <w:rPr>
      <w:rFonts w:ascii="Arial" w:hAnsi="Arial"/>
      <w:b/>
      <w:szCs w:val="24"/>
      <w:lang w:val="bg-BG" w:eastAsia="bg-BG"/>
    </w:rPr>
  </w:style>
  <w:style w:type="paragraph" w:customStyle="1" w:styleId="Listi0">
    <w:name w:val="List i)_0"/>
    <w:basedOn w:val="Normal6"/>
    <w:next w:val="Normal6"/>
    <w:pPr>
      <w:keepNext/>
      <w:numPr>
        <w:numId w:val="33"/>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rPr>
  </w:style>
  <w:style w:type="paragraph" w:customStyle="1" w:styleId="Notes6">
    <w:name w:val="Notes_6"/>
    <w:basedOn w:val="Header6"/>
    <w:link w:val="NotesChar6"/>
    <w:pPr>
      <w:numPr>
        <w:numId w:val="3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6">
    <w:name w:val="Title 1.1_6"/>
    <w:basedOn w:val="Notes6"/>
    <w:pPr>
      <w:tabs>
        <w:tab w:val="clear" w:pos="432"/>
        <w:tab w:val="clear" w:pos="4320"/>
        <w:tab w:val="clear" w:pos="8640"/>
        <w:tab w:val="num" w:pos="431"/>
      </w:tabs>
      <w:spacing w:before="0" w:after="0"/>
      <w:ind w:left="431" w:hanging="431"/>
    </w:pPr>
    <w:rPr>
      <w:b w:val="0"/>
    </w:rPr>
  </w:style>
  <w:style w:type="paragraph" w:customStyle="1" w:styleId="Header6">
    <w:name w:val="Header_6"/>
    <w:basedOn w:val="Normal7"/>
    <w:link w:val="HeaderChar6"/>
    <w:pPr>
      <w:tabs>
        <w:tab w:val="center" w:pos="4153"/>
        <w:tab w:val="right" w:pos="8306"/>
      </w:tabs>
    </w:pPr>
  </w:style>
  <w:style w:type="paragraph" w:customStyle="1" w:styleId="Normal7">
    <w:name w:val="Normal_7"/>
    <w:qFormat/>
    <w:pPr>
      <w:suppressAutoHyphens/>
    </w:pPr>
    <w:rPr>
      <w:rFonts w:ascii="Times New Roman" w:hAnsi="Times New Roman"/>
      <w:sz w:val="24"/>
      <w:szCs w:val="24"/>
    </w:rPr>
  </w:style>
  <w:style w:type="character" w:customStyle="1" w:styleId="HeaderChar6">
    <w:name w:val="Header Char_6"/>
    <w:link w:val="Header6"/>
    <w:rPr>
      <w:rFonts w:ascii="Times New Roman" w:hAnsi="Times New Roman"/>
      <w:sz w:val="24"/>
      <w:szCs w:val="24"/>
      <w:lang w:eastAsia="bg-BG"/>
    </w:rPr>
  </w:style>
  <w:style w:type="character" w:customStyle="1" w:styleId="NotesChar6">
    <w:name w:val="Notes Char_6"/>
    <w:link w:val="Notes6"/>
    <w:rPr>
      <w:rFonts w:ascii="Arial" w:hAnsi="Arial"/>
      <w:b/>
      <w:szCs w:val="24"/>
      <w:lang w:val="bg-BG" w:eastAsia="bg-BG"/>
    </w:rPr>
  </w:style>
  <w:style w:type="paragraph" w:customStyle="1" w:styleId="Notes7">
    <w:name w:val="Notes_7"/>
    <w:basedOn w:val="Header7"/>
    <w:link w:val="NotesChar7"/>
    <w:pPr>
      <w:numPr>
        <w:numId w:val="3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rPr>
  </w:style>
  <w:style w:type="paragraph" w:customStyle="1" w:styleId="Header7">
    <w:name w:val="Header_7"/>
    <w:basedOn w:val="Normal9"/>
    <w:link w:val="HeaderChar7"/>
    <w:pPr>
      <w:tabs>
        <w:tab w:val="center" w:pos="4153"/>
        <w:tab w:val="right" w:pos="8306"/>
      </w:tabs>
    </w:pPr>
  </w:style>
  <w:style w:type="paragraph" w:customStyle="1" w:styleId="Normal9">
    <w:name w:val="Normal_9"/>
    <w:qFormat/>
    <w:pPr>
      <w:suppressAutoHyphens/>
    </w:pPr>
    <w:rPr>
      <w:rFonts w:ascii="Times New Roman" w:hAnsi="Times New Roman"/>
      <w:sz w:val="24"/>
      <w:szCs w:val="24"/>
    </w:rPr>
  </w:style>
  <w:style w:type="character" w:customStyle="1" w:styleId="HeaderChar7">
    <w:name w:val="Header Char_7"/>
    <w:link w:val="Header7"/>
    <w:rPr>
      <w:rFonts w:ascii="Times New Roman" w:hAnsi="Times New Roman"/>
      <w:sz w:val="24"/>
      <w:szCs w:val="24"/>
      <w:lang w:eastAsia="bg-BG"/>
    </w:rPr>
  </w:style>
  <w:style w:type="character" w:customStyle="1" w:styleId="NotesChar7">
    <w:name w:val="Notes Char_7"/>
    <w:link w:val="Notes7"/>
    <w:rPr>
      <w:rFonts w:ascii="Arial" w:hAnsi="Arial"/>
      <w:b/>
      <w:szCs w:val="24"/>
      <w:lang w:val="bg-BG" w:eastAsia="bg-BG"/>
    </w:rPr>
  </w:style>
  <w:style w:type="paragraph" w:customStyle="1" w:styleId="Notes8">
    <w:name w:val="Notes_8"/>
    <w:basedOn w:val="Header8"/>
    <w:link w:val="NotesChar8"/>
    <w:pPr>
      <w:numPr>
        <w:numId w:val="3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rPr>
  </w:style>
  <w:style w:type="paragraph" w:customStyle="1" w:styleId="Header8">
    <w:name w:val="Header_8"/>
    <w:basedOn w:val="Normal100"/>
    <w:link w:val="HeaderChar8"/>
    <w:pPr>
      <w:tabs>
        <w:tab w:val="center" w:pos="4153"/>
        <w:tab w:val="right" w:pos="8306"/>
      </w:tabs>
    </w:pPr>
  </w:style>
  <w:style w:type="paragraph" w:customStyle="1" w:styleId="Normal100">
    <w:name w:val="Normal_10"/>
    <w:qFormat/>
    <w:pPr>
      <w:suppressAutoHyphens/>
    </w:pPr>
    <w:rPr>
      <w:rFonts w:ascii="Times New Roman" w:hAnsi="Times New Roman"/>
      <w:sz w:val="24"/>
      <w:szCs w:val="24"/>
    </w:rPr>
  </w:style>
  <w:style w:type="character" w:customStyle="1" w:styleId="HeaderChar8">
    <w:name w:val="Header Char_8"/>
    <w:link w:val="Header8"/>
    <w:rPr>
      <w:rFonts w:ascii="Times New Roman" w:hAnsi="Times New Roman"/>
      <w:sz w:val="24"/>
      <w:szCs w:val="24"/>
      <w:lang w:eastAsia="bg-BG"/>
    </w:rPr>
  </w:style>
  <w:style w:type="character" w:customStyle="1" w:styleId="NotesChar8">
    <w:name w:val="Notes Char_8"/>
    <w:link w:val="Notes8"/>
    <w:rPr>
      <w:rFonts w:ascii="Arial" w:hAnsi="Arial"/>
      <w:b/>
      <w:szCs w:val="24"/>
      <w:lang w:val="bg-BG" w:eastAsia="bg-BG"/>
    </w:rPr>
  </w:style>
  <w:style w:type="paragraph" w:customStyle="1" w:styleId="Notes9">
    <w:name w:val="Notes_9"/>
    <w:basedOn w:val="Header9"/>
    <w:link w:val="NotesChar9"/>
    <w:pPr>
      <w:numPr>
        <w:numId w:val="3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rPr>
  </w:style>
  <w:style w:type="paragraph" w:customStyle="1" w:styleId="Header9">
    <w:name w:val="Header_9"/>
    <w:basedOn w:val="Normal11"/>
    <w:link w:val="HeaderChar9"/>
    <w:pPr>
      <w:tabs>
        <w:tab w:val="center" w:pos="4153"/>
        <w:tab w:val="right" w:pos="8306"/>
      </w:tabs>
    </w:pPr>
  </w:style>
  <w:style w:type="paragraph" w:customStyle="1" w:styleId="Normal11">
    <w:name w:val="Normal_11"/>
    <w:qFormat/>
    <w:pPr>
      <w:suppressAutoHyphens/>
    </w:pPr>
    <w:rPr>
      <w:rFonts w:ascii="Times New Roman" w:hAnsi="Times New Roman"/>
      <w:sz w:val="24"/>
      <w:szCs w:val="24"/>
    </w:rPr>
  </w:style>
  <w:style w:type="character" w:customStyle="1" w:styleId="HeaderChar9">
    <w:name w:val="Header Char_9"/>
    <w:link w:val="Header9"/>
    <w:rPr>
      <w:rFonts w:ascii="Times New Roman" w:hAnsi="Times New Roman"/>
      <w:sz w:val="24"/>
      <w:szCs w:val="24"/>
      <w:lang w:eastAsia="bg-BG"/>
    </w:rPr>
  </w:style>
  <w:style w:type="character" w:customStyle="1" w:styleId="NotesChar9">
    <w:name w:val="Notes Char_9"/>
    <w:link w:val="Notes9"/>
    <w:rPr>
      <w:rFonts w:ascii="Arial" w:hAnsi="Arial"/>
      <w:b/>
      <w:szCs w:val="24"/>
      <w:lang w:val="bg-BG" w:eastAsia="bg-BG"/>
    </w:rPr>
  </w:style>
  <w:style w:type="paragraph" w:customStyle="1" w:styleId="Notes10">
    <w:name w:val="Notes_10"/>
    <w:basedOn w:val="Header10"/>
    <w:link w:val="NotesChar10"/>
    <w:pPr>
      <w:numPr>
        <w:numId w:val="3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1">
    <w:name w:val="Title 1.1_10"/>
    <w:basedOn w:val="Notes10"/>
    <w:pPr>
      <w:numPr>
        <w:ilvl w:val="1"/>
      </w:numPr>
      <w:tabs>
        <w:tab w:val="clear" w:pos="4320"/>
        <w:tab w:val="clear" w:pos="8640"/>
        <w:tab w:val="right" w:pos="-2700"/>
        <w:tab w:val="right" w:pos="720"/>
      </w:tabs>
      <w:spacing w:before="0" w:after="0"/>
    </w:pPr>
    <w:rPr>
      <w:b w:val="0"/>
      <w:szCs w:val="20"/>
    </w:rPr>
  </w:style>
  <w:style w:type="paragraph" w:customStyle="1" w:styleId="Header10">
    <w:name w:val="Header_10"/>
    <w:basedOn w:val="Normal12"/>
    <w:link w:val="HeaderChar10"/>
    <w:pPr>
      <w:tabs>
        <w:tab w:val="center" w:pos="4153"/>
        <w:tab w:val="right" w:pos="8306"/>
      </w:tabs>
    </w:pPr>
  </w:style>
  <w:style w:type="paragraph" w:customStyle="1" w:styleId="Normal12">
    <w:name w:val="Normal_12"/>
    <w:qFormat/>
    <w:pPr>
      <w:suppressAutoHyphens/>
    </w:pPr>
    <w:rPr>
      <w:rFonts w:ascii="Times New Roman" w:hAnsi="Times New Roman"/>
      <w:sz w:val="24"/>
      <w:szCs w:val="24"/>
    </w:rPr>
  </w:style>
  <w:style w:type="character" w:customStyle="1" w:styleId="HeaderChar10">
    <w:name w:val="Header Char_10"/>
    <w:link w:val="Header10"/>
    <w:rPr>
      <w:rFonts w:ascii="Times New Roman" w:hAnsi="Times New Roman"/>
      <w:sz w:val="24"/>
      <w:szCs w:val="24"/>
      <w:lang w:eastAsia="bg-BG"/>
    </w:rPr>
  </w:style>
  <w:style w:type="character" w:customStyle="1" w:styleId="NotesChar10">
    <w:name w:val="Notes Char_10"/>
    <w:link w:val="Notes10"/>
    <w:rPr>
      <w:rFonts w:ascii="Arial" w:hAnsi="Arial"/>
      <w:b/>
      <w:szCs w:val="24"/>
      <w:lang w:val="bg-BG" w:eastAsia="bg-BG"/>
    </w:rPr>
  </w:style>
  <w:style w:type="paragraph" w:customStyle="1" w:styleId="Notes11">
    <w:name w:val="Notes_11"/>
    <w:basedOn w:val="Header11"/>
    <w:link w:val="NotesChar11"/>
    <w:pPr>
      <w:numPr>
        <w:numId w:val="3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10">
    <w:name w:val="Title 1.1_11"/>
    <w:basedOn w:val="Notes11"/>
    <w:pPr>
      <w:numPr>
        <w:ilvl w:val="1"/>
      </w:numPr>
      <w:tabs>
        <w:tab w:val="clear" w:pos="4320"/>
        <w:tab w:val="clear" w:pos="8640"/>
        <w:tab w:val="right" w:pos="-2700"/>
        <w:tab w:val="right" w:pos="720"/>
      </w:tabs>
      <w:spacing w:before="0" w:after="0"/>
    </w:pPr>
    <w:rPr>
      <w:b w:val="0"/>
      <w:szCs w:val="20"/>
    </w:rPr>
  </w:style>
  <w:style w:type="paragraph" w:customStyle="1" w:styleId="Header11">
    <w:name w:val="Header_11"/>
    <w:basedOn w:val="Normal13"/>
    <w:link w:val="HeaderChar11"/>
    <w:pPr>
      <w:tabs>
        <w:tab w:val="center" w:pos="4153"/>
        <w:tab w:val="right" w:pos="8306"/>
      </w:tabs>
    </w:pPr>
  </w:style>
  <w:style w:type="paragraph" w:customStyle="1" w:styleId="Normal13">
    <w:name w:val="Normal_13"/>
    <w:qFormat/>
    <w:pPr>
      <w:suppressAutoHyphens/>
    </w:pPr>
    <w:rPr>
      <w:rFonts w:ascii="Times New Roman" w:hAnsi="Times New Roman"/>
      <w:sz w:val="24"/>
      <w:szCs w:val="24"/>
    </w:rPr>
  </w:style>
  <w:style w:type="character" w:customStyle="1" w:styleId="HeaderChar11">
    <w:name w:val="Header Char_11"/>
    <w:link w:val="Header11"/>
    <w:rPr>
      <w:rFonts w:ascii="Times New Roman" w:hAnsi="Times New Roman"/>
      <w:sz w:val="24"/>
      <w:szCs w:val="24"/>
      <w:lang w:eastAsia="bg-BG"/>
    </w:rPr>
  </w:style>
  <w:style w:type="character" w:customStyle="1" w:styleId="NotesChar11">
    <w:name w:val="Notes Char_11"/>
    <w:link w:val="Notes11"/>
    <w:rPr>
      <w:rFonts w:ascii="Arial" w:hAnsi="Arial"/>
      <w:b/>
      <w:szCs w:val="24"/>
      <w:lang w:val="bg-BG" w:eastAsia="bg-BG"/>
    </w:rPr>
  </w:style>
  <w:style w:type="paragraph" w:customStyle="1" w:styleId="Title3212">
    <w:name w:val="Title 3.2.1._2"/>
    <w:basedOn w:val="Notes12"/>
    <w:pPr>
      <w:numPr>
        <w:ilvl w:val="2"/>
        <w:numId w:val="40"/>
      </w:numPr>
      <w:tabs>
        <w:tab w:val="clear" w:pos="4320"/>
        <w:tab w:val="clear" w:pos="8640"/>
        <w:tab w:val="right" w:pos="-2700"/>
      </w:tabs>
      <w:spacing w:before="240"/>
    </w:pPr>
    <w:rPr>
      <w:szCs w:val="20"/>
    </w:rPr>
  </w:style>
  <w:style w:type="paragraph" w:customStyle="1" w:styleId="Notes12">
    <w:name w:val="Notes_12"/>
    <w:basedOn w:val="Header12"/>
    <w:link w:val="NotesChar12"/>
    <w:pPr>
      <w:numPr>
        <w:numId w:val="4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2">
    <w:name w:val="Title 1.1_12"/>
    <w:basedOn w:val="Notes12"/>
    <w:pPr>
      <w:numPr>
        <w:ilvl w:val="1"/>
      </w:numPr>
      <w:tabs>
        <w:tab w:val="clear" w:pos="4320"/>
        <w:tab w:val="clear" w:pos="8640"/>
        <w:tab w:val="right" w:pos="720"/>
      </w:tabs>
      <w:spacing w:before="0" w:after="0"/>
    </w:pPr>
    <w:rPr>
      <w:b w:val="0"/>
    </w:rPr>
  </w:style>
  <w:style w:type="paragraph" w:customStyle="1" w:styleId="Header12">
    <w:name w:val="Header_12"/>
    <w:basedOn w:val="Normal14"/>
    <w:link w:val="HeaderChar12"/>
    <w:pPr>
      <w:tabs>
        <w:tab w:val="center" w:pos="4153"/>
        <w:tab w:val="right" w:pos="8306"/>
      </w:tabs>
    </w:pPr>
  </w:style>
  <w:style w:type="paragraph" w:customStyle="1" w:styleId="Normal14">
    <w:name w:val="Normal_14"/>
    <w:qFormat/>
    <w:pPr>
      <w:suppressAutoHyphens/>
    </w:pPr>
    <w:rPr>
      <w:rFonts w:ascii="Times New Roman" w:hAnsi="Times New Roman"/>
      <w:sz w:val="24"/>
      <w:szCs w:val="24"/>
    </w:rPr>
  </w:style>
  <w:style w:type="character" w:customStyle="1" w:styleId="HeaderChar12">
    <w:name w:val="Header Char_12"/>
    <w:link w:val="Header12"/>
    <w:rPr>
      <w:rFonts w:ascii="Times New Roman" w:hAnsi="Times New Roman"/>
      <w:sz w:val="24"/>
      <w:szCs w:val="24"/>
      <w:lang w:eastAsia="bg-BG"/>
    </w:rPr>
  </w:style>
  <w:style w:type="character" w:customStyle="1" w:styleId="NotesChar12">
    <w:name w:val="Notes Char_12"/>
    <w:link w:val="Notes12"/>
    <w:rPr>
      <w:rFonts w:ascii="Arial" w:hAnsi="Arial"/>
      <w:b/>
      <w:szCs w:val="24"/>
      <w:lang w:val="bg-BG" w:eastAsia="bg-BG"/>
    </w:rPr>
  </w:style>
  <w:style w:type="paragraph" w:customStyle="1" w:styleId="Normal15">
    <w:name w:val="Normal_15"/>
    <w:qFormat/>
    <w:pPr>
      <w:suppressAutoHyphens/>
    </w:pPr>
    <w:rPr>
      <w:rFonts w:ascii="Times New Roman" w:hAnsi="Times New Roman"/>
      <w:sz w:val="24"/>
      <w:szCs w:val="24"/>
    </w:rPr>
  </w:style>
  <w:style w:type="paragraph" w:customStyle="1" w:styleId="Notes13">
    <w:name w:val="Notes_13"/>
    <w:basedOn w:val="Header13"/>
    <w:link w:val="NotesChar13"/>
    <w:pPr>
      <w:numPr>
        <w:numId w:val="4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rFonts w:ascii="Times New Roman" w:hAnsi="Times New Roman"/>
      <w:sz w:val="24"/>
      <w:szCs w:val="24"/>
      <w:lang w:eastAsia="bg-BG"/>
    </w:rPr>
  </w:style>
  <w:style w:type="character" w:customStyle="1" w:styleId="NotesChar13">
    <w:name w:val="Notes Char_13"/>
    <w:link w:val="Notes13"/>
    <w:rPr>
      <w:rFonts w:ascii="Arial" w:hAnsi="Arial"/>
      <w:b/>
      <w:szCs w:val="24"/>
      <w:lang w:val="bg-BG" w:eastAsia="bg-BG"/>
    </w:rPr>
  </w:style>
  <w:style w:type="paragraph" w:customStyle="1" w:styleId="Notes14">
    <w:name w:val="Notes_14"/>
    <w:basedOn w:val="Header14"/>
    <w:link w:val="NotesChar14"/>
    <w:pPr>
      <w:numPr>
        <w:numId w:val="4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rPr>
  </w:style>
  <w:style w:type="paragraph" w:customStyle="1" w:styleId="Header14">
    <w:name w:val="Header_14"/>
    <w:basedOn w:val="Normal16"/>
    <w:link w:val="HeaderChar14"/>
    <w:pPr>
      <w:tabs>
        <w:tab w:val="center" w:pos="4153"/>
        <w:tab w:val="right" w:pos="8306"/>
      </w:tabs>
    </w:pPr>
  </w:style>
  <w:style w:type="paragraph" w:customStyle="1" w:styleId="Normal16">
    <w:name w:val="Normal_16"/>
    <w:qFormat/>
    <w:pPr>
      <w:suppressAutoHyphens/>
    </w:pPr>
    <w:rPr>
      <w:rFonts w:ascii="Times New Roman" w:hAnsi="Times New Roman"/>
      <w:sz w:val="24"/>
      <w:szCs w:val="24"/>
    </w:rPr>
  </w:style>
  <w:style w:type="character" w:customStyle="1" w:styleId="HeaderChar14">
    <w:name w:val="Header Char_14"/>
    <w:link w:val="Header14"/>
    <w:rPr>
      <w:rFonts w:ascii="Times New Roman" w:hAnsi="Times New Roman"/>
      <w:sz w:val="24"/>
      <w:szCs w:val="24"/>
      <w:lang w:eastAsia="bg-BG"/>
    </w:rPr>
  </w:style>
  <w:style w:type="character" w:customStyle="1" w:styleId="NotesChar14">
    <w:name w:val="Notes Char_14"/>
    <w:link w:val="Notes14"/>
    <w:rPr>
      <w:rFonts w:ascii="Arial" w:hAnsi="Arial"/>
      <w:b/>
      <w:szCs w:val="24"/>
      <w:lang w:val="bg-BG" w:eastAsia="bg-BG"/>
    </w:rPr>
  </w:style>
  <w:style w:type="paragraph" w:customStyle="1" w:styleId="Normal17">
    <w:name w:val="Normal_17"/>
    <w:qFormat/>
    <w:pPr>
      <w:suppressAutoHyphens/>
    </w:pPr>
    <w:rPr>
      <w:rFonts w:ascii="Times New Roman" w:hAnsi="Times New Roman"/>
      <w:sz w:val="24"/>
      <w:szCs w:val="24"/>
    </w:rPr>
  </w:style>
  <w:style w:type="paragraph" w:customStyle="1" w:styleId="Notes15">
    <w:name w:val="Notes_15"/>
    <w:basedOn w:val="Header15"/>
    <w:link w:val="NotesChar15"/>
    <w:pPr>
      <w:numPr>
        <w:numId w:val="4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rFonts w:ascii="Times New Roman" w:hAnsi="Times New Roman"/>
      <w:sz w:val="24"/>
      <w:szCs w:val="24"/>
      <w:lang w:eastAsia="bg-BG"/>
    </w:rPr>
  </w:style>
  <w:style w:type="character" w:customStyle="1" w:styleId="NotesChar15">
    <w:name w:val="Notes Char_15"/>
    <w:link w:val="Notes15"/>
    <w:rPr>
      <w:rFonts w:ascii="Arial" w:hAnsi="Arial"/>
      <w:b/>
      <w:szCs w:val="24"/>
      <w:lang w:val="bg-BG" w:eastAsia="bg-BG"/>
    </w:rPr>
  </w:style>
  <w:style w:type="paragraph" w:customStyle="1" w:styleId="Title3213">
    <w:name w:val="Title 3.2.1._3"/>
    <w:basedOn w:val="Notes16"/>
    <w:pPr>
      <w:numPr>
        <w:ilvl w:val="2"/>
        <w:numId w:val="45"/>
      </w:numPr>
      <w:tabs>
        <w:tab w:val="clear" w:pos="4320"/>
        <w:tab w:val="clear" w:pos="8640"/>
        <w:tab w:val="right" w:pos="-2700"/>
      </w:tabs>
      <w:spacing w:before="240"/>
    </w:pPr>
    <w:rPr>
      <w:szCs w:val="20"/>
    </w:rPr>
  </w:style>
  <w:style w:type="paragraph" w:customStyle="1" w:styleId="Notes16">
    <w:name w:val="Notes_16"/>
    <w:basedOn w:val="Header16"/>
    <w:link w:val="NotesChar16"/>
    <w:pPr>
      <w:numPr>
        <w:numId w:val="4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6">
    <w:name w:val="Title 1.1_16"/>
    <w:basedOn w:val="Notes16"/>
    <w:pPr>
      <w:numPr>
        <w:ilvl w:val="1"/>
      </w:numPr>
      <w:tabs>
        <w:tab w:val="clear" w:pos="4320"/>
        <w:tab w:val="clear" w:pos="8640"/>
        <w:tab w:val="right" w:pos="-2700"/>
        <w:tab w:val="right" w:pos="720"/>
      </w:tabs>
      <w:spacing w:before="0" w:after="0"/>
    </w:pPr>
    <w:rPr>
      <w:b w:val="0"/>
      <w:szCs w:val="20"/>
    </w:rPr>
  </w:style>
  <w:style w:type="paragraph" w:customStyle="1" w:styleId="Header16">
    <w:name w:val="Header_16"/>
    <w:basedOn w:val="Normal18"/>
    <w:link w:val="HeaderChar16"/>
    <w:pPr>
      <w:tabs>
        <w:tab w:val="center" w:pos="4153"/>
        <w:tab w:val="right" w:pos="8306"/>
      </w:tabs>
    </w:pPr>
  </w:style>
  <w:style w:type="paragraph" w:customStyle="1" w:styleId="Normal18">
    <w:name w:val="Normal_18"/>
    <w:qFormat/>
    <w:pPr>
      <w:suppressAutoHyphens/>
    </w:pPr>
    <w:rPr>
      <w:rFonts w:ascii="Times New Roman" w:hAnsi="Times New Roman"/>
      <w:sz w:val="24"/>
      <w:szCs w:val="24"/>
    </w:rPr>
  </w:style>
  <w:style w:type="character" w:customStyle="1" w:styleId="HeaderChar16">
    <w:name w:val="Header Char_16"/>
    <w:link w:val="Header16"/>
    <w:rPr>
      <w:rFonts w:ascii="Times New Roman" w:hAnsi="Times New Roman"/>
      <w:sz w:val="24"/>
      <w:szCs w:val="24"/>
      <w:lang w:eastAsia="bg-BG"/>
    </w:rPr>
  </w:style>
  <w:style w:type="character" w:customStyle="1" w:styleId="NotesChar16">
    <w:name w:val="Notes Char_16"/>
    <w:link w:val="Notes16"/>
    <w:rPr>
      <w:rFonts w:ascii="Arial" w:hAnsi="Arial"/>
      <w:b/>
      <w:szCs w:val="24"/>
      <w:lang w:val="bg-BG" w:eastAsia="bg-BG"/>
    </w:rPr>
  </w:style>
  <w:style w:type="paragraph" w:customStyle="1" w:styleId="Notes160">
    <w:name w:val="Notes_16_0"/>
    <w:basedOn w:val="Normal18"/>
    <w:link w:val="NotesChar160"/>
    <w:pPr>
      <w:numPr>
        <w:numId w:val="47"/>
      </w:numPr>
      <w:tabs>
        <w:tab w:val="center" w:pos="4320"/>
        <w:tab w:val="right" w:pos="8640"/>
      </w:tabs>
      <w:spacing w:before="120" w:after="120"/>
      <w:jc w:val="both"/>
    </w:pPr>
    <w:rPr>
      <w:rFonts w:ascii="Arial" w:hAnsi="Arial" w:cs="Arial"/>
      <w:b/>
      <w:sz w:val="20"/>
    </w:rPr>
  </w:style>
  <w:style w:type="paragraph" w:customStyle="1" w:styleId="Title11160">
    <w:name w:val="Title 1.1_16_0"/>
    <w:basedOn w:val="Notes160"/>
    <w:pPr>
      <w:tabs>
        <w:tab w:val="clear" w:pos="432"/>
        <w:tab w:val="clear" w:pos="4320"/>
        <w:tab w:val="clear" w:pos="8640"/>
        <w:tab w:val="num" w:pos="360"/>
        <w:tab w:val="num" w:pos="576"/>
      </w:tabs>
      <w:spacing w:before="0" w:after="0"/>
      <w:ind w:left="576" w:hanging="576"/>
    </w:pPr>
    <w:rPr>
      <w:b w:val="0"/>
    </w:rPr>
  </w:style>
  <w:style w:type="character" w:customStyle="1" w:styleId="NotesChar160">
    <w:name w:val="Notes Char_16_0"/>
    <w:link w:val="Notes160"/>
    <w:locked/>
    <w:rPr>
      <w:rFonts w:ascii="Arial" w:hAnsi="Arial" w:cs="Arial"/>
      <w:b/>
      <w:szCs w:val="24"/>
      <w:lang w:val="bg-BG" w:eastAsia="bg-BG"/>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rPr>
  </w:style>
  <w:style w:type="paragraph" w:customStyle="1" w:styleId="Notes17">
    <w:name w:val="Notes_17"/>
    <w:basedOn w:val="Header17"/>
    <w:link w:val="NotesChar17"/>
    <w:pPr>
      <w:numPr>
        <w:numId w:val="48"/>
      </w:numPr>
      <w:tabs>
        <w:tab w:val="clear" w:pos="4153"/>
        <w:tab w:val="clear" w:pos="8306"/>
        <w:tab w:val="center" w:pos="4320"/>
        <w:tab w:val="right" w:pos="8640"/>
      </w:tabs>
      <w:spacing w:before="120" w:after="120"/>
      <w:jc w:val="both"/>
    </w:pPr>
    <w:rPr>
      <w:rFonts w:ascii="Arial" w:hAnsi="Arial"/>
      <w:b/>
      <w:sz w:val="20"/>
    </w:rPr>
  </w:style>
  <w:style w:type="paragraph" w:customStyle="1" w:styleId="Header17">
    <w:name w:val="Header_17"/>
    <w:basedOn w:val="Normal19"/>
    <w:link w:val="HeaderChar17"/>
    <w:pPr>
      <w:tabs>
        <w:tab w:val="center" w:pos="4153"/>
        <w:tab w:val="right" w:pos="8306"/>
      </w:tabs>
    </w:pPr>
  </w:style>
  <w:style w:type="paragraph" w:customStyle="1" w:styleId="Normal19">
    <w:name w:val="Normal_19"/>
    <w:qFormat/>
    <w:pPr>
      <w:suppressAutoHyphens/>
    </w:pPr>
    <w:rPr>
      <w:rFonts w:ascii="Times New Roman" w:hAnsi="Times New Roman"/>
      <w:sz w:val="24"/>
      <w:szCs w:val="24"/>
    </w:rPr>
  </w:style>
  <w:style w:type="character" w:customStyle="1" w:styleId="HeaderChar17">
    <w:name w:val="Header Char_17"/>
    <w:link w:val="Header17"/>
    <w:rPr>
      <w:rFonts w:ascii="Times New Roman" w:hAnsi="Times New Roman"/>
      <w:sz w:val="24"/>
      <w:szCs w:val="24"/>
      <w:lang w:eastAsia="bg-BG"/>
    </w:rPr>
  </w:style>
  <w:style w:type="character" w:customStyle="1" w:styleId="NotesChar17">
    <w:name w:val="Notes Char_17"/>
    <w:link w:val="Notes17"/>
    <w:rPr>
      <w:rFonts w:ascii="Arial" w:hAnsi="Arial"/>
      <w:b/>
      <w:szCs w:val="24"/>
      <w:lang w:val="bg-BG" w:eastAsia="bg-BG"/>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rPr>
  </w:style>
  <w:style w:type="paragraph" w:customStyle="1" w:styleId="Notes18">
    <w:name w:val="Notes_18"/>
    <w:basedOn w:val="Header18"/>
    <w:link w:val="NotesChar18"/>
    <w:pPr>
      <w:numPr>
        <w:numId w:val="49"/>
      </w:numPr>
      <w:tabs>
        <w:tab w:val="clear" w:pos="4153"/>
        <w:tab w:val="clear" w:pos="8306"/>
        <w:tab w:val="center" w:pos="4320"/>
        <w:tab w:val="right" w:pos="8640"/>
      </w:tabs>
      <w:spacing w:before="120" w:after="120"/>
      <w:jc w:val="both"/>
    </w:pPr>
    <w:rPr>
      <w:rFonts w:ascii="Arial" w:hAnsi="Arial"/>
      <w:b/>
      <w:sz w:val="20"/>
    </w:rPr>
  </w:style>
  <w:style w:type="paragraph" w:customStyle="1" w:styleId="Header18">
    <w:name w:val="Header_18"/>
    <w:basedOn w:val="Normal20"/>
    <w:link w:val="HeaderChar18"/>
    <w:pPr>
      <w:tabs>
        <w:tab w:val="center" w:pos="4153"/>
        <w:tab w:val="right" w:pos="8306"/>
      </w:tabs>
    </w:pPr>
  </w:style>
  <w:style w:type="paragraph" w:customStyle="1" w:styleId="Normal20">
    <w:name w:val="Normal_20"/>
    <w:qFormat/>
    <w:pPr>
      <w:suppressAutoHyphens/>
    </w:pPr>
    <w:rPr>
      <w:rFonts w:ascii="Times New Roman" w:hAnsi="Times New Roman"/>
      <w:sz w:val="24"/>
      <w:szCs w:val="24"/>
    </w:rPr>
  </w:style>
  <w:style w:type="character" w:customStyle="1" w:styleId="HeaderChar18">
    <w:name w:val="Header Char_18"/>
    <w:link w:val="Header18"/>
    <w:rPr>
      <w:rFonts w:ascii="Times New Roman" w:hAnsi="Times New Roman"/>
      <w:sz w:val="24"/>
      <w:szCs w:val="24"/>
      <w:lang w:eastAsia="bg-BG"/>
    </w:rPr>
  </w:style>
  <w:style w:type="character" w:customStyle="1" w:styleId="NotesChar18">
    <w:name w:val="Notes Char_18"/>
    <w:link w:val="Notes18"/>
    <w:rPr>
      <w:rFonts w:ascii="Arial" w:hAnsi="Arial"/>
      <w:b/>
      <w:szCs w:val="24"/>
      <w:lang w:val="bg-BG" w:eastAsia="bg-BG"/>
    </w:rPr>
  </w:style>
  <w:style w:type="paragraph" w:customStyle="1" w:styleId="Normal21">
    <w:name w:val="Normal_21"/>
    <w:qFormat/>
    <w:pPr>
      <w:suppressAutoHyphens/>
    </w:pPr>
    <w:rPr>
      <w:rFonts w:ascii="Times New Roman" w:hAnsi="Times New Roman"/>
      <w:sz w:val="24"/>
      <w:szCs w:val="24"/>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rPr>
  </w:style>
  <w:style w:type="paragraph" w:customStyle="1" w:styleId="Notes19">
    <w:name w:val="Notes_19"/>
    <w:basedOn w:val="Header19"/>
    <w:link w:val="NotesChar19"/>
    <w:pPr>
      <w:numPr>
        <w:numId w:val="50"/>
      </w:numPr>
      <w:tabs>
        <w:tab w:val="clear" w:pos="4153"/>
        <w:tab w:val="clear" w:pos="8306"/>
        <w:tab w:val="center" w:pos="4320"/>
        <w:tab w:val="right" w:pos="8640"/>
      </w:tabs>
      <w:spacing w:before="120" w:after="120"/>
      <w:jc w:val="both"/>
    </w:pPr>
    <w:rPr>
      <w:rFonts w:ascii="Arial" w:hAnsi="Arial"/>
      <w:b/>
      <w:sz w:val="20"/>
    </w:r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rFonts w:ascii="Times New Roman" w:hAnsi="Times New Roman"/>
      <w:sz w:val="24"/>
      <w:szCs w:val="24"/>
      <w:lang w:eastAsia="bg-BG"/>
    </w:rPr>
  </w:style>
  <w:style w:type="character" w:customStyle="1" w:styleId="NotesChar19">
    <w:name w:val="Notes Char_19"/>
    <w:link w:val="Notes19"/>
    <w:rPr>
      <w:rFonts w:ascii="Arial" w:hAnsi="Arial"/>
      <w:b/>
      <w:szCs w:val="24"/>
      <w:lang w:val="bg-BG" w:eastAsia="bg-BG"/>
    </w:rPr>
  </w:style>
  <w:style w:type="paragraph" w:customStyle="1" w:styleId="Normal170">
    <w:name w:val="Normal_17_0"/>
    <w:qFormat/>
    <w:pPr>
      <w:suppressAutoHyphens/>
    </w:pPr>
    <w:rPr>
      <w:rFonts w:ascii="Times New Roman" w:hAnsi="Times New Roman"/>
      <w:sz w:val="24"/>
      <w:szCs w:val="24"/>
    </w:rPr>
  </w:style>
  <w:style w:type="paragraph" w:customStyle="1" w:styleId="Normal22">
    <w:name w:val="Normal_22"/>
    <w:qFormat/>
    <w:pPr>
      <w:suppressAutoHyphens/>
    </w:pPr>
    <w:rPr>
      <w:rFonts w:ascii="Times New Roman" w:hAnsi="Times New Roman"/>
      <w:sz w:val="24"/>
      <w:szCs w:val="24"/>
    </w:rPr>
  </w:style>
  <w:style w:type="paragraph" w:customStyle="1" w:styleId="Notes20">
    <w:name w:val="Notes_20"/>
    <w:basedOn w:val="Header20"/>
    <w:link w:val="NotesChar20"/>
    <w:pPr>
      <w:numPr>
        <w:numId w:val="5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rFonts w:ascii="Times New Roman" w:hAnsi="Times New Roman"/>
      <w:sz w:val="24"/>
      <w:szCs w:val="24"/>
      <w:lang w:eastAsia="bg-BG"/>
    </w:rPr>
  </w:style>
  <w:style w:type="character" w:customStyle="1" w:styleId="NotesChar20">
    <w:name w:val="Notes Char_20"/>
    <w:link w:val="Notes20"/>
    <w:rPr>
      <w:rFonts w:ascii="Arial" w:hAnsi="Arial"/>
      <w:b/>
      <w:szCs w:val="24"/>
      <w:lang w:val="bg-BG" w:eastAsia="bg-BG"/>
    </w:rPr>
  </w:style>
  <w:style w:type="paragraph" w:customStyle="1" w:styleId="Normal180">
    <w:name w:val="Normal_18_0"/>
    <w:qFormat/>
    <w:pPr>
      <w:suppressAutoHyphens/>
    </w:pPr>
    <w:rPr>
      <w:rFonts w:ascii="Times New Roman" w:hAnsi="Times New Roman"/>
      <w:sz w:val="24"/>
      <w:szCs w:val="24"/>
    </w:rPr>
  </w:style>
  <w:style w:type="paragraph" w:customStyle="1" w:styleId="Normal1800">
    <w:name w:val="Normal_18_0_0"/>
    <w:qFormat/>
    <w:pPr>
      <w:suppressAutoHyphens/>
    </w:pPr>
    <w:rPr>
      <w:rFonts w:ascii="Times New Roman" w:hAnsi="Times New Roman"/>
      <w:sz w:val="24"/>
      <w:szCs w:val="24"/>
    </w:rPr>
  </w:style>
  <w:style w:type="paragraph" w:customStyle="1" w:styleId="Notes21">
    <w:name w:val="Notes_21"/>
    <w:basedOn w:val="Header21"/>
    <w:link w:val="NotesChar21"/>
    <w:pPr>
      <w:numPr>
        <w:numId w:val="5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1">
    <w:name w:val="Title 1.1_21"/>
    <w:basedOn w:val="Notes21"/>
    <w:pPr>
      <w:numPr>
        <w:ilvl w:val="1"/>
      </w:numPr>
      <w:tabs>
        <w:tab w:val="clear" w:pos="4320"/>
        <w:tab w:val="clear" w:pos="8640"/>
        <w:tab w:val="right" w:pos="-2700"/>
        <w:tab w:val="right" w:pos="720"/>
      </w:tabs>
      <w:spacing w:before="0" w:after="0"/>
    </w:pPr>
    <w:rPr>
      <w:b w:val="0"/>
      <w:szCs w:val="20"/>
    </w:rPr>
  </w:style>
  <w:style w:type="paragraph" w:customStyle="1" w:styleId="Header21">
    <w:name w:val="Header_21"/>
    <w:basedOn w:val="Normal23"/>
    <w:link w:val="HeaderChar21"/>
    <w:pPr>
      <w:tabs>
        <w:tab w:val="center" w:pos="4153"/>
        <w:tab w:val="right" w:pos="8306"/>
      </w:tabs>
    </w:pPr>
  </w:style>
  <w:style w:type="paragraph" w:customStyle="1" w:styleId="Normal23">
    <w:name w:val="Normal_23"/>
    <w:qFormat/>
    <w:pPr>
      <w:suppressAutoHyphens/>
    </w:pPr>
    <w:rPr>
      <w:rFonts w:ascii="Times New Roman" w:hAnsi="Times New Roman"/>
      <w:sz w:val="24"/>
      <w:szCs w:val="24"/>
    </w:rPr>
  </w:style>
  <w:style w:type="character" w:customStyle="1" w:styleId="HeaderChar21">
    <w:name w:val="Header Char_21"/>
    <w:link w:val="Header21"/>
    <w:rPr>
      <w:rFonts w:ascii="Times New Roman" w:hAnsi="Times New Roman"/>
      <w:sz w:val="24"/>
      <w:szCs w:val="24"/>
      <w:lang w:eastAsia="bg-BG"/>
    </w:rPr>
  </w:style>
  <w:style w:type="character" w:customStyle="1" w:styleId="NotesChar21">
    <w:name w:val="Notes Char_21"/>
    <w:link w:val="Notes21"/>
    <w:rPr>
      <w:rFonts w:ascii="Arial" w:hAnsi="Arial"/>
      <w:b/>
      <w:szCs w:val="24"/>
      <w:lang w:val="bg-BG" w:eastAsia="bg-BG"/>
    </w:rPr>
  </w:style>
  <w:style w:type="paragraph" w:customStyle="1" w:styleId="Normal181">
    <w:name w:val="Normal_18_1"/>
    <w:qFormat/>
    <w:pPr>
      <w:suppressAutoHyphens/>
    </w:pPr>
    <w:rPr>
      <w:rFonts w:ascii="Times New Roman" w:hAnsi="Times New Roman"/>
      <w:sz w:val="24"/>
      <w:szCs w:val="24"/>
    </w:rPr>
  </w:style>
  <w:style w:type="paragraph" w:customStyle="1" w:styleId="Normal24">
    <w:name w:val="Normal_24"/>
    <w:qFormat/>
    <w:pPr>
      <w:suppressAutoHyphens/>
    </w:pPr>
    <w:rPr>
      <w:rFonts w:ascii="Times New Roman" w:hAnsi="Times New Roman"/>
      <w:sz w:val="24"/>
      <w:szCs w:val="24"/>
    </w:rPr>
  </w:style>
  <w:style w:type="paragraph" w:customStyle="1" w:styleId="ListParagraph1">
    <w:name w:val="List Paragraph_1"/>
    <w:basedOn w:val="Normal24"/>
    <w:uiPriority w:val="34"/>
    <w:qFormat/>
    <w:pPr>
      <w:ind w:left="720"/>
      <w:contextualSpacing/>
    </w:pPr>
  </w:style>
  <w:style w:type="paragraph" w:customStyle="1" w:styleId="ListParagraph2">
    <w:name w:val="List Paragraph_2"/>
    <w:basedOn w:val="Normal25"/>
    <w:uiPriority w:val="34"/>
    <w:qFormat/>
    <w:pPr>
      <w:ind w:left="720"/>
      <w:contextualSpacing/>
    </w:pPr>
  </w:style>
  <w:style w:type="paragraph" w:customStyle="1" w:styleId="Normal25">
    <w:name w:val="Normal_25"/>
    <w:qFormat/>
    <w:pPr>
      <w:suppressAutoHyphens/>
    </w:pPr>
    <w:rPr>
      <w:rFonts w:ascii="Times New Roman" w:hAnsi="Times New Roman"/>
      <w:sz w:val="24"/>
      <w:szCs w:val="24"/>
    </w:rPr>
  </w:style>
  <w:style w:type="paragraph" w:customStyle="1" w:styleId="Notes22">
    <w:name w:val="Notes_22"/>
    <w:basedOn w:val="Header24"/>
    <w:link w:val="NotesChar22"/>
    <w:pPr>
      <w:numPr>
        <w:numId w:val="5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rPr>
  </w:style>
  <w:style w:type="paragraph" w:customStyle="1" w:styleId="Header24">
    <w:name w:val="Header_24"/>
    <w:basedOn w:val="Normal26"/>
    <w:link w:val="HeaderChar24"/>
    <w:pPr>
      <w:tabs>
        <w:tab w:val="center" w:pos="4153"/>
        <w:tab w:val="right" w:pos="8306"/>
      </w:tabs>
    </w:pPr>
  </w:style>
  <w:style w:type="paragraph" w:customStyle="1" w:styleId="Normal26">
    <w:name w:val="Normal_26"/>
    <w:qFormat/>
    <w:pPr>
      <w:suppressAutoHyphens/>
    </w:pPr>
    <w:rPr>
      <w:rFonts w:ascii="Times New Roman" w:hAnsi="Times New Roman"/>
      <w:sz w:val="24"/>
      <w:szCs w:val="24"/>
    </w:rPr>
  </w:style>
  <w:style w:type="character" w:customStyle="1" w:styleId="HeaderChar24">
    <w:name w:val="Header Char_24"/>
    <w:link w:val="Header24"/>
    <w:rPr>
      <w:rFonts w:ascii="Times New Roman" w:hAnsi="Times New Roman"/>
      <w:sz w:val="24"/>
      <w:szCs w:val="24"/>
      <w:lang w:eastAsia="bg-BG"/>
    </w:rPr>
  </w:style>
  <w:style w:type="character" w:customStyle="1" w:styleId="NotesChar22">
    <w:name w:val="Notes Char_22"/>
    <w:link w:val="Notes22"/>
    <w:rPr>
      <w:rFonts w:ascii="Arial" w:hAnsi="Arial"/>
      <w:b/>
      <w:szCs w:val="24"/>
      <w:lang w:val="bg-BG" w:eastAsia="bg-BG"/>
    </w:rPr>
  </w:style>
  <w:style w:type="paragraph" w:customStyle="1" w:styleId="Header25">
    <w:name w:val="Header_25"/>
    <w:basedOn w:val="Normal27"/>
    <w:link w:val="HeaderChar25"/>
    <w:pPr>
      <w:tabs>
        <w:tab w:val="center" w:pos="4153"/>
        <w:tab w:val="right" w:pos="8306"/>
      </w:tabs>
    </w:pPr>
  </w:style>
  <w:style w:type="paragraph" w:customStyle="1" w:styleId="Normal27">
    <w:name w:val="Normal_27"/>
    <w:qFormat/>
    <w:pPr>
      <w:suppressAutoHyphens/>
    </w:pPr>
    <w:rPr>
      <w:rFonts w:ascii="Times New Roman" w:hAnsi="Times New Roman"/>
      <w:sz w:val="24"/>
      <w:szCs w:val="24"/>
    </w:rPr>
  </w:style>
  <w:style w:type="character" w:customStyle="1" w:styleId="HeaderChar25">
    <w:name w:val="Header Char_25"/>
    <w:link w:val="Header25"/>
    <w:rPr>
      <w:rFonts w:ascii="Times New Roman" w:hAnsi="Times New Roman"/>
      <w:sz w:val="24"/>
      <w:szCs w:val="24"/>
      <w:lang w:eastAsia="bg-BG"/>
    </w:rPr>
  </w:style>
  <w:style w:type="paragraph" w:customStyle="1" w:styleId="Notes23">
    <w:name w:val="Notes_23"/>
    <w:basedOn w:val="Header25"/>
    <w:link w:val="NotesChar23"/>
    <w:pPr>
      <w:numPr>
        <w:numId w:val="5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rPr>
  </w:style>
  <w:style w:type="character" w:customStyle="1" w:styleId="NotesChar23">
    <w:name w:val="Notes Char_23"/>
    <w:link w:val="Notes23"/>
    <w:rPr>
      <w:rFonts w:ascii="Arial" w:hAnsi="Arial"/>
      <w:b/>
      <w:szCs w:val="24"/>
      <w:lang w:val="bg-BG" w:eastAsia="bg-BG"/>
    </w:rPr>
  </w:style>
  <w:style w:type="paragraph" w:customStyle="1" w:styleId="Notes24">
    <w:name w:val="Notes_24"/>
    <w:basedOn w:val="Header26"/>
    <w:link w:val="NotesChar24"/>
    <w:pPr>
      <w:numPr>
        <w:numId w:val="5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rPr>
  </w:style>
  <w:style w:type="paragraph" w:customStyle="1" w:styleId="Header26">
    <w:name w:val="Header_26"/>
    <w:basedOn w:val="Normal28"/>
    <w:link w:val="HeaderChar26"/>
    <w:pPr>
      <w:tabs>
        <w:tab w:val="center" w:pos="4153"/>
        <w:tab w:val="right" w:pos="8306"/>
      </w:tabs>
    </w:pPr>
  </w:style>
  <w:style w:type="paragraph" w:customStyle="1" w:styleId="Normal28">
    <w:name w:val="Normal_28"/>
    <w:qFormat/>
    <w:pPr>
      <w:suppressAutoHyphens/>
    </w:pPr>
    <w:rPr>
      <w:rFonts w:ascii="Times New Roman" w:hAnsi="Times New Roman"/>
      <w:sz w:val="24"/>
      <w:szCs w:val="24"/>
    </w:rPr>
  </w:style>
  <w:style w:type="character" w:customStyle="1" w:styleId="HeaderChar26">
    <w:name w:val="Header Char_26"/>
    <w:link w:val="Header26"/>
    <w:rPr>
      <w:rFonts w:ascii="Times New Roman" w:hAnsi="Times New Roman"/>
      <w:sz w:val="24"/>
      <w:szCs w:val="24"/>
      <w:lang w:eastAsia="bg-BG"/>
    </w:rPr>
  </w:style>
  <w:style w:type="character" w:customStyle="1" w:styleId="NotesChar24">
    <w:name w:val="Notes Char_24"/>
    <w:link w:val="Notes24"/>
    <w:rPr>
      <w:rFonts w:ascii="Arial" w:hAnsi="Arial"/>
      <w:b/>
      <w:szCs w:val="24"/>
      <w:lang w:val="bg-BG" w:eastAsia="bg-BG"/>
    </w:rPr>
  </w:style>
  <w:style w:type="paragraph" w:customStyle="1" w:styleId="Header27">
    <w:name w:val="Header_27"/>
    <w:basedOn w:val="Normal29"/>
    <w:link w:val="HeaderChar27"/>
    <w:pPr>
      <w:tabs>
        <w:tab w:val="center" w:pos="4153"/>
        <w:tab w:val="right" w:pos="8306"/>
      </w:tabs>
    </w:pPr>
  </w:style>
  <w:style w:type="paragraph" w:customStyle="1" w:styleId="Normal29">
    <w:name w:val="Normal_29"/>
    <w:qFormat/>
    <w:pPr>
      <w:suppressAutoHyphens/>
    </w:pPr>
    <w:rPr>
      <w:rFonts w:ascii="Times New Roman" w:hAnsi="Times New Roman"/>
      <w:sz w:val="24"/>
      <w:szCs w:val="24"/>
    </w:rPr>
  </w:style>
  <w:style w:type="character" w:customStyle="1" w:styleId="HeaderChar27">
    <w:name w:val="Header Char_27"/>
    <w:link w:val="Header27"/>
    <w:rPr>
      <w:rFonts w:ascii="Times New Roman" w:hAnsi="Times New Roman"/>
      <w:sz w:val="24"/>
      <w:szCs w:val="24"/>
      <w:lang w:eastAsia="bg-BG"/>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rPr>
  </w:style>
  <w:style w:type="paragraph" w:customStyle="1" w:styleId="Notes25">
    <w:name w:val="Notes_25"/>
    <w:basedOn w:val="Header27"/>
    <w:link w:val="NotesChar25"/>
    <w:pPr>
      <w:numPr>
        <w:numId w:val="56"/>
      </w:numPr>
      <w:tabs>
        <w:tab w:val="clear" w:pos="4153"/>
        <w:tab w:val="clear" w:pos="8306"/>
        <w:tab w:val="center" w:pos="4320"/>
        <w:tab w:val="right" w:pos="8640"/>
      </w:tabs>
      <w:spacing w:before="120" w:after="120"/>
      <w:jc w:val="both"/>
    </w:pPr>
    <w:rPr>
      <w:rFonts w:ascii="Arial" w:hAnsi="Arial"/>
      <w:b/>
      <w:sz w:val="20"/>
    </w:rPr>
  </w:style>
  <w:style w:type="character" w:customStyle="1" w:styleId="NotesChar25">
    <w:name w:val="Notes Char_25"/>
    <w:link w:val="Notes25"/>
    <w:rPr>
      <w:rFonts w:ascii="Arial" w:hAnsi="Arial"/>
      <w:b/>
      <w:szCs w:val="24"/>
      <w:lang w:val="bg-BG" w:eastAsia="bg-BG"/>
    </w:rPr>
  </w:style>
  <w:style w:type="paragraph" w:customStyle="1" w:styleId="ListParagraph3">
    <w:name w:val="List Paragraph_3"/>
    <w:basedOn w:val="Normal29"/>
    <w:uiPriority w:val="34"/>
    <w:qFormat/>
    <w:pPr>
      <w:ind w:left="720"/>
      <w:contextualSpacing/>
    </w:p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rPr>
  </w:style>
  <w:style w:type="paragraph" w:customStyle="1" w:styleId="Notes26">
    <w:name w:val="Notes_26"/>
    <w:basedOn w:val="Header28"/>
    <w:link w:val="NotesChar26"/>
    <w:pPr>
      <w:numPr>
        <w:numId w:val="57"/>
      </w:numPr>
      <w:tabs>
        <w:tab w:val="clear" w:pos="4153"/>
        <w:tab w:val="clear" w:pos="8306"/>
        <w:tab w:val="center" w:pos="4320"/>
        <w:tab w:val="right" w:pos="8640"/>
      </w:tabs>
      <w:spacing w:before="120" w:after="120"/>
      <w:jc w:val="both"/>
    </w:pPr>
    <w:rPr>
      <w:rFonts w:ascii="Arial" w:hAnsi="Arial"/>
      <w:b/>
      <w:sz w:val="20"/>
    </w:rPr>
  </w:style>
  <w:style w:type="paragraph" w:customStyle="1" w:styleId="Header28">
    <w:name w:val="Header_28"/>
    <w:basedOn w:val="Normal30"/>
    <w:link w:val="HeaderChar28"/>
    <w:pPr>
      <w:tabs>
        <w:tab w:val="center" w:pos="4153"/>
        <w:tab w:val="right" w:pos="8306"/>
      </w:tabs>
    </w:pPr>
  </w:style>
  <w:style w:type="paragraph" w:customStyle="1" w:styleId="Normal30">
    <w:name w:val="Normal_30"/>
    <w:qFormat/>
    <w:pPr>
      <w:suppressAutoHyphens/>
    </w:pPr>
    <w:rPr>
      <w:rFonts w:ascii="Times New Roman" w:hAnsi="Times New Roman"/>
      <w:sz w:val="24"/>
      <w:szCs w:val="24"/>
    </w:rPr>
  </w:style>
  <w:style w:type="character" w:customStyle="1" w:styleId="HeaderChar28">
    <w:name w:val="Header Char_28"/>
    <w:link w:val="Header28"/>
    <w:rPr>
      <w:rFonts w:ascii="Times New Roman" w:hAnsi="Times New Roman"/>
      <w:sz w:val="24"/>
      <w:szCs w:val="24"/>
      <w:lang w:eastAsia="bg-BG"/>
    </w:rPr>
  </w:style>
  <w:style w:type="character" w:customStyle="1" w:styleId="NotesChar26">
    <w:name w:val="Notes Char_26"/>
    <w:link w:val="Notes26"/>
    <w:rPr>
      <w:rFonts w:ascii="Arial" w:hAnsi="Arial"/>
      <w:b/>
      <w:szCs w:val="24"/>
      <w:lang w:val="bg-BG" w:eastAsia="bg-BG"/>
    </w:rPr>
  </w:style>
  <w:style w:type="paragraph" w:customStyle="1" w:styleId="Notes">
    <w:name w:val="Notes"/>
    <w:basedOn w:val="Header"/>
    <w:link w:val="NotesChar"/>
    <w:pPr>
      <w:numPr>
        <w:numId w:val="58"/>
      </w:numPr>
      <w:tabs>
        <w:tab w:val="clear" w:pos="4677"/>
        <w:tab w:val="clear" w:pos="9355"/>
        <w:tab w:val="center" w:pos="4320"/>
        <w:tab w:val="right" w:pos="8640"/>
      </w:tabs>
      <w:suppressAutoHyphens/>
      <w:spacing w:before="120" w:after="120"/>
      <w:jc w:val="both"/>
    </w:pPr>
    <w:rPr>
      <w:rFonts w:ascii="Arial" w:hAnsi="Arial"/>
      <w:b/>
      <w:sz w:val="20"/>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rPr>
  </w:style>
  <w:style w:type="character" w:customStyle="1" w:styleId="NotesChar">
    <w:name w:val="Notes Char"/>
    <w:link w:val="Notes"/>
    <w:rPr>
      <w:rFonts w:ascii="Arial" w:hAnsi="Arial"/>
      <w:b/>
      <w:szCs w:val="24"/>
      <w:lang w:val="bg-BG" w:eastAsia="bg-BG"/>
    </w:rPr>
  </w:style>
  <w:style w:type="paragraph" w:customStyle="1" w:styleId="Title1">
    <w:name w:val="Title 1"/>
    <w:basedOn w:val="Notes"/>
    <w:pPr>
      <w:spacing w:before="0" w:after="0"/>
    </w:pPr>
  </w:style>
  <w:style w:type="paragraph" w:customStyle="1" w:styleId="Notes27">
    <w:name w:val="Notes_27"/>
    <w:basedOn w:val="Header29"/>
    <w:link w:val="NotesChar27"/>
    <w:pPr>
      <w:numPr>
        <w:numId w:val="5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rPr>
  </w:style>
  <w:style w:type="paragraph" w:customStyle="1" w:styleId="Header29">
    <w:name w:val="Header_29"/>
    <w:basedOn w:val="Normal31"/>
    <w:link w:val="HeaderChar29"/>
    <w:pPr>
      <w:tabs>
        <w:tab w:val="center" w:pos="4153"/>
        <w:tab w:val="right" w:pos="8306"/>
      </w:tabs>
    </w:pPr>
  </w:style>
  <w:style w:type="paragraph" w:customStyle="1" w:styleId="Normal31">
    <w:name w:val="Normal_31"/>
    <w:qFormat/>
    <w:pPr>
      <w:suppressAutoHyphens/>
    </w:pPr>
    <w:rPr>
      <w:rFonts w:ascii="Times New Roman" w:hAnsi="Times New Roman"/>
      <w:sz w:val="24"/>
      <w:szCs w:val="24"/>
    </w:rPr>
  </w:style>
  <w:style w:type="character" w:customStyle="1" w:styleId="HeaderChar29">
    <w:name w:val="Header Char_29"/>
    <w:link w:val="Header29"/>
    <w:rPr>
      <w:rFonts w:ascii="Times New Roman" w:hAnsi="Times New Roman"/>
      <w:sz w:val="24"/>
      <w:szCs w:val="24"/>
      <w:lang w:eastAsia="bg-BG"/>
    </w:rPr>
  </w:style>
  <w:style w:type="character" w:customStyle="1" w:styleId="NotesChar27">
    <w:name w:val="Notes Char_27"/>
    <w:link w:val="Notes27"/>
    <w:rPr>
      <w:rFonts w:ascii="Arial" w:hAnsi="Arial"/>
      <w:b/>
      <w:szCs w:val="24"/>
      <w:lang w:val="bg-BG" w:eastAsia="bg-BG"/>
    </w:rPr>
  </w:style>
  <w:style w:type="paragraph" w:customStyle="1" w:styleId="ListParagraph4">
    <w:name w:val="List Paragraph_4"/>
    <w:basedOn w:val="Normal31"/>
    <w:uiPriority w:val="34"/>
    <w:qFormat/>
    <w:pPr>
      <w:ind w:left="720"/>
      <w:contextualSpacing/>
    </w:pPr>
  </w:style>
  <w:style w:type="paragraph" w:customStyle="1" w:styleId="Notes28">
    <w:name w:val="Notes_28"/>
    <w:basedOn w:val="Header30"/>
    <w:link w:val="NotesChar28"/>
    <w:pPr>
      <w:numPr>
        <w:numId w:val="60"/>
      </w:numPr>
      <w:tabs>
        <w:tab w:val="clear" w:pos="4680"/>
        <w:tab w:val="clear" w:pos="9360"/>
        <w:tab w:val="center" w:pos="4320"/>
        <w:tab w:val="right" w:pos="8640"/>
      </w:tabs>
      <w:suppressAutoHyphens/>
      <w:spacing w:before="120" w:after="120"/>
      <w:jc w:val="both"/>
    </w:pPr>
    <w:rPr>
      <w:rFonts w:ascii="Arial" w:hAnsi="Arial"/>
      <w:b/>
      <w:szCs w:val="24"/>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paragraph" w:customStyle="1" w:styleId="Header30">
    <w:name w:val="Header_30"/>
    <w:basedOn w:val="Normal32"/>
    <w:link w:val="HeaderChar30"/>
    <w:uiPriority w:val="99"/>
    <w:semiHidden/>
    <w:unhideWhenUsed/>
    <w:pPr>
      <w:tabs>
        <w:tab w:val="center" w:pos="4680"/>
        <w:tab w:val="right" w:pos="9360"/>
      </w:tabs>
    </w:pPr>
  </w:style>
  <w:style w:type="paragraph" w:customStyle="1" w:styleId="Normal32">
    <w:name w:val="Normal_32"/>
    <w:qFormat/>
    <w:rPr>
      <w:rFonts w:eastAsia="Calibri" w:cs="Arial"/>
    </w:rPr>
  </w:style>
  <w:style w:type="character" w:customStyle="1" w:styleId="HeaderChar30">
    <w:name w:val="Header Char_30"/>
    <w:basedOn w:val="DefaultParagraphFont"/>
    <w:link w:val="Header30"/>
    <w:uiPriority w:val="99"/>
    <w:semiHidden/>
    <w:rPr>
      <w:rFonts w:ascii="Times New Roman" w:hAnsi="Times New Roman"/>
    </w:rPr>
  </w:style>
  <w:style w:type="character" w:customStyle="1" w:styleId="NotesChar28">
    <w:name w:val="Notes Char_28"/>
    <w:link w:val="Notes28"/>
    <w:locked/>
    <w:rPr>
      <w:rFonts w:ascii="Arial" w:eastAsia="Calibri" w:hAnsi="Arial" w:cs="Arial"/>
      <w:b/>
      <w:szCs w:val="24"/>
      <w:lang w:val="bg-BG" w:eastAsia="bg-BG"/>
    </w:rPr>
  </w:style>
  <w:style w:type="table" w:styleId="TableGrid">
    <w:name w:val="Table Grid"/>
    <w:basedOn w:val="TableNormal"/>
    <w:uiPriority w:val="59"/>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pPr>
      <w:tabs>
        <w:tab w:val="right" w:leader="dot" w:pos="9628"/>
      </w:tabs>
      <w:spacing w:after="100"/>
    </w:pPr>
    <w:rPr>
      <w:rFonts w:ascii="Verdana" w:hAnsi="Verdana"/>
      <w:noProof/>
      <w:color w:val="016794"/>
      <w:sz w:val="22"/>
    </w:rPr>
  </w:style>
  <w:style w:type="paragraph" w:styleId="TOC2">
    <w:name w:val="toc 2"/>
    <w:basedOn w:val="Normal"/>
    <w:next w:val="Normal"/>
    <w:autoRedefine/>
    <w:uiPriority w:val="39"/>
    <w:unhideWhenUsed/>
    <w:pPr>
      <w:spacing w:after="100"/>
      <w:ind w:left="240"/>
    </w:pPr>
    <w:rPr>
      <w:rFonts w:ascii="Verdana" w:hAnsi="Verdana"/>
      <w:color w:val="BFBFBF" w:themeColor="background1" w:themeShade="BF"/>
      <w:sz w:val="22"/>
    </w:rPr>
  </w:style>
  <w:style w:type="paragraph" w:styleId="TOCHeading">
    <w:name w:val="TOC Heading"/>
    <w:basedOn w:val="Heading1"/>
    <w:next w:val="Normal"/>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DMETW15549BIPTable22number3">
    <w:name w:val="DM_ETW_15549_BIP_Table22number3"/>
    <w:rPr>
      <w:rFonts w:eastAsia="Calibri"/>
    </w:rPr>
  </w:style>
  <w:style w:type="paragraph" w:customStyle="1" w:styleId="Normal00">
    <w:name w:val="Normal_0_0"/>
    <w:qFormat/>
    <w:rPr>
      <w:rFonts w:eastAsia="Calibri" w:cs="Arial"/>
    </w:rPr>
  </w:style>
  <w:style w:type="paragraph" w:customStyle="1" w:styleId="Normal1">
    <w:name w:val="Normal_1"/>
    <w:qFormat/>
    <w:rPr>
      <w:rFonts w:ascii="Times New Roman" w:hAnsi="Times New Roman"/>
      <w:sz w:val="24"/>
      <w:szCs w:val="24"/>
    </w:rPr>
  </w:style>
  <w:style w:type="table" w:customStyle="1" w:styleId="CDMRange1">
    <w:name w:val="CDM Range 1"/>
    <w:basedOn w:val="TableNormal"/>
    <w:next w:val="TableNormal"/>
    <w:semiHidden/>
    <w:rPr>
      <w:rFonts w:ascii="Times New Roman" w:hAnsi="Times New Roman"/>
    </w:rPr>
    <w:tblPr/>
  </w:style>
  <w:style w:type="paragraph" w:customStyle="1" w:styleId="Normal01">
    <w:name w:val="Normal_0_1"/>
    <w:qFormat/>
    <w:rPr>
      <w:rFonts w:ascii="Times New Roman" w:hAnsi="Times New Roman"/>
    </w:rPr>
  </w:style>
  <w:style w:type="table" w:customStyle="1" w:styleId="CDMRange2">
    <w:name w:val="CDM Range 2"/>
    <w:basedOn w:val="TableNormal"/>
    <w:next w:val="TableNormal"/>
    <w:semiHidden/>
    <w:rPr>
      <w:rFonts w:ascii="Times New Roman" w:hAnsi="Times New Roman"/>
    </w:rPr>
    <w:tblPr/>
  </w:style>
  <w:style w:type="table" w:customStyle="1" w:styleId="CDMRange10">
    <w:name w:val="CDM Range 1_0"/>
    <w:basedOn w:val="TableNormal"/>
    <w:next w:val="TableNormal"/>
    <w:semiHidden/>
    <w:rPr>
      <w:rFonts w:ascii="Times New Roman" w:hAnsi="Times New Roman"/>
    </w:rPr>
    <w:tblPr/>
  </w:style>
  <w:style w:type="table" w:customStyle="1" w:styleId="CDMRange20">
    <w:name w:val="CDM Range 2_0"/>
    <w:basedOn w:val="TableNormal"/>
    <w:next w:val="TableNormal"/>
    <w:semiHidden/>
    <w:rPr>
      <w:rFonts w:ascii="Times New Roman" w:hAnsi="Times New Roman"/>
    </w:rPr>
    <w:tblPr/>
  </w:style>
  <w:style w:type="paragraph" w:customStyle="1" w:styleId="Normal8">
    <w:name w:val="Normal_8"/>
    <w:qFormat/>
    <w:pPr>
      <w:suppressAutoHyphens/>
    </w:pPr>
    <w:rPr>
      <w:rFonts w:ascii="Times New Roman" w:hAnsi="Times New Roman"/>
      <w:sz w:val="24"/>
      <w:szCs w:val="24"/>
    </w:rPr>
  </w:style>
  <w:style w:type="paragraph" w:customStyle="1" w:styleId="Header00">
    <w:name w:val="Header_0_0"/>
    <w:basedOn w:val="Normal02"/>
    <w:uiPriority w:val="99"/>
    <w:unhideWhenUsed/>
    <w:pPr>
      <w:tabs>
        <w:tab w:val="center" w:pos="4680"/>
        <w:tab w:val="right" w:pos="9360"/>
      </w:tabs>
    </w:pPr>
    <w:rPr>
      <w:rFonts w:ascii="Calibri" w:eastAsia="Calibri" w:hAnsi="Calibri" w:cs="Arial"/>
    </w:rPr>
  </w:style>
  <w:style w:type="paragraph" w:customStyle="1" w:styleId="Normal02">
    <w:name w:val="Normal_0_2"/>
    <w:qFormat/>
    <w:rPr>
      <w:rFonts w:ascii="Times New Roman" w:hAnsi="Times New Roman"/>
    </w:rPr>
  </w:style>
  <w:style w:type="character" w:customStyle="1" w:styleId="HeaderChar00">
    <w:name w:val="Header Char_0_0"/>
    <w:basedOn w:val="DefaultParagraphFont"/>
    <w:uiPriority w:val="99"/>
    <w:rPr>
      <w:rFonts w:eastAsia="Calibri" w:cs="Arial"/>
      <w:lang w:val="bg-BG" w:eastAsia="bg-BG"/>
    </w:rPr>
  </w:style>
  <w:style w:type="paragraph" w:customStyle="1" w:styleId="Header100">
    <w:name w:val="Header_1_0"/>
    <w:basedOn w:val="Normal200"/>
    <w:uiPriority w:val="99"/>
    <w:unhideWhenUsed/>
    <w:pPr>
      <w:tabs>
        <w:tab w:val="center" w:pos="4680"/>
        <w:tab w:val="right" w:pos="9360"/>
      </w:tabs>
    </w:pPr>
    <w:rPr>
      <w:rFonts w:ascii="Calibri" w:eastAsia="Calibri" w:hAnsi="Calibri" w:cs="Arial"/>
    </w:rPr>
  </w:style>
  <w:style w:type="paragraph" w:customStyle="1" w:styleId="Normal200">
    <w:name w:val="Normal_2_0"/>
    <w:qFormat/>
    <w:rPr>
      <w:rFonts w:ascii="Times New Roman" w:hAnsi="Times New Roman"/>
    </w:rPr>
  </w:style>
  <w:style w:type="character" w:customStyle="1" w:styleId="HeaderChar100">
    <w:name w:val="Header Char_1_0"/>
    <w:basedOn w:val="DefaultParagraphFont"/>
    <w:uiPriority w:val="99"/>
    <w:rPr>
      <w:rFonts w:eastAsia="Calibri" w:cs="Arial"/>
      <w:lang w:val="bg-BG" w:eastAsia="bg-BG"/>
    </w:rPr>
  </w:style>
  <w:style w:type="paragraph" w:customStyle="1" w:styleId="Normal300">
    <w:name w:val="Normal_3_0"/>
    <w:qFormat/>
    <w:rPr>
      <w:rFonts w:eastAsia="Calibri" w:cs="Arial"/>
    </w:rPr>
  </w:style>
  <w:style w:type="paragraph" w:customStyle="1" w:styleId="Normal40">
    <w:name w:val="Normal_4_0"/>
    <w:qFormat/>
    <w:rPr>
      <w:rFonts w:eastAsia="Calibri" w:cs="Arial"/>
    </w:rPr>
  </w:style>
  <w:style w:type="paragraph" w:customStyle="1" w:styleId="NotesText">
    <w:name w:val="Notes Text"/>
    <w:basedOn w:val="Normal9"/>
    <w:pPr>
      <w:spacing w:after="60" w:line="180" w:lineRule="atLeast"/>
      <w:jc w:val="both"/>
    </w:pPr>
    <w:rPr>
      <w:rFonts w:ascii="Arial" w:hAnsi="Arial" w:cs="Arial"/>
      <w:sz w:val="15"/>
      <w:szCs w:val="15"/>
    </w:rPr>
  </w:style>
  <w:style w:type="paragraph" w:customStyle="1" w:styleId="Normal90">
    <w:name w:val="Normal_9_0"/>
    <w:qFormat/>
    <w:pPr>
      <w:suppressAutoHyphens/>
    </w:pPr>
    <w:rPr>
      <w:rFonts w:ascii="Times New Roman" w:hAnsi="Times New Roman"/>
      <w:sz w:val="24"/>
      <w:szCs w:val="24"/>
    </w:rPr>
  </w:style>
  <w:style w:type="paragraph" w:customStyle="1" w:styleId="Normal1000">
    <w:name w:val="Normal_1_0_0"/>
    <w:qFormat/>
    <w:pPr>
      <w:spacing w:line="190" w:lineRule="atLeast"/>
      <w:jc w:val="both"/>
    </w:pPr>
    <w:rPr>
      <w:rFonts w:ascii="Arial" w:hAnsi="Arial"/>
      <w:sz w:val="15"/>
      <w:szCs w:val="24"/>
    </w:rPr>
  </w:style>
  <w:style w:type="paragraph" w:customStyle="1" w:styleId="Normal400">
    <w:name w:val="Normal_4_0_0"/>
    <w:qFormat/>
    <w:rPr>
      <w:rFonts w:eastAsia="Calibri" w:cs="Arial"/>
    </w:rPr>
  </w:style>
  <w:style w:type="paragraph" w:customStyle="1" w:styleId="Title111">
    <w:name w:val="Title 1.1.1"/>
    <w:basedOn w:val="Notes0"/>
    <w:link w:val="Title111Char"/>
    <w:pPr>
      <w:numPr>
        <w:ilvl w:val="2"/>
        <w:numId w:val="62"/>
      </w:numPr>
      <w:tabs>
        <w:tab w:val="clear" w:pos="4320"/>
        <w:tab w:val="clear" w:pos="8640"/>
        <w:tab w:val="right" w:pos="-2700"/>
      </w:tabs>
      <w:spacing w:before="0" w:after="0"/>
    </w:pPr>
    <w:rPr>
      <w:b w:val="0"/>
      <w:szCs w:val="20"/>
    </w:rPr>
  </w:style>
  <w:style w:type="character" w:customStyle="1" w:styleId="Title111Char">
    <w:name w:val="Title 1.1.1 Char"/>
    <w:link w:val="Title111"/>
    <w:rPr>
      <w:rFonts w:ascii="Arial" w:hAnsi="Arial"/>
      <w:lang w:eastAsia="bg-BG"/>
    </w:rPr>
  </w:style>
  <w:style w:type="paragraph" w:customStyle="1" w:styleId="Normal91">
    <w:name w:val="Normal_9_1"/>
    <w:qFormat/>
    <w:pPr>
      <w:spacing w:line="190" w:lineRule="atLeast"/>
      <w:jc w:val="both"/>
    </w:pPr>
    <w:rPr>
      <w:rFonts w:ascii="Arial" w:hAnsi="Arial"/>
      <w:sz w:val="15"/>
      <w:szCs w:val="24"/>
    </w:rPr>
  </w:style>
  <w:style w:type="paragraph" w:customStyle="1" w:styleId="xx">
    <w:name w:val="xx"/>
    <w:basedOn w:val="Normal9"/>
    <w:pPr>
      <w:jc w:val="both"/>
    </w:pPr>
    <w:rPr>
      <w:rFonts w:ascii="Univers (WN)" w:hAnsi="Univers (WN)"/>
      <w:sz w:val="20"/>
      <w:szCs w:val="20"/>
    </w:rPr>
  </w:style>
  <w:style w:type="paragraph" w:customStyle="1" w:styleId="Header200">
    <w:name w:val="Header_2_0"/>
    <w:basedOn w:val="Normal50"/>
    <w:uiPriority w:val="99"/>
    <w:unhideWhenUsed/>
    <w:pPr>
      <w:tabs>
        <w:tab w:val="center" w:pos="4680"/>
        <w:tab w:val="right" w:pos="9360"/>
      </w:tabs>
    </w:pPr>
    <w:rPr>
      <w:rFonts w:ascii="Calibri" w:eastAsia="Calibri" w:hAnsi="Calibri" w:cs="Arial"/>
    </w:rPr>
  </w:style>
  <w:style w:type="paragraph" w:customStyle="1" w:styleId="Normal50">
    <w:name w:val="Normal_5_0"/>
    <w:qFormat/>
    <w:rPr>
      <w:rFonts w:ascii="Times New Roman" w:hAnsi="Times New Roman"/>
    </w:rPr>
  </w:style>
  <w:style w:type="character" w:customStyle="1" w:styleId="HeaderChar200">
    <w:name w:val="Header Char_2_0"/>
    <w:basedOn w:val="DefaultParagraphFont"/>
    <w:uiPriority w:val="99"/>
    <w:rPr>
      <w:rFonts w:eastAsia="Calibri" w:cs="Arial"/>
      <w:lang w:val="bg-BG" w:eastAsia="bg-BG"/>
    </w:rPr>
  </w:style>
  <w:style w:type="paragraph" w:customStyle="1" w:styleId="Header300">
    <w:name w:val="Header_3_0"/>
    <w:basedOn w:val="Normal60"/>
    <w:uiPriority w:val="99"/>
    <w:unhideWhenUsed/>
    <w:pPr>
      <w:tabs>
        <w:tab w:val="center" w:pos="4680"/>
        <w:tab w:val="right" w:pos="9360"/>
      </w:tabs>
    </w:pPr>
    <w:rPr>
      <w:rFonts w:ascii="Calibri" w:eastAsia="Calibri" w:hAnsi="Calibri" w:cs="Arial"/>
    </w:rPr>
  </w:style>
  <w:style w:type="paragraph" w:customStyle="1" w:styleId="Normal60">
    <w:name w:val="Normal_6_0"/>
    <w:qFormat/>
    <w:rPr>
      <w:rFonts w:ascii="Times New Roman" w:hAnsi="Times New Roman"/>
    </w:rPr>
  </w:style>
  <w:style w:type="character" w:customStyle="1" w:styleId="HeaderChar300">
    <w:name w:val="Header Char_3_0"/>
    <w:basedOn w:val="DefaultParagraphFont"/>
    <w:uiPriority w:val="99"/>
    <w:rPr>
      <w:rFonts w:eastAsia="Calibri" w:cs="Arial"/>
      <w:lang w:val="bg-BG" w:eastAsia="bg-BG"/>
    </w:rPr>
  </w:style>
  <w:style w:type="paragraph" w:customStyle="1" w:styleId="Normal70">
    <w:name w:val="Normal_7_0"/>
    <w:qFormat/>
    <w:rPr>
      <w:rFonts w:eastAsia="Calibri" w:cs="Arial"/>
    </w:rPr>
  </w:style>
  <w:style w:type="paragraph" w:customStyle="1" w:styleId="Title321">
    <w:name w:val="Title 3.2.1."/>
    <w:basedOn w:val="Notes5"/>
    <w:pPr>
      <w:numPr>
        <w:ilvl w:val="2"/>
        <w:numId w:val="78"/>
      </w:numPr>
      <w:tabs>
        <w:tab w:val="clear" w:pos="4320"/>
        <w:tab w:val="clear" w:pos="8640"/>
        <w:tab w:val="right" w:pos="-2700"/>
      </w:tabs>
      <w:spacing w:before="240"/>
    </w:pPr>
    <w:rPr>
      <w:szCs w:val="20"/>
    </w:rPr>
  </w:style>
  <w:style w:type="table" w:customStyle="1" w:styleId="CDMRange11">
    <w:name w:val="CDM Range 1_1"/>
    <w:basedOn w:val="TableNormal"/>
    <w:next w:val="TableNormal"/>
    <w:semiHidden/>
    <w:rPr>
      <w:rFonts w:ascii="Times New Roman" w:hAnsi="Times New Roman"/>
    </w:rPr>
    <w:tblPr/>
  </w:style>
  <w:style w:type="paragraph" w:customStyle="1" w:styleId="Listi">
    <w:name w:val="List i)"/>
    <w:basedOn w:val="Normal21"/>
    <w:next w:val="Normal21"/>
    <w:pPr>
      <w:keepNext/>
      <w:numPr>
        <w:numId w:val="82"/>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rPr>
  </w:style>
  <w:style w:type="paragraph" w:customStyle="1" w:styleId="Normal140">
    <w:name w:val="Normal_14_0"/>
    <w:qFormat/>
    <w:pPr>
      <w:suppressAutoHyphens/>
    </w:pPr>
    <w:rPr>
      <w:rFonts w:ascii="Times New Roman" w:hAnsi="Times New Roman"/>
      <w:sz w:val="24"/>
      <w:szCs w:val="24"/>
    </w:rPr>
  </w:style>
  <w:style w:type="paragraph" w:customStyle="1" w:styleId="Normal85">
    <w:name w:val="Normal_85"/>
    <w:qFormat/>
    <w:pPr>
      <w:spacing w:line="190" w:lineRule="atLeast"/>
      <w:jc w:val="both"/>
    </w:pPr>
    <w:rPr>
      <w:rFonts w:ascii="Arial" w:hAnsi="Arial"/>
      <w:sz w:val="15"/>
      <w:szCs w:val="24"/>
    </w:rPr>
  </w:style>
  <w:style w:type="paragraph" w:customStyle="1" w:styleId="Notes40">
    <w:name w:val="Notes_4_0"/>
    <w:basedOn w:val="Normal21"/>
    <w:pPr>
      <w:tabs>
        <w:tab w:val="num" w:pos="720"/>
        <w:tab w:val="center" w:pos="4320"/>
        <w:tab w:val="right" w:pos="8640"/>
      </w:tabs>
      <w:spacing w:before="120" w:after="120"/>
      <w:ind w:left="720" w:hanging="360"/>
      <w:jc w:val="both"/>
    </w:pPr>
    <w:rPr>
      <w:rFonts w:ascii="Arial" w:hAnsi="Arial" w:cs="Arial"/>
      <w:b/>
      <w:sz w:val="20"/>
    </w:rPr>
  </w:style>
  <w:style w:type="character" w:customStyle="1" w:styleId="NotesChar40">
    <w:name w:val="Notes Char_4_0"/>
    <w:locked/>
    <w:rPr>
      <w:rFonts w:ascii="Arial" w:hAnsi="Arial" w:cs="Arial"/>
      <w:b/>
      <w:szCs w:val="24"/>
      <w:lang w:val="bg-BG" w:eastAsia="bg-BG"/>
    </w:rPr>
  </w:style>
  <w:style w:type="table" w:customStyle="1" w:styleId="CDMRange21">
    <w:name w:val="CDM Range 2_1"/>
    <w:basedOn w:val="TableNormal"/>
    <w:next w:val="TableNormal"/>
    <w:semiHidden/>
    <w:rPr>
      <w:rFonts w:ascii="Times New Roman" w:hAnsi="Times New Roman"/>
    </w:rPr>
    <w:tblPr/>
  </w:style>
  <w:style w:type="table" w:customStyle="1" w:styleId="CDMRange12">
    <w:name w:val="CDM Range 1_2"/>
    <w:basedOn w:val="TableNormal"/>
    <w:next w:val="TableNormal"/>
    <w:semiHidden/>
    <w:rPr>
      <w:rFonts w:ascii="Times New Roman" w:hAnsi="Times New Roman"/>
    </w:rPr>
    <w:tblPr/>
  </w:style>
  <w:style w:type="table" w:customStyle="1" w:styleId="CDMRange22">
    <w:name w:val="CDM Range 2_2"/>
    <w:basedOn w:val="TableNormal"/>
    <w:next w:val="TableNormal"/>
    <w:semiHidden/>
    <w:rPr>
      <w:rFonts w:ascii="Times New Roman" w:hAnsi="Times New Roman"/>
    </w:rPr>
    <w:tblPr/>
  </w:style>
  <w:style w:type="table" w:customStyle="1" w:styleId="CDMRange13">
    <w:name w:val="CDM Range 1_3"/>
    <w:basedOn w:val="TableNormal"/>
    <w:next w:val="TableNormal"/>
    <w:semiHidden/>
    <w:rPr>
      <w:rFonts w:ascii="Times New Roman" w:hAnsi="Times New Roman"/>
    </w:rPr>
    <w:tblPr/>
  </w:style>
  <w:style w:type="paragraph" w:customStyle="1" w:styleId="Notes41">
    <w:name w:val="Notes_4_1"/>
    <w:basedOn w:val="Normal30"/>
    <w:pPr>
      <w:tabs>
        <w:tab w:val="num" w:pos="720"/>
        <w:tab w:val="center" w:pos="4320"/>
        <w:tab w:val="right" w:pos="8640"/>
      </w:tabs>
      <w:spacing w:before="120" w:after="120"/>
      <w:ind w:left="720" w:hanging="360"/>
      <w:jc w:val="both"/>
    </w:pPr>
    <w:rPr>
      <w:rFonts w:ascii="Arial" w:eastAsia="Calibri" w:hAnsi="Arial" w:cs="Arial"/>
      <w:b/>
      <w:sz w:val="20"/>
    </w:rPr>
  </w:style>
  <w:style w:type="character" w:customStyle="1" w:styleId="NotesChar41">
    <w:name w:val="Notes Char_4_1"/>
    <w:locked/>
    <w:rPr>
      <w:rFonts w:ascii="Arial" w:eastAsia="Calibri" w:hAnsi="Arial" w:cs="Arial"/>
      <w:b/>
      <w:szCs w:val="24"/>
      <w:lang w:val="bg-BG" w:eastAsia="bg-BG"/>
    </w:rPr>
  </w:style>
  <w:style w:type="table" w:customStyle="1" w:styleId="CDMRange23">
    <w:name w:val="CDM Range 2_3"/>
    <w:basedOn w:val="TableNormal"/>
    <w:next w:val="TableNormal"/>
    <w:semiHidden/>
    <w:rPr>
      <w:rFonts w:ascii="Times New Roman" w:hAnsi="Times New Roman"/>
    </w:rPr>
    <w:tblPr/>
  </w:style>
  <w:style w:type="table" w:customStyle="1" w:styleId="CDMRange14">
    <w:name w:val="CDM Range 1_4"/>
    <w:basedOn w:val="TableNormal"/>
    <w:next w:val="TableNormal"/>
    <w:semiHidden/>
    <w:rPr>
      <w:rFonts w:ascii="Times New Roman" w:hAnsi="Times New Roman"/>
    </w:rPr>
    <w:tblPr/>
  </w:style>
  <w:style w:type="paragraph" w:customStyle="1" w:styleId="Normal33">
    <w:name w:val="Normal_33"/>
    <w:qFormat/>
    <w:pPr>
      <w:suppressAutoHyphens/>
    </w:pPr>
    <w:rPr>
      <w:rFonts w:ascii="Times New Roman" w:hAnsi="Times New Roman"/>
      <w:sz w:val="24"/>
      <w:szCs w:val="24"/>
    </w:rPr>
  </w:style>
  <w:style w:type="paragraph" w:customStyle="1" w:styleId="Normal34">
    <w:name w:val="Normal_34"/>
    <w:qFormat/>
    <w:rPr>
      <w:rFonts w:ascii="Times New Roman" w:hAnsi="Times New Roman"/>
      <w:sz w:val="24"/>
      <w:szCs w:val="24"/>
    </w:rPr>
  </w:style>
  <w:style w:type="table" w:customStyle="1" w:styleId="CDMRange24">
    <w:name w:val="CDM Range 2_4"/>
    <w:basedOn w:val="TableNormal"/>
    <w:next w:val="TableNormal"/>
    <w:semiHidden/>
    <w:rPr>
      <w:rFonts w:ascii="Times New Roman" w:hAnsi="Times New Roman"/>
    </w:rPr>
    <w:tblPr/>
  </w:style>
  <w:style w:type="paragraph" w:customStyle="1" w:styleId="Normal35">
    <w:name w:val="Normal_35"/>
    <w:qFormat/>
    <w:pPr>
      <w:suppressAutoHyphens/>
    </w:pPr>
    <w:rPr>
      <w:rFonts w:ascii="Times New Roman" w:hAnsi="Times New Roman"/>
      <w:sz w:val="24"/>
      <w:szCs w:val="24"/>
    </w:rPr>
  </w:style>
  <w:style w:type="paragraph" w:customStyle="1" w:styleId="Normal250">
    <w:name w:val="Normal_25_0"/>
    <w:qFormat/>
    <w:pPr>
      <w:suppressAutoHyphens/>
    </w:pPr>
    <w:rPr>
      <w:rFonts w:ascii="Times New Roman" w:hAnsi="Times New Roman"/>
      <w:sz w:val="24"/>
      <w:szCs w:val="24"/>
    </w:rPr>
  </w:style>
  <w:style w:type="paragraph" w:customStyle="1" w:styleId="Normal36">
    <w:name w:val="Normal_36"/>
    <w:qFormat/>
    <w:rPr>
      <w:rFonts w:ascii="Times New Roman" w:hAnsi="Times New Roman"/>
      <w:sz w:val="24"/>
      <w:szCs w:val="24"/>
    </w:rPr>
  </w:style>
  <w:style w:type="table" w:customStyle="1" w:styleId="CDMRange15">
    <w:name w:val="CDM Range 1_5"/>
    <w:basedOn w:val="TableNormal"/>
    <w:next w:val="TableNormal"/>
    <w:semiHidden/>
    <w:rPr>
      <w:rFonts w:ascii="Times New Roman" w:hAnsi="Times New Roman"/>
    </w:rPr>
    <w:tblPr/>
  </w:style>
  <w:style w:type="paragraph" w:customStyle="1" w:styleId="Normal37">
    <w:name w:val="Normal_37"/>
    <w:qFormat/>
    <w:rPr>
      <w:rFonts w:ascii="Times New Roman" w:hAnsi="Times New Roman"/>
      <w:sz w:val="24"/>
      <w:szCs w:val="24"/>
    </w:rPr>
  </w:style>
  <w:style w:type="table" w:customStyle="1" w:styleId="CDMRange25">
    <w:name w:val="CDM Range 2_5"/>
    <w:basedOn w:val="TableNormal"/>
    <w:next w:val="TableNormal"/>
    <w:semiHidden/>
    <w:rPr>
      <w:rFonts w:ascii="Times New Roman" w:hAnsi="Times New Roman"/>
    </w:rPr>
    <w:tblPr/>
  </w:style>
  <w:style w:type="paragraph" w:customStyle="1" w:styleId="Normal38">
    <w:name w:val="Normal_38"/>
    <w:qFormat/>
    <w:pPr>
      <w:suppressAutoHyphens/>
    </w:pPr>
    <w:rPr>
      <w:rFonts w:ascii="Times New Roman" w:hAnsi="Times New Roman"/>
      <w:sz w:val="24"/>
      <w:szCs w:val="24"/>
    </w:rPr>
  </w:style>
  <w:style w:type="paragraph" w:customStyle="1" w:styleId="Normal39">
    <w:name w:val="Normal_39"/>
    <w:qFormat/>
    <w:rPr>
      <w:rFonts w:ascii="Times New Roman" w:hAnsi="Times New Roman"/>
      <w:sz w:val="24"/>
      <w:szCs w:val="24"/>
    </w:rPr>
  </w:style>
  <w:style w:type="table" w:customStyle="1" w:styleId="CDMRange16">
    <w:name w:val="CDM Range 1_6"/>
    <w:basedOn w:val="TableNormal"/>
    <w:next w:val="TableNormal"/>
    <w:semiHidden/>
    <w:rPr>
      <w:rFonts w:ascii="Times New Roman" w:hAnsi="Times New Roman"/>
    </w:rPr>
    <w:tblPr/>
  </w:style>
  <w:style w:type="paragraph" w:customStyle="1" w:styleId="Normal401">
    <w:name w:val="Normal_40"/>
    <w:qFormat/>
    <w:pPr>
      <w:suppressAutoHyphens/>
    </w:pPr>
    <w:rPr>
      <w:rFonts w:ascii="Times New Roman" w:hAnsi="Times New Roman"/>
      <w:sz w:val="24"/>
      <w:szCs w:val="24"/>
    </w:rPr>
  </w:style>
  <w:style w:type="paragraph" w:customStyle="1" w:styleId="Normal41">
    <w:name w:val="Normal_41"/>
    <w:qFormat/>
    <w:pPr>
      <w:suppressAutoHyphens/>
    </w:pPr>
    <w:rPr>
      <w:rFonts w:ascii="Times New Roman" w:hAnsi="Times New Roman"/>
      <w:sz w:val="24"/>
      <w:szCs w:val="24"/>
    </w:rPr>
  </w:style>
  <w:style w:type="paragraph" w:customStyle="1" w:styleId="Normal42">
    <w:name w:val="Normal_42"/>
    <w:qFormat/>
    <w:rPr>
      <w:rFonts w:ascii="Times New Roman" w:hAnsi="Times New Roman"/>
      <w:sz w:val="24"/>
      <w:szCs w:val="24"/>
    </w:rPr>
  </w:style>
  <w:style w:type="table" w:customStyle="1" w:styleId="CDMRange26">
    <w:name w:val="CDM Range 2_6"/>
    <w:basedOn w:val="TableNormal"/>
    <w:next w:val="TableNormal"/>
    <w:semiHidden/>
    <w:rPr>
      <w:rFonts w:ascii="Times New Roman" w:hAnsi="Times New Roman"/>
    </w:rPr>
    <w:tblPr/>
  </w:style>
  <w:style w:type="paragraph" w:customStyle="1" w:styleId="Normal43">
    <w:name w:val="Normal_43"/>
    <w:qFormat/>
    <w:pPr>
      <w:suppressAutoHyphens/>
    </w:pPr>
    <w:rPr>
      <w:rFonts w:ascii="Times New Roman" w:hAnsi="Times New Roman"/>
      <w:sz w:val="24"/>
      <w:szCs w:val="24"/>
    </w:rPr>
  </w:style>
  <w:style w:type="paragraph" w:customStyle="1" w:styleId="Normal44">
    <w:name w:val="Normal_44"/>
    <w:qFormat/>
    <w:pPr>
      <w:suppressAutoHyphens/>
    </w:pPr>
    <w:rPr>
      <w:rFonts w:ascii="Times New Roman" w:hAnsi="Times New Roman"/>
      <w:sz w:val="24"/>
      <w:szCs w:val="24"/>
    </w:rPr>
  </w:style>
  <w:style w:type="paragraph" w:customStyle="1" w:styleId="Normal45">
    <w:name w:val="Normal_45"/>
    <w:qFormat/>
    <w:rPr>
      <w:rFonts w:ascii="Times New Roman" w:hAnsi="Times New Roman"/>
      <w:sz w:val="24"/>
      <w:szCs w:val="24"/>
    </w:rPr>
  </w:style>
  <w:style w:type="table" w:customStyle="1" w:styleId="CDMRange17">
    <w:name w:val="CDM Range 1_7"/>
    <w:basedOn w:val="TableNormal"/>
    <w:next w:val="TableNormal"/>
    <w:semiHidden/>
    <w:rPr>
      <w:rFonts w:ascii="Times New Roman" w:hAnsi="Times New Roman"/>
    </w:rPr>
    <w:tblPr/>
  </w:style>
  <w:style w:type="paragraph" w:customStyle="1" w:styleId="Normal46">
    <w:name w:val="Normal_46"/>
    <w:qFormat/>
    <w:pPr>
      <w:suppressAutoHyphens/>
    </w:pPr>
    <w:rPr>
      <w:rFonts w:ascii="Times New Roman" w:hAnsi="Times New Roman"/>
      <w:sz w:val="24"/>
      <w:szCs w:val="24"/>
    </w:rPr>
  </w:style>
  <w:style w:type="paragraph" w:customStyle="1" w:styleId="Normal47">
    <w:name w:val="Normal_47"/>
    <w:qFormat/>
    <w:rPr>
      <w:rFonts w:ascii="Times New Roman" w:hAnsi="Times New Roman"/>
      <w:sz w:val="24"/>
      <w:szCs w:val="24"/>
    </w:rPr>
  </w:style>
  <w:style w:type="table" w:customStyle="1" w:styleId="CDMRange27">
    <w:name w:val="CDM Range 2_7"/>
    <w:basedOn w:val="TableNormal"/>
    <w:next w:val="TableNormal"/>
    <w:semiHidden/>
    <w:rPr>
      <w:rFonts w:ascii="Times New Roman" w:hAnsi="Times New Roman"/>
    </w:rPr>
    <w:tblPr/>
  </w:style>
  <w:style w:type="paragraph" w:customStyle="1" w:styleId="Normal48">
    <w:name w:val="Normal_48"/>
    <w:qFormat/>
    <w:rPr>
      <w:rFonts w:ascii="Times New Roman" w:hAnsi="Times New Roman"/>
      <w:sz w:val="24"/>
      <w:szCs w:val="24"/>
    </w:rPr>
  </w:style>
  <w:style w:type="table" w:customStyle="1" w:styleId="CDMRange18">
    <w:name w:val="CDM Range 1_8"/>
    <w:basedOn w:val="TableNormal"/>
    <w:next w:val="TableNormal"/>
    <w:semiHidden/>
    <w:rPr>
      <w:rFonts w:ascii="Times New Roman" w:hAnsi="Times New Roman"/>
    </w:rPr>
    <w:tblPr/>
  </w:style>
  <w:style w:type="paragraph" w:customStyle="1" w:styleId="Header22">
    <w:name w:val="Header_22"/>
    <w:basedOn w:val="Normal49"/>
    <w:pPr>
      <w:tabs>
        <w:tab w:val="center" w:pos="4153"/>
        <w:tab w:val="right" w:pos="8306"/>
      </w:tabs>
    </w:pPr>
  </w:style>
  <w:style w:type="paragraph" w:customStyle="1" w:styleId="Normal49">
    <w:name w:val="Normal_49"/>
    <w:qFormat/>
    <w:pPr>
      <w:suppressAutoHyphens/>
    </w:pPr>
    <w:rPr>
      <w:rFonts w:ascii="Times New Roman" w:hAnsi="Times New Roman"/>
      <w:sz w:val="24"/>
      <w:szCs w:val="24"/>
    </w:rPr>
  </w:style>
  <w:style w:type="character" w:customStyle="1" w:styleId="HeaderChar22">
    <w:name w:val="Header Char_22"/>
    <w:rPr>
      <w:rFonts w:ascii="Times New Roman" w:hAnsi="Times New Roman"/>
      <w:sz w:val="24"/>
      <w:szCs w:val="24"/>
      <w:lang w:eastAsia="bg-BG"/>
    </w:rPr>
  </w:style>
  <w:style w:type="paragraph" w:customStyle="1" w:styleId="Normal500">
    <w:name w:val="Normal_50"/>
    <w:qFormat/>
    <w:rPr>
      <w:rFonts w:ascii="Times New Roman" w:hAnsi="Times New Roman"/>
      <w:sz w:val="24"/>
      <w:szCs w:val="24"/>
    </w:rPr>
  </w:style>
  <w:style w:type="table" w:customStyle="1" w:styleId="CDMRange28">
    <w:name w:val="CDM Range 2_8"/>
    <w:basedOn w:val="TableNormal"/>
    <w:next w:val="TableNormal"/>
    <w:semiHidden/>
    <w:rPr>
      <w:rFonts w:ascii="Times New Roman" w:hAnsi="Times New Roman"/>
    </w:rPr>
    <w:tblPr/>
  </w:style>
  <w:style w:type="paragraph" w:customStyle="1" w:styleId="Normal51">
    <w:name w:val="Normal_51"/>
    <w:qFormat/>
    <w:pPr>
      <w:suppressAutoHyphens/>
    </w:pPr>
    <w:rPr>
      <w:rFonts w:ascii="Times New Roman" w:hAnsi="Times New Roman"/>
      <w:sz w:val="24"/>
      <w:szCs w:val="24"/>
    </w:rPr>
  </w:style>
  <w:style w:type="paragraph" w:customStyle="1" w:styleId="Header23">
    <w:name w:val="Header_23"/>
    <w:basedOn w:val="Normal51"/>
    <w:pPr>
      <w:tabs>
        <w:tab w:val="center" w:pos="4153"/>
        <w:tab w:val="right" w:pos="8306"/>
      </w:tabs>
    </w:pPr>
  </w:style>
  <w:style w:type="character" w:customStyle="1" w:styleId="HeaderChar23">
    <w:name w:val="Header Char_23"/>
    <w:rPr>
      <w:rFonts w:ascii="Times New Roman" w:hAnsi="Times New Roman"/>
      <w:sz w:val="24"/>
      <w:szCs w:val="24"/>
      <w:lang w:eastAsia="bg-BG"/>
    </w:rPr>
  </w:style>
  <w:style w:type="paragraph" w:customStyle="1" w:styleId="Normal52">
    <w:name w:val="Normal_52"/>
    <w:qFormat/>
    <w:rPr>
      <w:rFonts w:ascii="Times New Roman" w:hAnsi="Times New Roman"/>
      <w:sz w:val="24"/>
      <w:szCs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53">
    <w:name w:val="Normal_53"/>
    <w:qFormat/>
    <w:pPr>
      <w:suppressAutoHyphens/>
    </w:pPr>
    <w:rPr>
      <w:rFonts w:ascii="Times New Roman" w:hAnsi="Times New Roman"/>
      <w:sz w:val="24"/>
      <w:szCs w:val="24"/>
    </w:rPr>
  </w:style>
  <w:style w:type="paragraph" w:customStyle="1" w:styleId="Normal54">
    <w:name w:val="Normal_54"/>
    <w:qFormat/>
    <w:pPr>
      <w:suppressAutoHyphens/>
    </w:pPr>
    <w:rPr>
      <w:rFonts w:ascii="Times New Roman" w:hAnsi="Times New Roman"/>
      <w:sz w:val="24"/>
      <w:szCs w:val="24"/>
    </w:rPr>
  </w:style>
  <w:style w:type="paragraph" w:customStyle="1" w:styleId="Notes210">
    <w:name w:val="Notes_21_0"/>
    <w:basedOn w:val="Normal54"/>
    <w:pPr>
      <w:tabs>
        <w:tab w:val="num" w:pos="720"/>
        <w:tab w:val="center" w:pos="4320"/>
        <w:tab w:val="right" w:pos="8640"/>
      </w:tabs>
      <w:spacing w:before="120" w:after="120"/>
      <w:ind w:left="720" w:hanging="360"/>
      <w:jc w:val="both"/>
    </w:pPr>
    <w:rPr>
      <w:rFonts w:ascii="Arial" w:hAnsi="Arial"/>
      <w:b/>
      <w:sz w:val="20"/>
    </w:rPr>
  </w:style>
  <w:style w:type="character" w:customStyle="1" w:styleId="NotesChar210">
    <w:name w:val="Notes Char_21_0"/>
    <w:locked/>
    <w:rPr>
      <w:rFonts w:ascii="Arial" w:hAnsi="Arial"/>
      <w:b/>
      <w:szCs w:val="24"/>
      <w:lang w:eastAsia="bg-BG"/>
    </w:rPr>
  </w:style>
  <w:style w:type="paragraph" w:customStyle="1" w:styleId="Normal160">
    <w:name w:val="Normal_16_0"/>
    <w:qFormat/>
    <w:rPr>
      <w:rFonts w:ascii="Times New Roman" w:hAnsi="Times New Roman"/>
      <w:sz w:val="24"/>
      <w:szCs w:val="24"/>
    </w:rPr>
  </w:style>
  <w:style w:type="paragraph" w:customStyle="1" w:styleId="Normal55">
    <w:name w:val="Normal_55"/>
    <w:qFormat/>
    <w:rPr>
      <w:rFonts w:ascii="Times New Roman" w:hAnsi="Times New Roman"/>
      <w:sz w:val="24"/>
      <w:szCs w:val="24"/>
    </w:rPr>
  </w:style>
  <w:style w:type="table" w:customStyle="1" w:styleId="CDMRange29">
    <w:name w:val="CDM Range 2_9"/>
    <w:basedOn w:val="TableNormal"/>
    <w:next w:val="TableNormal"/>
    <w:semiHidden/>
    <w:rPr>
      <w:rFonts w:ascii="Times New Roman" w:hAnsi="Times New Roman"/>
    </w:rPr>
    <w:tblPr/>
  </w:style>
  <w:style w:type="paragraph" w:customStyle="1" w:styleId="Normal56">
    <w:name w:val="Normal_56"/>
    <w:qFormat/>
    <w:rPr>
      <w:rFonts w:ascii="Times New Roman" w:hAnsi="Times New Roman"/>
      <w:sz w:val="24"/>
      <w:szCs w:val="24"/>
    </w:rPr>
  </w:style>
  <w:style w:type="table" w:customStyle="1" w:styleId="CDMRange110">
    <w:name w:val="CDM Range 1_10"/>
    <w:basedOn w:val="TableNormal"/>
    <w:next w:val="TableNormal"/>
    <w:semiHidden/>
    <w:rPr>
      <w:rFonts w:ascii="Times New Roman" w:hAnsi="Times New Roman"/>
    </w:rPr>
    <w:tblPr/>
  </w:style>
  <w:style w:type="paragraph" w:customStyle="1" w:styleId="Normal57">
    <w:name w:val="Normal_57"/>
    <w:qFormat/>
    <w:pPr>
      <w:suppressAutoHyphens/>
    </w:pPr>
    <w:rPr>
      <w:rFonts w:ascii="Times New Roman" w:hAnsi="Times New Roman"/>
      <w:sz w:val="24"/>
      <w:szCs w:val="24"/>
    </w:rPr>
  </w:style>
  <w:style w:type="paragraph" w:customStyle="1" w:styleId="Normal58">
    <w:name w:val="Normal_58"/>
    <w:qFormat/>
    <w:pPr>
      <w:suppressAutoHyphens/>
    </w:pPr>
    <w:rPr>
      <w:rFonts w:ascii="Times New Roman" w:hAnsi="Times New Roman"/>
      <w:sz w:val="24"/>
      <w:szCs w:val="24"/>
    </w:rPr>
  </w:style>
  <w:style w:type="paragraph" w:customStyle="1" w:styleId="Normal59">
    <w:name w:val="Normal_59"/>
    <w:qFormat/>
    <w:rPr>
      <w:rFonts w:ascii="Times New Roman" w:hAnsi="Times New Roman"/>
      <w:sz w:val="24"/>
      <w:szCs w:val="24"/>
    </w:rPr>
  </w:style>
  <w:style w:type="table" w:customStyle="1" w:styleId="CDMRange210">
    <w:name w:val="CDM Range 2_10"/>
    <w:basedOn w:val="TableNormal"/>
    <w:next w:val="TableNormal"/>
    <w:semiHidden/>
    <w:rPr>
      <w:rFonts w:ascii="Times New Roman" w:hAnsi="Times New Roman"/>
    </w:rPr>
    <w:tblPr/>
  </w:style>
  <w:style w:type="paragraph" w:customStyle="1" w:styleId="Normal600">
    <w:name w:val="Normal_60"/>
    <w:qFormat/>
    <w:pPr>
      <w:suppressAutoHyphens/>
    </w:pPr>
    <w:rPr>
      <w:rFonts w:ascii="Times New Roman" w:hAnsi="Times New Roman"/>
      <w:sz w:val="24"/>
      <w:szCs w:val="24"/>
    </w:rPr>
  </w:style>
  <w:style w:type="paragraph" w:customStyle="1" w:styleId="Normal61">
    <w:name w:val="Normal_61"/>
    <w:qFormat/>
    <w:rPr>
      <w:rFonts w:ascii="Times New Roman" w:hAnsi="Times New Roman"/>
      <w:sz w:val="24"/>
      <w:szCs w:val="24"/>
    </w:rPr>
  </w:style>
  <w:style w:type="table" w:customStyle="1" w:styleId="CDMRange111">
    <w:name w:val="CDM Range 1_11"/>
    <w:basedOn w:val="TableNormal"/>
    <w:next w:val="TableNormal"/>
    <w:semiHidden/>
    <w:rPr>
      <w:rFonts w:ascii="Times New Roman" w:hAnsi="Times New Roman"/>
    </w:rPr>
    <w:tblPr/>
  </w:style>
  <w:style w:type="paragraph" w:customStyle="1" w:styleId="Normal62">
    <w:name w:val="Normal_62"/>
    <w:qFormat/>
    <w:rPr>
      <w:rFonts w:ascii="Times New Roman" w:hAnsi="Times New Roman"/>
      <w:sz w:val="24"/>
      <w:szCs w:val="24"/>
    </w:rPr>
  </w:style>
  <w:style w:type="table" w:customStyle="1" w:styleId="CDMRange211">
    <w:name w:val="CDM Range 2_11"/>
    <w:basedOn w:val="TableNormal"/>
    <w:next w:val="TableNormal"/>
    <w:semiHidden/>
    <w:rPr>
      <w:rFonts w:ascii="Times New Roman" w:hAnsi="Times New Roman"/>
    </w:rPr>
    <w:tblPr/>
  </w:style>
  <w:style w:type="paragraph" w:customStyle="1" w:styleId="Normal63">
    <w:name w:val="Normal_63"/>
    <w:qFormat/>
    <w:pPr>
      <w:suppressAutoHyphens/>
    </w:pPr>
    <w:rPr>
      <w:rFonts w:ascii="Times New Roman" w:hAnsi="Times New Roman"/>
      <w:sz w:val="24"/>
      <w:szCs w:val="24"/>
    </w:rPr>
  </w:style>
  <w:style w:type="paragraph" w:customStyle="1" w:styleId="Normal550">
    <w:name w:val="Normal_55_0"/>
    <w:qFormat/>
    <w:pPr>
      <w:suppressAutoHyphens/>
    </w:pPr>
    <w:rPr>
      <w:rFonts w:ascii="Times New Roman" w:hAnsi="Times New Roman"/>
      <w:sz w:val="24"/>
      <w:szCs w:val="24"/>
    </w:rPr>
  </w:style>
  <w:style w:type="paragraph" w:customStyle="1" w:styleId="Header01">
    <w:name w:val="Header_0_1"/>
    <w:basedOn w:val="Normal03"/>
    <w:uiPriority w:val="99"/>
    <w:unhideWhenUsed/>
    <w:pPr>
      <w:tabs>
        <w:tab w:val="center" w:pos="4680"/>
        <w:tab w:val="right" w:pos="9360"/>
      </w:tabs>
    </w:pPr>
    <w:rPr>
      <w:rFonts w:ascii="Calibri" w:eastAsia="Calibri" w:hAnsi="Calibri" w:cs="Arial"/>
    </w:rPr>
  </w:style>
  <w:style w:type="paragraph" w:customStyle="1" w:styleId="Normal03">
    <w:name w:val="Normal_0_3"/>
    <w:qFormat/>
    <w:rPr>
      <w:rFonts w:ascii="Times New Roman" w:hAnsi="Times New Roman"/>
    </w:rPr>
  </w:style>
  <w:style w:type="character" w:customStyle="1" w:styleId="HeaderChar01">
    <w:name w:val="Header Char_0_1"/>
    <w:basedOn w:val="DefaultParagraphFont"/>
    <w:uiPriority w:val="99"/>
    <w:rPr>
      <w:rFonts w:eastAsia="Calibri" w:cs="Arial"/>
      <w:lang w:val="bg-BG" w:eastAsia="bg-BG"/>
    </w:rPr>
  </w:style>
  <w:style w:type="paragraph" w:customStyle="1" w:styleId="Header110">
    <w:name w:val="Header_1_1"/>
    <w:basedOn w:val="Normal210"/>
    <w:uiPriority w:val="99"/>
    <w:unhideWhenUsed/>
    <w:pPr>
      <w:tabs>
        <w:tab w:val="center" w:pos="4680"/>
        <w:tab w:val="right" w:pos="9360"/>
      </w:tabs>
    </w:pPr>
    <w:rPr>
      <w:rFonts w:ascii="Calibri" w:eastAsia="Calibri" w:hAnsi="Calibri" w:cs="Arial"/>
    </w:rPr>
  </w:style>
  <w:style w:type="paragraph" w:customStyle="1" w:styleId="Normal210">
    <w:name w:val="Normal_2_1"/>
    <w:qFormat/>
    <w:rPr>
      <w:rFonts w:ascii="Times New Roman" w:hAnsi="Times New Roman"/>
    </w:rPr>
  </w:style>
  <w:style w:type="character" w:customStyle="1" w:styleId="HeaderChar110">
    <w:name w:val="Header Char_1_1"/>
    <w:basedOn w:val="DefaultParagraphFont"/>
    <w:uiPriority w:val="99"/>
    <w:rPr>
      <w:rFonts w:eastAsia="Calibri" w:cs="Arial"/>
      <w:lang w:val="bg-BG" w:eastAsia="bg-BG"/>
    </w:rPr>
  </w:style>
  <w:style w:type="paragraph" w:customStyle="1" w:styleId="Normal310">
    <w:name w:val="Normal_3_1"/>
    <w:qFormat/>
    <w:rPr>
      <w:rFonts w:eastAsia="Calibri" w:cs="Arial"/>
    </w:rPr>
  </w:style>
  <w:style w:type="paragraph" w:customStyle="1" w:styleId="Normal410">
    <w:name w:val="Normal_4_1"/>
    <w:qFormat/>
    <w:rPr>
      <w:rFonts w:eastAsia="Calibri" w:cs="Arial"/>
    </w:rPr>
  </w:style>
  <w:style w:type="paragraph" w:customStyle="1" w:styleId="Normal64">
    <w:name w:val="Normal_64"/>
    <w:qFormat/>
    <w:pPr>
      <w:suppressAutoHyphens/>
    </w:pPr>
    <w:rPr>
      <w:rFonts w:ascii="Times New Roman" w:hAnsi="Times New Roman"/>
      <w:sz w:val="24"/>
      <w:szCs w:val="24"/>
    </w:rPr>
  </w:style>
  <w:style w:type="paragraph" w:customStyle="1" w:styleId="Normal65">
    <w:name w:val="Normal_65"/>
    <w:qFormat/>
    <w:rPr>
      <w:rFonts w:ascii="Times New Roman" w:hAnsi="Times New Roman"/>
      <w:sz w:val="24"/>
      <w:szCs w:val="24"/>
    </w:rPr>
  </w:style>
  <w:style w:type="table" w:customStyle="1" w:styleId="CDMRange112">
    <w:name w:val="CDM Range 1_12"/>
    <w:basedOn w:val="TableNormal"/>
    <w:next w:val="TableNormal"/>
    <w:semiHidden/>
    <w:rPr>
      <w:rFonts w:ascii="Times New Roman" w:hAnsi="Times New Roman"/>
    </w:rPr>
    <w:tblPr/>
  </w:style>
  <w:style w:type="paragraph" w:customStyle="1" w:styleId="Normal66">
    <w:name w:val="Normal_66"/>
    <w:qFormat/>
    <w:rPr>
      <w:rFonts w:ascii="Times New Roman" w:hAnsi="Times New Roman"/>
      <w:sz w:val="24"/>
      <w:szCs w:val="24"/>
    </w:rPr>
  </w:style>
  <w:style w:type="table" w:customStyle="1" w:styleId="CDMRange212">
    <w:name w:val="CDM Range 2_12"/>
    <w:basedOn w:val="TableNormal"/>
    <w:next w:val="TableNormal"/>
    <w:semiHidden/>
    <w:rPr>
      <w:rFonts w:ascii="Times New Roman" w:hAnsi="Times New Roman"/>
    </w:rPr>
    <w:tblPr/>
  </w:style>
  <w:style w:type="paragraph" w:customStyle="1" w:styleId="Normal67">
    <w:name w:val="Normal_67"/>
    <w:qFormat/>
    <w:rPr>
      <w:rFonts w:ascii="Times New Roman" w:hAnsi="Times New Roman"/>
      <w:sz w:val="24"/>
      <w:szCs w:val="24"/>
    </w:rPr>
  </w:style>
  <w:style w:type="table" w:customStyle="1" w:styleId="CDMRange113">
    <w:name w:val="CDM Range 1_13"/>
    <w:basedOn w:val="TableNormal"/>
    <w:next w:val="TableNormal"/>
    <w:semiHidden/>
    <w:rPr>
      <w:rFonts w:ascii="Times New Roman" w:hAnsi="Times New Roman"/>
    </w:rPr>
    <w:tblPr/>
  </w:style>
  <w:style w:type="paragraph" w:customStyle="1" w:styleId="Normal68">
    <w:name w:val="Normal_68"/>
    <w:qFormat/>
    <w:rPr>
      <w:rFonts w:ascii="Times New Roman" w:hAnsi="Times New Roman"/>
      <w:sz w:val="24"/>
      <w:szCs w:val="24"/>
    </w:rPr>
  </w:style>
  <w:style w:type="table" w:customStyle="1" w:styleId="CDMRange213">
    <w:name w:val="CDM Range 2_13"/>
    <w:basedOn w:val="TableNormal"/>
    <w:next w:val="TableNormal"/>
    <w:semiHidden/>
    <w:rPr>
      <w:rFonts w:ascii="Times New Roman" w:hAnsi="Times New Roman"/>
    </w:rPr>
    <w:tblPr/>
  </w:style>
  <w:style w:type="paragraph" w:customStyle="1" w:styleId="Normal69">
    <w:name w:val="Normal_69"/>
    <w:qFormat/>
    <w:pPr>
      <w:suppressAutoHyphens/>
    </w:pPr>
    <w:rPr>
      <w:rFonts w:ascii="Times New Roman" w:hAnsi="Times New Roman"/>
      <w:sz w:val="24"/>
      <w:szCs w:val="24"/>
    </w:rPr>
  </w:style>
  <w:style w:type="paragraph" w:customStyle="1" w:styleId="Normal700">
    <w:name w:val="Normal_70"/>
    <w:qFormat/>
    <w:rPr>
      <w:rFonts w:ascii="Times New Roman" w:hAnsi="Times New Roman"/>
      <w:sz w:val="24"/>
      <w:szCs w:val="24"/>
    </w:rPr>
  </w:style>
  <w:style w:type="table" w:customStyle="1" w:styleId="CDMRange114">
    <w:name w:val="CDM Range 1_14"/>
    <w:basedOn w:val="TableNormal"/>
    <w:next w:val="TableNormal"/>
    <w:semiHidden/>
    <w:rPr>
      <w:rFonts w:ascii="Times New Roman" w:hAnsi="Times New Roman"/>
    </w:rPr>
    <w:tblPr/>
  </w:style>
  <w:style w:type="paragraph" w:customStyle="1" w:styleId="Normal71">
    <w:name w:val="Normal_71"/>
    <w:qFormat/>
    <w:rPr>
      <w:rFonts w:ascii="Times New Roman" w:hAnsi="Times New Roman"/>
      <w:sz w:val="24"/>
      <w:szCs w:val="24"/>
    </w:rPr>
  </w:style>
  <w:style w:type="table" w:customStyle="1" w:styleId="CDMRange214">
    <w:name w:val="CDM Range 2_14"/>
    <w:basedOn w:val="TableNormal"/>
    <w:next w:val="TableNormal"/>
    <w:semiHidden/>
    <w:rPr>
      <w:rFonts w:ascii="Times New Roman" w:hAnsi="Times New Roman"/>
    </w:rPr>
    <w:tblPr/>
  </w:style>
  <w:style w:type="paragraph" w:customStyle="1" w:styleId="Normal72">
    <w:name w:val="Normal_72"/>
    <w:qFormat/>
    <w:rPr>
      <w:rFonts w:ascii="Times New Roman" w:hAnsi="Times New Roman"/>
      <w:sz w:val="24"/>
      <w:szCs w:val="24"/>
    </w:rPr>
  </w:style>
  <w:style w:type="table" w:customStyle="1" w:styleId="CDMRange115">
    <w:name w:val="CDM Range 1_15"/>
    <w:basedOn w:val="TableNormal"/>
    <w:next w:val="TableNormal"/>
    <w:semiHidden/>
    <w:rPr>
      <w:rFonts w:ascii="Times New Roman" w:hAnsi="Times New Roman"/>
    </w:rPr>
    <w:tblPr/>
  </w:style>
  <w:style w:type="paragraph" w:customStyle="1" w:styleId="Normal73">
    <w:name w:val="Normal_73"/>
    <w:qFormat/>
    <w:rPr>
      <w:rFonts w:ascii="Times New Roman" w:hAnsi="Times New Roman"/>
      <w:sz w:val="24"/>
      <w:szCs w:val="24"/>
    </w:rPr>
  </w:style>
  <w:style w:type="table" w:customStyle="1" w:styleId="CDMRange215">
    <w:name w:val="CDM Range 2_15"/>
    <w:basedOn w:val="TableNormal"/>
    <w:next w:val="TableNormal"/>
    <w:semiHidden/>
    <w:rPr>
      <w:rFonts w:ascii="Times New Roman" w:hAnsi="Times New Roman"/>
    </w:rPr>
    <w:tblPr/>
  </w:style>
  <w:style w:type="paragraph" w:customStyle="1" w:styleId="Normal74">
    <w:name w:val="Normal_74"/>
    <w:qFormat/>
    <w:rPr>
      <w:rFonts w:ascii="Times New Roman" w:hAnsi="Times New Roman"/>
      <w:sz w:val="24"/>
      <w:szCs w:val="24"/>
    </w:rPr>
  </w:style>
  <w:style w:type="table" w:customStyle="1" w:styleId="CDMRange116">
    <w:name w:val="CDM Range 1_16"/>
    <w:basedOn w:val="TableNormal"/>
    <w:next w:val="TableNormal"/>
    <w:semiHidden/>
    <w:rPr>
      <w:rFonts w:ascii="Times New Roman" w:hAnsi="Times New Roman"/>
    </w:rPr>
    <w:tblPr/>
  </w:style>
  <w:style w:type="paragraph" w:customStyle="1" w:styleId="Normal75">
    <w:name w:val="Normal_75"/>
    <w:qFormat/>
    <w:rPr>
      <w:rFonts w:ascii="Times New Roman" w:hAnsi="Times New Roman"/>
      <w:sz w:val="24"/>
      <w:szCs w:val="24"/>
    </w:rPr>
  </w:style>
  <w:style w:type="table" w:customStyle="1" w:styleId="CDMRange216">
    <w:name w:val="CDM Range 2_16"/>
    <w:basedOn w:val="TableNormal"/>
    <w:next w:val="TableNormal"/>
    <w:semiHidden/>
    <w:rPr>
      <w:rFonts w:ascii="Times New Roman" w:hAnsi="Times New Roman"/>
    </w:rPr>
    <w:tblPr/>
  </w:style>
  <w:style w:type="paragraph" w:customStyle="1" w:styleId="Normal76">
    <w:name w:val="Normal_76"/>
    <w:qFormat/>
    <w:rPr>
      <w:rFonts w:ascii="Times New Roman" w:hAnsi="Times New Roman"/>
      <w:sz w:val="24"/>
      <w:szCs w:val="24"/>
    </w:rPr>
  </w:style>
  <w:style w:type="table" w:customStyle="1" w:styleId="CDMRange117">
    <w:name w:val="CDM Range 1_17"/>
    <w:basedOn w:val="TableNormal"/>
    <w:next w:val="TableNormal"/>
    <w:semiHidden/>
    <w:rPr>
      <w:rFonts w:ascii="Times New Roman" w:hAnsi="Times New Roman"/>
    </w:rPr>
    <w:tblPr/>
  </w:style>
  <w:style w:type="paragraph" w:customStyle="1" w:styleId="Normal77">
    <w:name w:val="Normal_77"/>
    <w:qFormat/>
    <w:rPr>
      <w:rFonts w:ascii="Times New Roman" w:hAnsi="Times New Roman"/>
      <w:sz w:val="24"/>
      <w:szCs w:val="24"/>
    </w:rPr>
  </w:style>
  <w:style w:type="table" w:customStyle="1" w:styleId="CDMRange217">
    <w:name w:val="CDM Range 2_17"/>
    <w:basedOn w:val="TableNormal"/>
    <w:next w:val="TableNormal"/>
    <w:semiHidden/>
    <w:rPr>
      <w:rFonts w:ascii="Times New Roman" w:hAnsi="Times New Roman"/>
    </w:rPr>
    <w:tblPr/>
  </w:style>
  <w:style w:type="paragraph" w:customStyle="1" w:styleId="Normal78">
    <w:name w:val="Normal_78"/>
    <w:qFormat/>
    <w:rPr>
      <w:rFonts w:ascii="Times New Roman" w:hAnsi="Times New Roman"/>
      <w:sz w:val="24"/>
      <w:szCs w:val="24"/>
    </w:rPr>
  </w:style>
  <w:style w:type="table" w:customStyle="1" w:styleId="CDMRange118">
    <w:name w:val="CDM Range 1_18"/>
    <w:basedOn w:val="TableNormal"/>
    <w:next w:val="TableNormal"/>
    <w:semiHidden/>
    <w:rPr>
      <w:rFonts w:ascii="Times New Roman" w:hAnsi="Times New Roman"/>
    </w:rPr>
    <w:tblPr/>
  </w:style>
  <w:style w:type="paragraph" w:customStyle="1" w:styleId="Normal79">
    <w:name w:val="Normal_79"/>
    <w:qFormat/>
    <w:rPr>
      <w:rFonts w:ascii="Times New Roman" w:hAnsi="Times New Roman"/>
      <w:sz w:val="24"/>
      <w:szCs w:val="24"/>
    </w:rPr>
  </w:style>
  <w:style w:type="table" w:customStyle="1" w:styleId="CDMRange218">
    <w:name w:val="CDM Range 2_18"/>
    <w:basedOn w:val="TableNormal"/>
    <w:next w:val="TableNormal"/>
    <w:semiHidden/>
    <w:rPr>
      <w:rFonts w:ascii="Times New Roman" w:hAnsi="Times New Roman"/>
    </w:rPr>
    <w:tblPr/>
  </w:style>
  <w:style w:type="paragraph" w:customStyle="1" w:styleId="Normal80">
    <w:name w:val="Normal_80"/>
    <w:qFormat/>
    <w:rPr>
      <w:rFonts w:ascii="Times New Roman" w:hAnsi="Times New Roman"/>
      <w:sz w:val="24"/>
      <w:szCs w:val="24"/>
    </w:rPr>
  </w:style>
  <w:style w:type="table" w:customStyle="1" w:styleId="CDMRange119">
    <w:name w:val="CDM Range 1_19"/>
    <w:basedOn w:val="TableNormal"/>
    <w:next w:val="TableNormal"/>
    <w:semiHidden/>
    <w:rPr>
      <w:rFonts w:ascii="Times New Roman" w:hAnsi="Times New Roman"/>
    </w:rPr>
    <w:tblPr/>
  </w:style>
  <w:style w:type="paragraph" w:customStyle="1" w:styleId="Normal81">
    <w:name w:val="Normal_81"/>
    <w:qFormat/>
    <w:rPr>
      <w:rFonts w:ascii="Times New Roman" w:hAnsi="Times New Roman"/>
      <w:sz w:val="24"/>
      <w:szCs w:val="24"/>
    </w:rPr>
  </w:style>
  <w:style w:type="table" w:customStyle="1" w:styleId="CDMRange219">
    <w:name w:val="CDM Range 2_19"/>
    <w:basedOn w:val="TableNormal"/>
    <w:next w:val="TableNormal"/>
    <w:semiHidden/>
    <w:rPr>
      <w:rFonts w:ascii="Times New Roman" w:hAnsi="Times New Roman"/>
    </w:rPr>
    <w:tblPr/>
  </w:style>
  <w:style w:type="paragraph" w:customStyle="1" w:styleId="Normal82">
    <w:name w:val="Normal_82"/>
    <w:qFormat/>
    <w:rPr>
      <w:rFonts w:ascii="Times New Roman" w:hAnsi="Times New Roman"/>
      <w:sz w:val="24"/>
      <w:szCs w:val="24"/>
    </w:rPr>
  </w:style>
  <w:style w:type="table" w:customStyle="1" w:styleId="CDMRange120">
    <w:name w:val="CDM Range 1_20"/>
    <w:basedOn w:val="TableNormal"/>
    <w:next w:val="TableNormal"/>
    <w:semiHidden/>
    <w:rPr>
      <w:rFonts w:ascii="Times New Roman" w:hAnsi="Times New Roman"/>
    </w:rPr>
    <w:tblPr/>
  </w:style>
  <w:style w:type="paragraph" w:customStyle="1" w:styleId="Normal83">
    <w:name w:val="Normal_83"/>
    <w:qFormat/>
    <w:rPr>
      <w:rFonts w:ascii="Times New Roman" w:hAnsi="Times New Roman"/>
      <w:sz w:val="24"/>
      <w:szCs w:val="24"/>
    </w:rPr>
  </w:style>
  <w:style w:type="table" w:customStyle="1" w:styleId="CDMRange220">
    <w:name w:val="CDM Range 2_20"/>
    <w:basedOn w:val="TableNormal"/>
    <w:next w:val="TableNormal"/>
    <w:semiHidden/>
    <w:rPr>
      <w:rFonts w:ascii="Times New Roman" w:hAnsi="Times New Roman"/>
    </w:rPr>
    <w:tblPr/>
  </w:style>
  <w:style w:type="paragraph" w:customStyle="1" w:styleId="Normal84">
    <w:name w:val="Normal_84"/>
    <w:qFormat/>
    <w:rPr>
      <w:rFonts w:ascii="Times New Roman" w:hAnsi="Times New Roman"/>
      <w:sz w:val="24"/>
      <w:szCs w:val="24"/>
    </w:rPr>
  </w:style>
  <w:style w:type="table" w:customStyle="1" w:styleId="CDMRange121">
    <w:name w:val="CDM Range 1_21"/>
    <w:basedOn w:val="TableNormal"/>
    <w:next w:val="TableNormal"/>
    <w:semiHidden/>
    <w:rPr>
      <w:rFonts w:ascii="Times New Roman" w:hAnsi="Times New Roman"/>
    </w:rPr>
    <w:tblPr/>
  </w:style>
  <w:style w:type="paragraph" w:customStyle="1" w:styleId="Normal86">
    <w:name w:val="Normal_86"/>
    <w:qFormat/>
    <w:rPr>
      <w:rFonts w:ascii="Times New Roman" w:hAnsi="Times New Roman"/>
      <w:sz w:val="24"/>
      <w:szCs w:val="24"/>
    </w:rPr>
  </w:style>
  <w:style w:type="table" w:customStyle="1" w:styleId="CDMRange221">
    <w:name w:val="CDM Range 2_21"/>
    <w:basedOn w:val="TableNormal"/>
    <w:next w:val="TableNormal"/>
    <w:semiHidden/>
    <w:rPr>
      <w:rFonts w:ascii="Times New Roman" w:hAnsi="Times New Roman"/>
    </w:rPr>
    <w:tblPr/>
  </w:style>
  <w:style w:type="paragraph" w:customStyle="1" w:styleId="Normal87">
    <w:name w:val="Normal_87"/>
    <w:qFormat/>
    <w:rPr>
      <w:rFonts w:ascii="Times New Roman" w:hAnsi="Times New Roman"/>
      <w:sz w:val="24"/>
      <w:szCs w:val="24"/>
    </w:rPr>
  </w:style>
  <w:style w:type="table" w:customStyle="1" w:styleId="CDMRange122">
    <w:name w:val="CDM Range 1_22"/>
    <w:basedOn w:val="TableNormal"/>
    <w:next w:val="TableNormal"/>
    <w:semiHidden/>
    <w:rPr>
      <w:rFonts w:ascii="Times New Roman" w:hAnsi="Times New Roman"/>
    </w:rPr>
    <w:tblPr/>
  </w:style>
  <w:style w:type="paragraph" w:customStyle="1" w:styleId="Normal88">
    <w:name w:val="Normal_88"/>
    <w:qFormat/>
    <w:rPr>
      <w:rFonts w:eastAsia="Calibri" w:cs="Arial"/>
    </w:rPr>
  </w:style>
  <w:style w:type="paragraph" w:customStyle="1" w:styleId="Normal89">
    <w:name w:val="Normal_89"/>
    <w:qFormat/>
    <w:rPr>
      <w:rFonts w:ascii="Times New Roman" w:hAnsi="Times New Roman"/>
      <w:sz w:val="24"/>
      <w:szCs w:val="24"/>
    </w:rPr>
  </w:style>
  <w:style w:type="table" w:customStyle="1" w:styleId="CDMRange222">
    <w:name w:val="CDM Range 2_22"/>
    <w:basedOn w:val="TableNormal"/>
    <w:next w:val="TableNormal"/>
    <w:semiHidden/>
    <w:rPr>
      <w:rFonts w:ascii="Times New Roman" w:hAnsi="Times New Roman"/>
    </w:rPr>
    <w:tblPr/>
  </w:style>
  <w:style w:type="paragraph" w:customStyle="1" w:styleId="Normal900">
    <w:name w:val="Normal_90"/>
    <w:qFormat/>
    <w:rPr>
      <w:rFonts w:ascii="Times New Roman" w:hAnsi="Times New Roman"/>
      <w:sz w:val="24"/>
      <w:szCs w:val="24"/>
    </w:rPr>
  </w:style>
  <w:style w:type="table" w:customStyle="1" w:styleId="CDMRange123">
    <w:name w:val="CDM Range 1_23"/>
    <w:basedOn w:val="TableNormal"/>
    <w:next w:val="TableNormal"/>
    <w:semiHidden/>
    <w:rPr>
      <w:rFonts w:ascii="Times New Roman" w:hAnsi="Times New Roman"/>
    </w:rPr>
    <w:tblPr/>
  </w:style>
  <w:style w:type="paragraph" w:styleId="Revision">
    <w:name w:val="Revision"/>
    <w:hidden/>
    <w:uiPriority w:val="99"/>
    <w:semiHidden/>
    <w:rPr>
      <w:rFonts w:ascii="Times New Roman" w:hAnsi="Times New Roman"/>
      <w:sz w:val="24"/>
      <w:szCs w:val="24"/>
    </w:rPr>
  </w:style>
  <w:style w:type="paragraph" w:customStyle="1" w:styleId="Pagedecouverture">
    <w:name w:val="Page de couverture"/>
    <w:basedOn w:val="Normal"/>
    <w:next w:val="Normal"/>
    <w:pPr>
      <w:jc w:val="both"/>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paragraph" w:customStyle="1" w:styleId="SecurityMarking">
    <w:name w:val="SecurityMarking"/>
    <w:basedOn w:val="Normal"/>
    <w:pPr>
      <w:spacing w:line="276" w:lineRule="auto"/>
      <w:ind w:left="5103"/>
    </w:pPr>
    <w:rPr>
      <w:rFonts w:eastAsiaTheme="minorHAnsi"/>
      <w:sz w:val="28"/>
      <w:szCs w:val="22"/>
      <w:lang w:eastAsia="en-US" w:bidi="ar-SA"/>
    </w:rPr>
  </w:style>
  <w:style w:type="paragraph" w:customStyle="1" w:styleId="DateMarking">
    <w:name w:val="DateMarking"/>
    <w:basedOn w:val="Normal"/>
    <w:pPr>
      <w:spacing w:line="276" w:lineRule="auto"/>
      <w:ind w:left="5103"/>
    </w:pPr>
    <w:rPr>
      <w:rFonts w:eastAsiaTheme="minorHAnsi"/>
      <w:i/>
      <w:sz w:val="28"/>
      <w:szCs w:val="22"/>
      <w:lang w:eastAsia="en-US" w:bidi="ar-SA"/>
    </w:rPr>
  </w:style>
  <w:style w:type="paragraph" w:customStyle="1" w:styleId="ReleasableTo">
    <w:name w:val="ReleasableTo"/>
    <w:basedOn w:val="Normal"/>
    <w:pPr>
      <w:spacing w:line="276" w:lineRule="auto"/>
      <w:ind w:left="5103"/>
    </w:pPr>
    <w:rPr>
      <w:rFonts w:eastAsiaTheme="minorHAnsi"/>
      <w:i/>
      <w:sz w:val="28"/>
      <w:szCs w:val="22"/>
      <w:lang w:eastAsia="en-US" w:bidi="ar-SA"/>
    </w:rPr>
  </w:style>
  <w:style w:type="paragraph" w:customStyle="1" w:styleId="HeaderSensitivityRight">
    <w:name w:val="Header Sensitivity Right"/>
    <w:basedOn w:val="Normal"/>
    <w:pPr>
      <w:spacing w:after="120"/>
      <w:jc w:val="right"/>
    </w:pPr>
    <w:rPr>
      <w:sz w:val="28"/>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footer" Target="footer142.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footer" Target="footer155.xml"/><Relationship Id="rId366" Type="http://schemas.openxmlformats.org/officeDocument/2006/relationships/footer" Target="footer174.xml"/><Relationship Id="rId170" Type="http://schemas.openxmlformats.org/officeDocument/2006/relationships/footer" Target="footer80.xml"/><Relationship Id="rId226" Type="http://schemas.openxmlformats.org/officeDocument/2006/relationships/footer" Target="footer108.xml"/><Relationship Id="rId433" Type="http://schemas.openxmlformats.org/officeDocument/2006/relationships/header" Target="header208.xml"/><Relationship Id="rId268" Type="http://schemas.openxmlformats.org/officeDocument/2006/relationships/footer" Target="footer129.xml"/><Relationship Id="rId475" Type="http://schemas.openxmlformats.org/officeDocument/2006/relationships/header" Target="header229.xml"/><Relationship Id="rId32" Type="http://schemas.openxmlformats.org/officeDocument/2006/relationships/footer" Target="footer11.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yperlink" Target="http://ec.europa.eu/europeaid/regions/africa/eu-emergency-trust-fund-africa_en" TargetMode="External"/><Relationship Id="rId377" Type="http://schemas.openxmlformats.org/officeDocument/2006/relationships/header" Target="header180.xml"/><Relationship Id="rId500" Type="http://schemas.openxmlformats.org/officeDocument/2006/relationships/header" Target="header242.xml"/><Relationship Id="rId5" Type="http://schemas.microsoft.com/office/2007/relationships/stylesWithEffects" Target="stylesWithEffects.xml"/><Relationship Id="rId181" Type="http://schemas.openxmlformats.org/officeDocument/2006/relationships/footer" Target="footer85.xml"/><Relationship Id="rId237" Type="http://schemas.openxmlformats.org/officeDocument/2006/relationships/header" Target="header114.xml"/><Relationship Id="rId402" Type="http://schemas.openxmlformats.org/officeDocument/2006/relationships/footer" Target="footer192.xml"/><Relationship Id="rId279" Type="http://schemas.openxmlformats.org/officeDocument/2006/relationships/header" Target="header135.xml"/><Relationship Id="rId444" Type="http://schemas.openxmlformats.org/officeDocument/2006/relationships/footer" Target="footer213.xml"/><Relationship Id="rId486" Type="http://schemas.openxmlformats.org/officeDocument/2006/relationships/footer" Target="footer234.xml"/><Relationship Id="rId43" Type="http://schemas.openxmlformats.org/officeDocument/2006/relationships/footer" Target="footer16.xml"/><Relationship Id="rId139" Type="http://schemas.openxmlformats.org/officeDocument/2006/relationships/footer" Target="footer64.xml"/><Relationship Id="rId290" Type="http://schemas.openxmlformats.org/officeDocument/2006/relationships/footer" Target="footer140.xml"/><Relationship Id="rId304" Type="http://schemas.openxmlformats.org/officeDocument/2006/relationships/header" Target="header146.xml"/><Relationship Id="rId346" Type="http://schemas.openxmlformats.org/officeDocument/2006/relationships/footer" Target="footer164.xml"/><Relationship Id="rId388" Type="http://schemas.openxmlformats.org/officeDocument/2006/relationships/footer" Target="footer185.xml"/><Relationship Id="rId511" Type="http://schemas.openxmlformats.org/officeDocument/2006/relationships/header" Target="header247.xml"/><Relationship Id="rId85" Type="http://schemas.openxmlformats.org/officeDocument/2006/relationships/footer" Target="footer37.xml"/><Relationship Id="rId150" Type="http://schemas.openxmlformats.org/officeDocument/2006/relationships/header" Target="header71.xml"/><Relationship Id="rId192" Type="http://schemas.openxmlformats.org/officeDocument/2006/relationships/header" Target="header92.xml"/><Relationship Id="rId206" Type="http://schemas.openxmlformats.org/officeDocument/2006/relationships/footer" Target="footer98.xml"/><Relationship Id="rId413" Type="http://schemas.openxmlformats.org/officeDocument/2006/relationships/header" Target="header198.xml"/><Relationship Id="rId248" Type="http://schemas.openxmlformats.org/officeDocument/2006/relationships/footer" Target="footer119.xml"/><Relationship Id="rId455" Type="http://schemas.openxmlformats.org/officeDocument/2006/relationships/header" Target="header219.xml"/><Relationship Id="rId497" Type="http://schemas.openxmlformats.org/officeDocument/2006/relationships/header" Target="header240.xml"/><Relationship Id="rId12" Type="http://schemas.openxmlformats.org/officeDocument/2006/relationships/header" Target="header2.xml"/><Relationship Id="rId108" Type="http://schemas.openxmlformats.org/officeDocument/2006/relationships/header" Target="header50.xml"/><Relationship Id="rId315" Type="http://schemas.openxmlformats.org/officeDocument/2006/relationships/header" Target="header151.xml"/><Relationship Id="rId357" Type="http://schemas.openxmlformats.org/officeDocument/2006/relationships/footer" Target="footer169.xml"/><Relationship Id="rId522" Type="http://schemas.openxmlformats.org/officeDocument/2006/relationships/footer" Target="footer252.xml"/><Relationship Id="rId54" Type="http://schemas.openxmlformats.org/officeDocument/2006/relationships/header" Target="header23.xml"/><Relationship Id="rId96" Type="http://schemas.openxmlformats.org/officeDocument/2006/relationships/header" Target="header44.xml"/><Relationship Id="rId161" Type="http://schemas.openxmlformats.org/officeDocument/2006/relationships/header" Target="header76.xml"/><Relationship Id="rId217" Type="http://schemas.openxmlformats.org/officeDocument/2006/relationships/footer" Target="footer103.xml"/><Relationship Id="rId399" Type="http://schemas.openxmlformats.org/officeDocument/2006/relationships/footer" Target="footer190.xml"/><Relationship Id="rId259" Type="http://schemas.openxmlformats.org/officeDocument/2006/relationships/footer" Target="footer124.xml"/><Relationship Id="rId424" Type="http://schemas.openxmlformats.org/officeDocument/2006/relationships/footer" Target="footer203.xml"/><Relationship Id="rId466" Type="http://schemas.openxmlformats.org/officeDocument/2006/relationships/footer" Target="footer224.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header" Target="header131.xml"/><Relationship Id="rId326" Type="http://schemas.openxmlformats.org/officeDocument/2006/relationships/footer" Target="footer156.xml"/><Relationship Id="rId65" Type="http://schemas.openxmlformats.org/officeDocument/2006/relationships/header" Target="header28.xml"/><Relationship Id="rId130" Type="http://schemas.openxmlformats.org/officeDocument/2006/relationships/footer" Target="footer60.xml"/><Relationship Id="rId368" Type="http://schemas.openxmlformats.org/officeDocument/2006/relationships/header" Target="header176.xml"/><Relationship Id="rId172" Type="http://schemas.openxmlformats.org/officeDocument/2006/relationships/footer" Target="footer81.xml"/><Relationship Id="rId228" Type="http://schemas.openxmlformats.org/officeDocument/2006/relationships/header" Target="header110.xml"/><Relationship Id="rId435" Type="http://schemas.openxmlformats.org/officeDocument/2006/relationships/footer" Target="footer208.xml"/><Relationship Id="rId477" Type="http://schemas.openxmlformats.org/officeDocument/2006/relationships/footer" Target="footer229.xml"/><Relationship Id="rId281" Type="http://schemas.openxmlformats.org/officeDocument/2006/relationships/header" Target="header136.xml"/><Relationship Id="rId337" Type="http://schemas.openxmlformats.org/officeDocument/2006/relationships/header" Target="header160.xml"/><Relationship Id="rId502" Type="http://schemas.openxmlformats.org/officeDocument/2006/relationships/footer" Target="footer242.xml"/><Relationship Id="rId34" Type="http://schemas.openxmlformats.org/officeDocument/2006/relationships/footer" Target="footer12.xml"/><Relationship Id="rId76" Type="http://schemas.openxmlformats.org/officeDocument/2006/relationships/footer" Target="footer33.xml"/><Relationship Id="rId141" Type="http://schemas.openxmlformats.org/officeDocument/2006/relationships/header" Target="header66.xml"/><Relationship Id="rId379" Type="http://schemas.openxmlformats.org/officeDocument/2006/relationships/header" Target="header181.xml"/><Relationship Id="rId7" Type="http://schemas.openxmlformats.org/officeDocument/2006/relationships/webSettings" Target="webSettings.xml"/><Relationship Id="rId183" Type="http://schemas.openxmlformats.org/officeDocument/2006/relationships/header" Target="header87.xml"/><Relationship Id="rId239" Type="http://schemas.openxmlformats.org/officeDocument/2006/relationships/header" Target="header115.xml"/><Relationship Id="rId390" Type="http://schemas.openxmlformats.org/officeDocument/2006/relationships/footer" Target="footer186.xml"/><Relationship Id="rId404" Type="http://schemas.openxmlformats.org/officeDocument/2006/relationships/header" Target="header194.xml"/><Relationship Id="rId446" Type="http://schemas.openxmlformats.org/officeDocument/2006/relationships/header" Target="header215.xml"/><Relationship Id="rId250" Type="http://schemas.openxmlformats.org/officeDocument/2006/relationships/footer" Target="footer120.xml"/><Relationship Id="rId292" Type="http://schemas.openxmlformats.org/officeDocument/2006/relationships/footer" Target="footer141.xml"/><Relationship Id="rId306" Type="http://schemas.openxmlformats.org/officeDocument/2006/relationships/footer" Target="footer146.xml"/><Relationship Id="rId488" Type="http://schemas.openxmlformats.org/officeDocument/2006/relationships/header" Target="header236.xml"/><Relationship Id="rId45" Type="http://schemas.openxmlformats.org/officeDocument/2006/relationships/header" Target="header18.xml"/><Relationship Id="rId87" Type="http://schemas.openxmlformats.org/officeDocument/2006/relationships/header" Target="header39.xml"/><Relationship Id="rId110" Type="http://schemas.openxmlformats.org/officeDocument/2006/relationships/footer" Target="footer50.xml"/><Relationship Id="rId348" Type="http://schemas.openxmlformats.org/officeDocument/2006/relationships/footer" Target="footer165.xml"/><Relationship Id="rId513" Type="http://schemas.openxmlformats.org/officeDocument/2006/relationships/footer" Target="footer247.xml"/><Relationship Id="rId152" Type="http://schemas.openxmlformats.org/officeDocument/2006/relationships/footer" Target="footer71.xml"/><Relationship Id="rId194" Type="http://schemas.openxmlformats.org/officeDocument/2006/relationships/footer" Target="footer92.xml"/><Relationship Id="rId208" Type="http://schemas.openxmlformats.org/officeDocument/2006/relationships/footer" Target="footer99.xml"/><Relationship Id="rId415" Type="http://schemas.openxmlformats.org/officeDocument/2006/relationships/header" Target="header199.xml"/><Relationship Id="rId457" Type="http://schemas.openxmlformats.org/officeDocument/2006/relationships/header" Target="header220.xml"/><Relationship Id="rId261" Type="http://schemas.openxmlformats.org/officeDocument/2006/relationships/header" Target="header126.xml"/><Relationship Id="rId499" Type="http://schemas.openxmlformats.org/officeDocument/2006/relationships/header" Target="header241.xml"/><Relationship Id="rId14" Type="http://schemas.openxmlformats.org/officeDocument/2006/relationships/footer" Target="footer2.xml"/><Relationship Id="rId56" Type="http://schemas.openxmlformats.org/officeDocument/2006/relationships/footer" Target="footer23.xml"/><Relationship Id="rId317" Type="http://schemas.openxmlformats.org/officeDocument/2006/relationships/footer" Target="footer151.xml"/><Relationship Id="rId359" Type="http://schemas.openxmlformats.org/officeDocument/2006/relationships/header" Target="header171.xml"/><Relationship Id="rId524" Type="http://schemas.openxmlformats.org/officeDocument/2006/relationships/header" Target="header254.xml"/><Relationship Id="rId98" Type="http://schemas.openxmlformats.org/officeDocument/2006/relationships/footer" Target="footer44.xml"/><Relationship Id="rId121" Type="http://schemas.openxmlformats.org/officeDocument/2006/relationships/footer" Target="footer55.xml"/><Relationship Id="rId163" Type="http://schemas.openxmlformats.org/officeDocument/2006/relationships/footer" Target="footer76.xml"/><Relationship Id="rId219" Type="http://schemas.openxmlformats.org/officeDocument/2006/relationships/header" Target="header105.xml"/><Relationship Id="rId370" Type="http://schemas.openxmlformats.org/officeDocument/2006/relationships/footer" Target="footer176.xml"/><Relationship Id="rId426" Type="http://schemas.openxmlformats.org/officeDocument/2006/relationships/footer" Target="footer204.xml"/><Relationship Id="rId230" Type="http://schemas.openxmlformats.org/officeDocument/2006/relationships/footer" Target="footer110.xml"/><Relationship Id="rId251" Type="http://schemas.openxmlformats.org/officeDocument/2006/relationships/header" Target="header121.xml"/><Relationship Id="rId468" Type="http://schemas.openxmlformats.org/officeDocument/2006/relationships/footer" Target="footer225.xml"/><Relationship Id="rId489" Type="http://schemas.openxmlformats.org/officeDocument/2006/relationships/footer" Target="footer235.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31.xml"/><Relationship Id="rId293" Type="http://schemas.openxmlformats.org/officeDocument/2006/relationships/hyperlink" Target="http://ec.europa.eu/europeaid/bekou-trust-fund-introduction_en" TargetMode="External"/><Relationship Id="rId307" Type="http://schemas.openxmlformats.org/officeDocument/2006/relationships/header" Target="header147.xml"/><Relationship Id="rId328" Type="http://schemas.openxmlformats.org/officeDocument/2006/relationships/header" Target="header158.xml"/><Relationship Id="rId349" Type="http://schemas.openxmlformats.org/officeDocument/2006/relationships/header" Target="header166.xml"/><Relationship Id="rId514" Type="http://schemas.openxmlformats.org/officeDocument/2006/relationships/footer" Target="footer248.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footer" Target="footer171.xml"/><Relationship Id="rId381" Type="http://schemas.openxmlformats.org/officeDocument/2006/relationships/footer" Target="footer181.xml"/><Relationship Id="rId416" Type="http://schemas.openxmlformats.org/officeDocument/2006/relationships/header" Target="header200.xml"/><Relationship Id="rId220" Type="http://schemas.openxmlformats.org/officeDocument/2006/relationships/footer" Target="footer105.xml"/><Relationship Id="rId241" Type="http://schemas.openxmlformats.org/officeDocument/2006/relationships/footer" Target="footer115.xml"/><Relationship Id="rId437" Type="http://schemas.openxmlformats.org/officeDocument/2006/relationships/header" Target="header210.xml"/><Relationship Id="rId458" Type="http://schemas.openxmlformats.org/officeDocument/2006/relationships/header" Target="header221.xml"/><Relationship Id="rId479" Type="http://schemas.openxmlformats.org/officeDocument/2006/relationships/header" Target="header231.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262" Type="http://schemas.openxmlformats.org/officeDocument/2006/relationships/footer" Target="footer126.xml"/><Relationship Id="rId283" Type="http://schemas.openxmlformats.org/officeDocument/2006/relationships/footer" Target="footer136.xml"/><Relationship Id="rId318" Type="http://schemas.openxmlformats.org/officeDocument/2006/relationships/footer" Target="footer152.xml"/><Relationship Id="rId339" Type="http://schemas.openxmlformats.org/officeDocument/2006/relationships/footer" Target="footer160.xml"/><Relationship Id="rId490" Type="http://schemas.openxmlformats.org/officeDocument/2006/relationships/footer" Target="footer236.xml"/><Relationship Id="rId504" Type="http://schemas.openxmlformats.org/officeDocument/2006/relationships/footer" Target="footer243.xml"/><Relationship Id="rId525" Type="http://schemas.openxmlformats.org/officeDocument/2006/relationships/footer" Target="footer253.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64" Type="http://schemas.openxmlformats.org/officeDocument/2006/relationships/footer" Target="footer77.xml"/><Relationship Id="rId185" Type="http://schemas.openxmlformats.org/officeDocument/2006/relationships/header" Target="header88.xml"/><Relationship Id="rId350" Type="http://schemas.openxmlformats.org/officeDocument/2006/relationships/header" Target="header167.xml"/><Relationship Id="rId371" Type="http://schemas.openxmlformats.org/officeDocument/2006/relationships/header" Target="header177.xml"/><Relationship Id="rId406" Type="http://schemas.openxmlformats.org/officeDocument/2006/relationships/footer" Target="footer194.xml"/><Relationship Id="rId9" Type="http://schemas.openxmlformats.org/officeDocument/2006/relationships/endnotes" Target="endnotes.xml"/><Relationship Id="rId210" Type="http://schemas.openxmlformats.org/officeDocument/2006/relationships/header" Target="header101.xml"/><Relationship Id="rId392" Type="http://schemas.openxmlformats.org/officeDocument/2006/relationships/header" Target="header188.xml"/><Relationship Id="rId427" Type="http://schemas.openxmlformats.org/officeDocument/2006/relationships/header" Target="header205.xml"/><Relationship Id="rId448" Type="http://schemas.openxmlformats.org/officeDocument/2006/relationships/footer" Target="footer215.xml"/><Relationship Id="rId469" Type="http://schemas.openxmlformats.org/officeDocument/2006/relationships/header" Target="header226.xml"/><Relationship Id="rId26" Type="http://schemas.openxmlformats.org/officeDocument/2006/relationships/footer" Target="footer8.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yperlink" Target="http://ec.europa.eu/enlargement/neighbourhood/countries/syria/madad/index_en.htm" TargetMode="External"/><Relationship Id="rId308" Type="http://schemas.openxmlformats.org/officeDocument/2006/relationships/footer" Target="footer147.xml"/><Relationship Id="rId329" Type="http://schemas.openxmlformats.org/officeDocument/2006/relationships/footer" Target="footer157.xml"/><Relationship Id="rId480" Type="http://schemas.openxmlformats.org/officeDocument/2006/relationships/footer" Target="footer231.xml"/><Relationship Id="rId515" Type="http://schemas.openxmlformats.org/officeDocument/2006/relationships/header" Target="header249.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footer" Target="footer161.xml"/><Relationship Id="rId361" Type="http://schemas.openxmlformats.org/officeDocument/2006/relationships/header" Target="header172.xml"/><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footer" Target="footer182.xml"/><Relationship Id="rId417" Type="http://schemas.openxmlformats.org/officeDocument/2006/relationships/footer" Target="footer199.xml"/><Relationship Id="rId438" Type="http://schemas.openxmlformats.org/officeDocument/2006/relationships/footer" Target="footer210.xml"/><Relationship Id="rId459" Type="http://schemas.openxmlformats.org/officeDocument/2006/relationships/footer" Target="footer220.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19" Type="http://schemas.openxmlformats.org/officeDocument/2006/relationships/header" Target="header153.xml"/><Relationship Id="rId470" Type="http://schemas.openxmlformats.org/officeDocument/2006/relationships/header" Target="header227.xml"/><Relationship Id="rId491" Type="http://schemas.openxmlformats.org/officeDocument/2006/relationships/header" Target="header237.xml"/><Relationship Id="rId505" Type="http://schemas.openxmlformats.org/officeDocument/2006/relationships/header" Target="header244.xml"/><Relationship Id="rId526" Type="http://schemas.openxmlformats.org/officeDocument/2006/relationships/footer" Target="footer254.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footer" Target="footer158.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footer" Target="footer166.xml"/><Relationship Id="rId372" Type="http://schemas.openxmlformats.org/officeDocument/2006/relationships/footer" Target="footer177.xml"/><Relationship Id="rId393" Type="http://schemas.openxmlformats.org/officeDocument/2006/relationships/footer" Target="footer187.xml"/><Relationship Id="rId407" Type="http://schemas.openxmlformats.org/officeDocument/2006/relationships/header" Target="header195.xml"/><Relationship Id="rId428" Type="http://schemas.openxmlformats.org/officeDocument/2006/relationships/header" Target="header206.xml"/><Relationship Id="rId449" Type="http://schemas.openxmlformats.org/officeDocument/2006/relationships/header" Target="header216.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95" Type="http://schemas.openxmlformats.org/officeDocument/2006/relationships/hyperlink" Target="http://ec.europa.eu/europeaid/regions/africa/eu-emergency-trust-fund-africa_en" TargetMode="External"/><Relationship Id="rId309" Type="http://schemas.openxmlformats.org/officeDocument/2006/relationships/header" Target="header148.xml"/><Relationship Id="rId460" Type="http://schemas.openxmlformats.org/officeDocument/2006/relationships/footer" Target="footer221.xml"/><Relationship Id="rId481" Type="http://schemas.openxmlformats.org/officeDocument/2006/relationships/header" Target="header232.xml"/><Relationship Id="rId516" Type="http://schemas.openxmlformats.org/officeDocument/2006/relationships/footer" Target="footer249.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footer" Target="footer153.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2.xml"/><Relationship Id="rId362" Type="http://schemas.openxmlformats.org/officeDocument/2006/relationships/header" Target="header173.xml"/><Relationship Id="rId383" Type="http://schemas.openxmlformats.org/officeDocument/2006/relationships/header" Target="header183.xml"/><Relationship Id="rId418" Type="http://schemas.openxmlformats.org/officeDocument/2006/relationships/footer" Target="footer200.xml"/><Relationship Id="rId439" Type="http://schemas.openxmlformats.org/officeDocument/2006/relationships/header" Target="header211.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450" Type="http://schemas.openxmlformats.org/officeDocument/2006/relationships/footer" Target="footer216.xml"/><Relationship Id="rId471" Type="http://schemas.openxmlformats.org/officeDocument/2006/relationships/footer" Target="footer226.xml"/><Relationship Id="rId506" Type="http://schemas.openxmlformats.org/officeDocument/2006/relationships/header" Target="header245.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header" Target="header149.xml"/><Relationship Id="rId492" Type="http://schemas.openxmlformats.org/officeDocument/2006/relationships/footer" Target="footer237.xml"/><Relationship Id="rId527" Type="http://schemas.openxmlformats.org/officeDocument/2006/relationships/header" Target="header255.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header" Target="header159.xml"/><Relationship Id="rId352" Type="http://schemas.openxmlformats.org/officeDocument/2006/relationships/footer" Target="footer167.xml"/><Relationship Id="rId373" Type="http://schemas.openxmlformats.org/officeDocument/2006/relationships/header" Target="header178.xml"/><Relationship Id="rId394" Type="http://schemas.openxmlformats.org/officeDocument/2006/relationships/footer" Target="footer188.xml"/><Relationship Id="rId408" Type="http://schemas.openxmlformats.org/officeDocument/2006/relationships/footer" Target="footer195.xml"/><Relationship Id="rId429" Type="http://schemas.openxmlformats.org/officeDocument/2006/relationships/footer" Target="footer205.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440" Type="http://schemas.openxmlformats.org/officeDocument/2006/relationships/header" Target="header212.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hyperlink" Target="http://ec.europa.eu/europeaid/eu-trust-fund-colombia_en" TargetMode="External"/><Relationship Id="rId300" Type="http://schemas.openxmlformats.org/officeDocument/2006/relationships/footer" Target="footer143.xml"/><Relationship Id="rId461" Type="http://schemas.openxmlformats.org/officeDocument/2006/relationships/header" Target="header222.xml"/><Relationship Id="rId482" Type="http://schemas.openxmlformats.org/officeDocument/2006/relationships/header" Target="header233.xml"/><Relationship Id="rId517" Type="http://schemas.openxmlformats.org/officeDocument/2006/relationships/header" Target="header250.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4.xml"/><Relationship Id="rId342" Type="http://schemas.openxmlformats.org/officeDocument/2006/relationships/footer" Target="footer162.xml"/><Relationship Id="rId363" Type="http://schemas.openxmlformats.org/officeDocument/2006/relationships/footer" Target="footer172.xml"/><Relationship Id="rId384" Type="http://schemas.openxmlformats.org/officeDocument/2006/relationships/footer" Target="footer183.xml"/><Relationship Id="rId419" Type="http://schemas.openxmlformats.org/officeDocument/2006/relationships/header" Target="header201.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430" Type="http://schemas.openxmlformats.org/officeDocument/2006/relationships/footer" Target="footer206.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footer" Target="footer138.xml"/><Relationship Id="rId451" Type="http://schemas.openxmlformats.org/officeDocument/2006/relationships/header" Target="header217.xml"/><Relationship Id="rId472" Type="http://schemas.openxmlformats.org/officeDocument/2006/relationships/footer" Target="footer227.xml"/><Relationship Id="rId493" Type="http://schemas.openxmlformats.org/officeDocument/2006/relationships/header" Target="header238.xml"/><Relationship Id="rId507" Type="http://schemas.openxmlformats.org/officeDocument/2006/relationships/footer" Target="footer244.xml"/><Relationship Id="rId528" Type="http://schemas.openxmlformats.org/officeDocument/2006/relationships/footer" Target="footer255.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footer" Target="footer148.xml"/><Relationship Id="rId332" Type="http://schemas.openxmlformats.org/officeDocument/2006/relationships/footer" Target="footer159.xml"/><Relationship Id="rId353" Type="http://schemas.openxmlformats.org/officeDocument/2006/relationships/header" Target="header168.xml"/><Relationship Id="rId374" Type="http://schemas.openxmlformats.org/officeDocument/2006/relationships/header" Target="header179.xml"/><Relationship Id="rId395" Type="http://schemas.openxmlformats.org/officeDocument/2006/relationships/header" Target="header189.xml"/><Relationship Id="rId409" Type="http://schemas.openxmlformats.org/officeDocument/2006/relationships/header" Target="header196.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420" Type="http://schemas.openxmlformats.org/officeDocument/2006/relationships/footer" Target="footer201.xml"/><Relationship Id="rId2" Type="http://schemas.openxmlformats.org/officeDocument/2006/relationships/customXml" Target="../customXml/item1.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2.xml"/><Relationship Id="rId441" Type="http://schemas.openxmlformats.org/officeDocument/2006/relationships/footer" Target="footer211.xml"/><Relationship Id="rId462" Type="http://schemas.openxmlformats.org/officeDocument/2006/relationships/footer" Target="footer222.xml"/><Relationship Id="rId483" Type="http://schemas.openxmlformats.org/officeDocument/2006/relationships/footer" Target="footer232.xml"/><Relationship Id="rId518" Type="http://schemas.openxmlformats.org/officeDocument/2006/relationships/header" Target="header251.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header" Target="header144.xml"/><Relationship Id="rId322" Type="http://schemas.openxmlformats.org/officeDocument/2006/relationships/header" Target="header155.xml"/><Relationship Id="rId343" Type="http://schemas.openxmlformats.org/officeDocument/2006/relationships/header" Target="header163.xml"/><Relationship Id="rId364" Type="http://schemas.openxmlformats.org/officeDocument/2006/relationships/footer" Target="footer173.xml"/><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385" Type="http://schemas.openxmlformats.org/officeDocument/2006/relationships/header" Target="header184.xml"/><Relationship Id="rId19" Type="http://schemas.openxmlformats.org/officeDocument/2006/relationships/footer" Target="footer4.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410" Type="http://schemas.openxmlformats.org/officeDocument/2006/relationships/header" Target="header197.xml"/><Relationship Id="rId431" Type="http://schemas.openxmlformats.org/officeDocument/2006/relationships/header" Target="header207.xml"/><Relationship Id="rId452" Type="http://schemas.openxmlformats.org/officeDocument/2006/relationships/header" Target="header218.xml"/><Relationship Id="rId473" Type="http://schemas.openxmlformats.org/officeDocument/2006/relationships/header" Target="header228.xml"/><Relationship Id="rId494" Type="http://schemas.openxmlformats.org/officeDocument/2006/relationships/header" Target="header239.xml"/><Relationship Id="rId508" Type="http://schemas.openxmlformats.org/officeDocument/2006/relationships/footer" Target="footer245.xml"/><Relationship Id="rId529" Type="http://schemas.openxmlformats.org/officeDocument/2006/relationships/fontTable" Target="fontTable.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footer" Target="footer149.xml"/><Relationship Id="rId333" Type="http://schemas.openxmlformats.org/officeDocument/2006/relationships/hyperlink" Target="http://ec.europa.eu/europeaid/bekou-trust-fund-introduction_en" TargetMode="External"/><Relationship Id="rId354" Type="http://schemas.openxmlformats.org/officeDocument/2006/relationships/footer" Target="footer168.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footer" Target="footer178.xml"/><Relationship Id="rId396" Type="http://schemas.openxmlformats.org/officeDocument/2006/relationships/footer" Target="footer189.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footer" Target="footer123.xml"/><Relationship Id="rId277" Type="http://schemas.openxmlformats.org/officeDocument/2006/relationships/footer" Target="footer133.xml"/><Relationship Id="rId298" Type="http://schemas.openxmlformats.org/officeDocument/2006/relationships/header" Target="header143.xml"/><Relationship Id="rId400" Type="http://schemas.openxmlformats.org/officeDocument/2006/relationships/footer" Target="footer191.xml"/><Relationship Id="rId421" Type="http://schemas.openxmlformats.org/officeDocument/2006/relationships/header" Target="header202.xml"/><Relationship Id="rId442" Type="http://schemas.openxmlformats.org/officeDocument/2006/relationships/footer" Target="footer212.xml"/><Relationship Id="rId463" Type="http://schemas.openxmlformats.org/officeDocument/2006/relationships/header" Target="header223.xml"/><Relationship Id="rId484" Type="http://schemas.openxmlformats.org/officeDocument/2006/relationships/footer" Target="footer233.xml"/><Relationship Id="rId519" Type="http://schemas.openxmlformats.org/officeDocument/2006/relationships/footer" Target="footer250.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4.xml"/><Relationship Id="rId323" Type="http://schemas.openxmlformats.org/officeDocument/2006/relationships/footer" Target="footer154.xml"/><Relationship Id="rId344" Type="http://schemas.openxmlformats.org/officeDocument/2006/relationships/header" Target="header164.xml"/><Relationship Id="rId530"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header" Target="header174.xml"/><Relationship Id="rId386" Type="http://schemas.openxmlformats.org/officeDocument/2006/relationships/header" Target="header185.xml"/><Relationship Id="rId190" Type="http://schemas.openxmlformats.org/officeDocument/2006/relationships/footer" Target="footer90.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411" Type="http://schemas.openxmlformats.org/officeDocument/2006/relationships/footer" Target="footer196.xml"/><Relationship Id="rId432" Type="http://schemas.openxmlformats.org/officeDocument/2006/relationships/footer" Target="footer207.xml"/><Relationship Id="rId453" Type="http://schemas.openxmlformats.org/officeDocument/2006/relationships/footer" Target="footer217.xml"/><Relationship Id="rId474" Type="http://schemas.openxmlformats.org/officeDocument/2006/relationships/footer" Target="footer228.xml"/><Relationship Id="rId509" Type="http://schemas.openxmlformats.org/officeDocument/2006/relationships/header" Target="header246.xml"/><Relationship Id="rId106" Type="http://schemas.openxmlformats.org/officeDocument/2006/relationships/footer" Target="footer48.xml"/><Relationship Id="rId127" Type="http://schemas.openxmlformats.org/officeDocument/2006/relationships/footer" Target="footer58.xml"/><Relationship Id="rId313" Type="http://schemas.openxmlformats.org/officeDocument/2006/relationships/header" Target="header150.xml"/><Relationship Id="rId495" Type="http://schemas.openxmlformats.org/officeDocument/2006/relationships/footer" Target="footer238.xml"/><Relationship Id="rId10" Type="http://schemas.openxmlformats.org/officeDocument/2006/relationships/image" Target="media/image1.emf"/><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footer" Target="footer79.xml"/><Relationship Id="rId334" Type="http://schemas.openxmlformats.org/officeDocument/2006/relationships/hyperlink" Target="http://ec.europa.eu/enlargement/neighbourhood/countries/syria/madad/index_en.htm" TargetMode="External"/><Relationship Id="rId355" Type="http://schemas.openxmlformats.org/officeDocument/2006/relationships/header" Target="header169.xml"/><Relationship Id="rId376" Type="http://schemas.openxmlformats.org/officeDocument/2006/relationships/footer" Target="footer179.xml"/><Relationship Id="rId397" Type="http://schemas.openxmlformats.org/officeDocument/2006/relationships/header" Target="header190.xml"/><Relationship Id="rId520" Type="http://schemas.openxmlformats.org/officeDocument/2006/relationships/footer" Target="footer251.xml"/><Relationship Id="rId4" Type="http://schemas.openxmlformats.org/officeDocument/2006/relationships/styles" Target="style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401" Type="http://schemas.openxmlformats.org/officeDocument/2006/relationships/header" Target="header192.xml"/><Relationship Id="rId422" Type="http://schemas.openxmlformats.org/officeDocument/2006/relationships/header" Target="header203.xml"/><Relationship Id="rId443" Type="http://schemas.openxmlformats.org/officeDocument/2006/relationships/header" Target="header213.xml"/><Relationship Id="rId464" Type="http://schemas.openxmlformats.org/officeDocument/2006/relationships/header" Target="header224.xml"/><Relationship Id="rId303" Type="http://schemas.openxmlformats.org/officeDocument/2006/relationships/header" Target="header145.xml"/><Relationship Id="rId485" Type="http://schemas.openxmlformats.org/officeDocument/2006/relationships/header" Target="header234.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footer" Target="footer163.xml"/><Relationship Id="rId387" Type="http://schemas.openxmlformats.org/officeDocument/2006/relationships/footer" Target="footer184.xml"/><Relationship Id="rId510" Type="http://schemas.openxmlformats.org/officeDocument/2006/relationships/footer" Target="footer246.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footer" Target="footer197.xml"/><Relationship Id="rId107" Type="http://schemas.openxmlformats.org/officeDocument/2006/relationships/header" Target="header49.xml"/><Relationship Id="rId289" Type="http://schemas.openxmlformats.org/officeDocument/2006/relationships/footer" Target="footer139.xml"/><Relationship Id="rId454" Type="http://schemas.openxmlformats.org/officeDocument/2006/relationships/footer" Target="footer218.xml"/><Relationship Id="rId496" Type="http://schemas.openxmlformats.org/officeDocument/2006/relationships/footer" Target="footer239.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0.xml"/><Relationship Id="rId356" Type="http://schemas.openxmlformats.org/officeDocument/2006/relationships/header" Target="header170.xml"/><Relationship Id="rId398" Type="http://schemas.openxmlformats.org/officeDocument/2006/relationships/header" Target="header191.xml"/><Relationship Id="rId521" Type="http://schemas.openxmlformats.org/officeDocument/2006/relationships/header" Target="header252.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 Id="rId423" Type="http://schemas.openxmlformats.org/officeDocument/2006/relationships/footer" Target="footer202.xml"/><Relationship Id="rId258" Type="http://schemas.openxmlformats.org/officeDocument/2006/relationships/header" Target="header125.xml"/><Relationship Id="rId465" Type="http://schemas.openxmlformats.org/officeDocument/2006/relationships/footer" Target="footer223.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header" Target="header156.xml"/><Relationship Id="rId367" Type="http://schemas.openxmlformats.org/officeDocument/2006/relationships/header" Target="header175.xml"/><Relationship Id="rId171" Type="http://schemas.openxmlformats.org/officeDocument/2006/relationships/header" Target="header81.xml"/><Relationship Id="rId227" Type="http://schemas.openxmlformats.org/officeDocument/2006/relationships/header" Target="header109.xml"/><Relationship Id="rId269" Type="http://schemas.openxmlformats.org/officeDocument/2006/relationships/header" Target="header130.xml"/><Relationship Id="rId434" Type="http://schemas.openxmlformats.org/officeDocument/2006/relationships/header" Target="header209.xml"/><Relationship Id="rId476" Type="http://schemas.openxmlformats.org/officeDocument/2006/relationships/header" Target="header230.xml"/><Relationship Id="rId33" Type="http://schemas.openxmlformats.org/officeDocument/2006/relationships/header" Target="header12.xml"/><Relationship Id="rId129" Type="http://schemas.openxmlformats.org/officeDocument/2006/relationships/header" Target="header60.xml"/><Relationship Id="rId280" Type="http://schemas.openxmlformats.org/officeDocument/2006/relationships/footer" Target="footer135.xml"/><Relationship Id="rId336" Type="http://schemas.openxmlformats.org/officeDocument/2006/relationships/hyperlink" Target="http://ec.europa.eu/europeaid/eu-trust-fund-colombia_en" TargetMode="External"/><Relationship Id="rId501" Type="http://schemas.openxmlformats.org/officeDocument/2006/relationships/footer" Target="footer241.xml"/><Relationship Id="rId75" Type="http://schemas.openxmlformats.org/officeDocument/2006/relationships/header" Target="header33.xml"/><Relationship Id="rId140" Type="http://schemas.openxmlformats.org/officeDocument/2006/relationships/footer" Target="footer65.xml"/><Relationship Id="rId182" Type="http://schemas.openxmlformats.org/officeDocument/2006/relationships/footer" Target="footer86.xml"/><Relationship Id="rId378" Type="http://schemas.openxmlformats.org/officeDocument/2006/relationships/footer" Target="footer180.xml"/><Relationship Id="rId403" Type="http://schemas.openxmlformats.org/officeDocument/2006/relationships/header" Target="header193.xml"/><Relationship Id="rId6" Type="http://schemas.openxmlformats.org/officeDocument/2006/relationships/settings" Target="settings.xml"/><Relationship Id="rId238" Type="http://schemas.openxmlformats.org/officeDocument/2006/relationships/footer" Target="footer114.xml"/><Relationship Id="rId445" Type="http://schemas.openxmlformats.org/officeDocument/2006/relationships/header" Target="header214.xml"/><Relationship Id="rId487" Type="http://schemas.openxmlformats.org/officeDocument/2006/relationships/header" Target="header235.xml"/><Relationship Id="rId291" Type="http://schemas.openxmlformats.org/officeDocument/2006/relationships/header" Target="header141.xml"/><Relationship Id="rId305" Type="http://schemas.openxmlformats.org/officeDocument/2006/relationships/footer" Target="footer145.xml"/><Relationship Id="rId347" Type="http://schemas.openxmlformats.org/officeDocument/2006/relationships/header" Target="header165.xml"/><Relationship Id="rId512" Type="http://schemas.openxmlformats.org/officeDocument/2006/relationships/header" Target="header248.xml"/><Relationship Id="rId44" Type="http://schemas.openxmlformats.org/officeDocument/2006/relationships/footer" Target="footer17.xml"/><Relationship Id="rId86" Type="http://schemas.openxmlformats.org/officeDocument/2006/relationships/footer" Target="footer38.xml"/><Relationship Id="rId151" Type="http://schemas.openxmlformats.org/officeDocument/2006/relationships/footer" Target="footer70.xml"/><Relationship Id="rId389" Type="http://schemas.openxmlformats.org/officeDocument/2006/relationships/header" Target="header186.xml"/><Relationship Id="rId193" Type="http://schemas.openxmlformats.org/officeDocument/2006/relationships/footer" Target="footer91.xml"/><Relationship Id="rId207" Type="http://schemas.openxmlformats.org/officeDocument/2006/relationships/header" Target="header99.xml"/><Relationship Id="rId249" Type="http://schemas.openxmlformats.org/officeDocument/2006/relationships/header" Target="header120.xml"/><Relationship Id="rId414" Type="http://schemas.openxmlformats.org/officeDocument/2006/relationships/footer" Target="footer198.xml"/><Relationship Id="rId456" Type="http://schemas.openxmlformats.org/officeDocument/2006/relationships/footer" Target="footer219.xml"/><Relationship Id="rId498" Type="http://schemas.openxmlformats.org/officeDocument/2006/relationships/footer" Target="footer240.xml"/><Relationship Id="rId13" Type="http://schemas.openxmlformats.org/officeDocument/2006/relationships/footer" Target="footer1.xml"/><Relationship Id="rId109" Type="http://schemas.openxmlformats.org/officeDocument/2006/relationships/footer" Target="footer49.xml"/><Relationship Id="rId260" Type="http://schemas.openxmlformats.org/officeDocument/2006/relationships/footer" Target="footer125.xml"/><Relationship Id="rId316" Type="http://schemas.openxmlformats.org/officeDocument/2006/relationships/header" Target="header152.xml"/><Relationship Id="rId523" Type="http://schemas.openxmlformats.org/officeDocument/2006/relationships/header" Target="header253.xml"/><Relationship Id="rId55" Type="http://schemas.openxmlformats.org/officeDocument/2006/relationships/footer" Target="footer22.xml"/><Relationship Id="rId97" Type="http://schemas.openxmlformats.org/officeDocument/2006/relationships/footer" Target="footer43.xml"/><Relationship Id="rId120" Type="http://schemas.openxmlformats.org/officeDocument/2006/relationships/header" Target="header56.xml"/><Relationship Id="rId358" Type="http://schemas.openxmlformats.org/officeDocument/2006/relationships/footer" Target="footer170.xml"/><Relationship Id="rId162" Type="http://schemas.openxmlformats.org/officeDocument/2006/relationships/header" Target="header77.xml"/><Relationship Id="rId218" Type="http://schemas.openxmlformats.org/officeDocument/2006/relationships/footer" Target="footer104.xml"/><Relationship Id="rId425" Type="http://schemas.openxmlformats.org/officeDocument/2006/relationships/header" Target="header204.xml"/><Relationship Id="rId467" Type="http://schemas.openxmlformats.org/officeDocument/2006/relationships/header" Target="header225.xml"/><Relationship Id="rId271" Type="http://schemas.openxmlformats.org/officeDocument/2006/relationships/footer" Target="footer130.xml"/><Relationship Id="rId24" Type="http://schemas.openxmlformats.org/officeDocument/2006/relationships/header" Target="header8.xml"/><Relationship Id="rId66" Type="http://schemas.openxmlformats.org/officeDocument/2006/relationships/header" Target="header29.xml"/><Relationship Id="rId131" Type="http://schemas.openxmlformats.org/officeDocument/2006/relationships/header" Target="header61.xml"/><Relationship Id="rId327" Type="http://schemas.openxmlformats.org/officeDocument/2006/relationships/header" Target="header157.xml"/><Relationship Id="rId369" Type="http://schemas.openxmlformats.org/officeDocument/2006/relationships/footer" Target="footer175.xml"/><Relationship Id="rId173" Type="http://schemas.openxmlformats.org/officeDocument/2006/relationships/header" Target="header82.xml"/><Relationship Id="rId229" Type="http://schemas.openxmlformats.org/officeDocument/2006/relationships/footer" Target="footer109.xml"/><Relationship Id="rId380" Type="http://schemas.openxmlformats.org/officeDocument/2006/relationships/header" Target="header182.xml"/><Relationship Id="rId436" Type="http://schemas.openxmlformats.org/officeDocument/2006/relationships/footer" Target="footer209.xml"/><Relationship Id="rId240" Type="http://schemas.openxmlformats.org/officeDocument/2006/relationships/header" Target="header116.xml"/><Relationship Id="rId478" Type="http://schemas.openxmlformats.org/officeDocument/2006/relationships/footer" Target="footer230.xml"/><Relationship Id="rId35" Type="http://schemas.openxmlformats.org/officeDocument/2006/relationships/header" Target="header1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7.xml"/><Relationship Id="rId338" Type="http://schemas.openxmlformats.org/officeDocument/2006/relationships/header" Target="header161.xml"/><Relationship Id="rId503" Type="http://schemas.openxmlformats.org/officeDocument/2006/relationships/header" Target="header243.xml"/><Relationship Id="rId8" Type="http://schemas.openxmlformats.org/officeDocument/2006/relationships/footnotes" Target="footnotes.xml"/><Relationship Id="rId142" Type="http://schemas.openxmlformats.org/officeDocument/2006/relationships/footer" Target="footer66.xml"/><Relationship Id="rId184" Type="http://schemas.openxmlformats.org/officeDocument/2006/relationships/footer" Target="footer87.xml"/><Relationship Id="rId391" Type="http://schemas.openxmlformats.org/officeDocument/2006/relationships/header" Target="header187.xml"/><Relationship Id="rId405" Type="http://schemas.openxmlformats.org/officeDocument/2006/relationships/footer" Target="footer193.xml"/><Relationship Id="rId447" Type="http://schemas.openxmlformats.org/officeDocument/2006/relationships/footer" Target="footer2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F9E1B-03A9-46B4-929D-5A417449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12</Pages>
  <Words>50254</Words>
  <Characters>262832</Characters>
  <Application>Microsoft Office Word</Application>
  <DocSecurity>0</DocSecurity>
  <Lines>23893</Lines>
  <Paragraphs>12523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300563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39</cp:revision>
  <cp:lastPrinted>2019-06-20T14:02:00Z</cp:lastPrinted>
  <dcterms:created xsi:type="dcterms:W3CDTF">2019-06-18T13:15:00Z</dcterms:created>
  <dcterms:modified xsi:type="dcterms:W3CDTF">2019-09-02T08:16:00Z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GAoAAB+LCAAAAAAABAA1louRAzEIQ1sy+F+P++8hemIzl5ska2NAEnJyjBfxmv56vOj3HX+pv6H/7Pud9TKuNuqrdi/FrBcn3u4vz8s335laepv4qwex+D8vmsJ6U2h3aGwl0oFaveOt/aLWR/LsNp+qdHcqvL8YhNy3tVG5JlnTe/y+X+YlH9vi5czn0FS2o8Wu2sZ2W6FGr8IvbfBo+eDM1G4dFap16v+4uEydo4oJnMobvKKpoEtPm2y02FX</vt:lpwstr>
  </property>
  <property fmtid="{D5CDD505-2E9C-101B-9397-08002B2CF9AE}" pid="3" name="DMCulture01">
    <vt:lpwstr>2iySV1gTFoOb2tmoQnql13nR4ghj46VGo22gKPf64tUMxqmS2R2vTr718aoZw0kMjMt+cbwt+p9PHZfyFvEKpK6lRbcdWE625nn1oSYmEgDZ2Y579jfV0oAiJdStd7gInaZ4t9BI64yilyuRjNsobZi1juj6yspRQMd1nHN7HO2rpWkTRFAQhp87i6wSY7aA8hhoViNJDkfQVVAKX8XFv4gBpGhZtIXv2QRCCUnLQgVxhf8IsWr4KhxhlceQwCe</vt:lpwstr>
  </property>
  <property fmtid="{D5CDD505-2E9C-101B-9397-08002B2CF9AE}" pid="4" name="DMCulture02">
    <vt:lpwstr>ThTHDsdWA0sw+G4hhxCZtrsBekIeRteF2VmBEeffiJpyKdhDU1tusLAhOi+gSA4i5bSc/y25x3C3ZzAdT0akzhRK11WJiexgFoH4AtvvZ0Juf26oionSUchpz5UKXHaF/iGVcqJIoHzIJEEe1Y2GEC+nzDaFvF7VZFigjGCblpKiWcC3bXvRJ2LV4InY/5t5imD6qh4AlaogZmgnh1wZxJIar/I29Y9jQJROMN9m8QT3vKLvAsn2EdmEGU8oQQ5</vt:lpwstr>
  </property>
  <property fmtid="{D5CDD505-2E9C-101B-9397-08002B2CF9AE}" pid="5" name="DMCulture03">
    <vt:lpwstr>x0knQWMekOZGJfZDQ9/lNN48zXF6MpSO08vK3qXi5xl+vwVvjwHw8Ns86FoAG9M9/XhKsy4Xj+1fTaA1dJtNhugI48xxTrpwZ52LceouZjbBGaDr3APeFy5BefS+3GZ+I70qKFgeOlOOXFIrSUGpKzzm1OR4iSyZDwQt2VoPaGjsCDHuk7FdKkxXEaIqv1p5OwerfyCMNxfezhQZ5OZ7rCaCZMFa7eN2hP6LiRwnyyTVcVcArdk6hFgGtQHdmau</vt:lpwstr>
  </property>
  <property fmtid="{D5CDD505-2E9C-101B-9397-08002B2CF9AE}" pid="6" name="DMCulture04">
    <vt:lpwstr>8ZRReN1yvVGgokxVZLksPIiyxZD969YNtmu2aI7hoXiBf9kE2iwzZIzIODZpV4sWS/vUDP9qGWcZppqJS+BU5Laabe+qBEj0pMz6m1LqBPBsJtkorlVXGpq+SGem21by71M2t8/sAZx5J/Wsu+uv4lnYcujC6d2CitrWHjA4D9f+Lilwu7av3c9abfL+fZAqHMnrTcyez8xVLaL0XQlT5fZ4tcDbXFeatlMdQsc0vjY5NKTBVyYhSM5ZxhAei7p</vt:lpwstr>
  </property>
  <property fmtid="{D5CDD505-2E9C-101B-9397-08002B2CF9AE}" pid="7" name="DMCulture05">
    <vt:lpwstr>maa1XL6vGCUOgkXbKPB20+XVglWkOYO1y4TFBIn5bdIIbbYKPBYcEs2jzfdgYFd+5td8nfdSMGrPkUtbZ204ctvvvoqcMCEZJDJTW4VmQnF5MHHv+/b4JylG3EIN733eV+N7yTyPVAwVcP+F6lu844az+YRhnQYKgBSbBry9j/rXNeLmPab2Bipsvg0wEY7KWiZmldv8a/AEaGyInGAoAAA==</vt:lpwstr>
  </property>
  <property fmtid="{D5CDD505-2E9C-101B-9397-08002B2CF9AE}" pid="8" name="frecMETA00">
    <vt:lpwstr>OQoAAB+LCAAAAAAABAA9lguS5CAMQ6+EwQQ4j+9/h9WTe6eqZ5JOwB9JFh1r1Z31VkWumnHrjJqjQs/jjnqn4tXWol1Lb2LUyTosfXX8aI+6WXNWzFPvK/2f66sYWfE9XRXt7fr0JqNmKTKrIiv10eKhRaQcCjFuxdZHt0evfK9HjqDPXNofHf/p6dD793ydqT35uf6l1MlqRU39hfKNU592EDGoULu26tXb++oq3lFcNap96ntOfYt6WZ9WUCQ</vt:lpwstr>
  </property>
  <property fmtid="{D5CDD505-2E9C-101B-9397-08002B2CF9AE}" pid="9" name="frecMETA01">
    <vt:lpwstr>NnMu9alb+o5hKMdhJrM+wGbrjR/QwhKJKPo3ccvMUN9MZ4t6uX/ffhggYuDQOxpGv0uWGQI8tCgxHXl+mkP6UBI5IPx8Z4tLhKEHhahIafoVtw6CmgoZJfEGngVy3vhZCo/ZluWRA4f0FY7aKfJUSKpBO1dHmkrUFGaQ/7QGj7K2kYb05c4jJyp0m9dTxDlg42gicbicAfj/38migJDQU5PjQqAITNUSQJc0FlCgySLJckJgd2F6tQ1QaCuiNP8</vt:lpwstr>
  </property>
  <property fmtid="{D5CDD505-2E9C-101B-9397-08002B2CF9AE}" pid="10" name="frecMETA02">
    <vt:lpwstr>aQGJRsX6wRVrLrkOiUvxatA7H6VqHqMaRdp6VuBog3Skz9CAQ0EVvUNiESAmCdlqSkBrDvmhaDpY1iFzxQ3zZ9r6k2kQeUzekQho2wEsW6bowPCUXpvI6B+uBjWAVrW48SmTZ0aGnahcx2ASpXQ99xTQnU+kM50eKbdCsoGuAwoV/TJVQR38AZkPeXDRBZWaKKRMyHCm8/RX4kT0+LQjAQCKegxPU8D8wBMq2Cmb+0nnNF/dXM7ASzEWmIPICab</vt:lpwstr>
  </property>
  <property fmtid="{D5CDD505-2E9C-101B-9397-08002B2CF9AE}" pid="11" name="frecMETA03">
    <vt:lpwstr>WhTl/f9WQ1WIRj8JMnJOJBaA2fNaKy40DoGoWl8Tah67ikTyvnzLJEqJT7n9miGcsKPJ0tkv5YBZgiPjbI08SxEJsiGtoAKNp4xWp8bVPGfHvaY42DCjs7YqaCXpyr62jAmuPbMIUle2qLT/IJP8HVihTJtfbRy/7xA0U7Ys9g71YDdEIEsM3Bfh1EHKlBcKArGA5MMg5ZNqZz5hCHGZ0xfs83fM7iPC5J4eZLXQ0OVgpp5/1bf9mFAC3abbKU+</vt:lpwstr>
  </property>
  <property fmtid="{D5CDD505-2E9C-101B-9397-08002B2CF9AE}" pid="12" name="frecMETA04">
    <vt:lpwstr>O6n9bnm2/zvYXmbHik3PBPOE9m3CBN7mRh0oWO7fkWZ7aEpuO8VkPrlHaX41EciEa4qH2TSErh4xMaloiFcK7lPll9U8abYwLi04Xc/tw/b18fc8Ed71GwpVo2lgzpl3gYCxeGKyZ4m61EkaEnbaAHFTMt3WOdULahsnObhiQNNGzBBzQqN4Clm//MdWzlgyErObPa6XqWQvHrqanPk7pmG5x9IDDCUMbdr9LKo+dtx+tHH7kM3+qbC6jd10etC</vt:lpwstr>
  </property>
  <property fmtid="{D5CDD505-2E9C-101B-9397-08002B2CF9AE}" pid="13" name="frecMETA05">
    <vt:lpwstr>GPR63Wb/fEWjjeTRVkg1CDgYs59n4jBbOOKeb5BxTW5Rt5Hfns8lH/QwXC/HZCJMaJh9a8Ts00j9WEs/xG2wVC1c14lAFWFHhthgsBsDHb5/R7iV2e9Po8+X2Dxa8kJTUqohWdPhY7VPltvWGrYLw0j+nkXjjfABgbAJyV6tv/UzZDVyT+H5QIH3rkpNve+TVmtoCNEX0LHuThYfEkMvwNljzsTM8zLaTf8dBqGM5CgAA</vt:lpwstr>
  </property>
  <property fmtid="{D5CDD505-2E9C-101B-9397-08002B2CF9AE}" pid="14" name="PeriodId">
    <vt:i4>8</vt:i4>
  </property>
  <property fmtid="{D5CDD505-2E9C-101B-9397-08002B2CF9AE}" pid="15" name="PeriodName">
    <vt:lpwstr>2018 Annual Accounts</vt:lpwstr>
  </property>
  <property fmtid="{D5CDD505-2E9C-101B-9397-08002B2CF9AE}" pid="16" name="ReportId">
    <vt:i4>139</vt:i4>
  </property>
  <property fmtid="{D5CDD505-2E9C-101B-9397-08002B2CF9AE}" pid="17" name="ReportName">
    <vt:lpwstr>EDF Annual Accounts</vt:lpwstr>
  </property>
  <property fmtid="{D5CDD505-2E9C-101B-9397-08002B2CF9AE}" pid="18" name="UseLegacyExcelTemplate">
    <vt:bool>true</vt:bool>
  </property>
  <property fmtid="{D5CDD505-2E9C-101B-9397-08002B2CF9AE}" pid="19" name="synchronize">
    <vt:lpwstr>on</vt:lpwstr>
  </property>
  <property fmtid="{D5CDD505-2E9C-101B-9397-08002B2CF9AE}" pid="20" name="Level of sensitivity">
    <vt:lpwstr>Standard treatment</vt:lpwstr>
  </property>
  <property fmtid="{D5CDD505-2E9C-101B-9397-08002B2CF9AE}" pid="21" name="Part">
    <vt:lpwstr>1</vt:lpwstr>
  </property>
  <property fmtid="{D5CDD505-2E9C-101B-9397-08002B2CF9AE}" pid="22" name="Total parts">
    <vt:lpwstr>1</vt:lpwstr>
  </property>
  <property fmtid="{D5CDD505-2E9C-101B-9397-08002B2CF9AE}" pid="23" name="DocStatus">
    <vt:lpwstr>Green</vt:lpwstr>
  </property>
  <property fmtid="{D5CDD505-2E9C-101B-9397-08002B2CF9AE}" pid="24" name="Created using">
    <vt:lpwstr>LW 6.0.1, Build 20180503</vt:lpwstr>
  </property>
  <property fmtid="{D5CDD505-2E9C-101B-9397-08002B2CF9AE}" pid="25" name="Last edited using">
    <vt:lpwstr>LW 7.0, Build 20190717</vt:lpwstr>
  </property>
  <property fmtid="{D5CDD505-2E9C-101B-9397-08002B2CF9AE}" pid="26" name="CPTemplateID">
    <vt:lpwstr>CP-040</vt:lpwstr>
  </property>
</Properties>
</file>