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ADB" w:rsidRDefault="008A783E">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81D1B34-098C-4EF3-B34D-43A6CC758817" style="width:451.25pt;height:365pt">
            <v:imagedata r:id="rId8" o:title=""/>
          </v:shape>
        </w:pict>
      </w:r>
    </w:p>
    <w:p w:rsidR="003A2ADB" w:rsidRDefault="003A2ADB">
      <w:pPr>
        <w:rPr>
          <w:noProof/>
        </w:rPr>
        <w:sectPr w:rsidR="003A2ADB">
          <w:footerReference w:type="default" r:id="rId9"/>
          <w:pgSz w:w="11907" w:h="16839"/>
          <w:pgMar w:top="1134" w:right="1417" w:bottom="1134" w:left="1417" w:header="709" w:footer="709" w:gutter="0"/>
          <w:pgNumType w:start="0"/>
          <w:cols w:space="720"/>
          <w:docGrid w:linePitch="360"/>
        </w:sectPr>
      </w:pPr>
    </w:p>
    <w:p w:rsidR="003A2ADB" w:rsidRDefault="008A783E">
      <w:pPr>
        <w:pStyle w:val="Exposdesmotifstitre"/>
        <w:rPr>
          <w:noProof/>
        </w:rPr>
      </w:pPr>
      <w:r>
        <w:rPr>
          <w:noProof/>
        </w:rPr>
        <w:lastRenderedPageBreak/>
        <w:t>EXPLANATORY MEMORANDUM</w:t>
      </w:r>
    </w:p>
    <w:p w:rsidR="003A2ADB" w:rsidRDefault="008A783E">
      <w:pPr>
        <w:pStyle w:val="ManualHeading1"/>
        <w:rPr>
          <w:noProof/>
        </w:rPr>
      </w:pPr>
      <w:r>
        <w:rPr>
          <w:noProof/>
        </w:rPr>
        <w:t>1.</w:t>
      </w:r>
      <w:r>
        <w:rPr>
          <w:noProof/>
        </w:rPr>
        <w:tab/>
        <w:t>CONTEXT OF THE PROPOSAL</w:t>
      </w:r>
    </w:p>
    <w:p w:rsidR="003A2ADB" w:rsidRDefault="008A783E">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rsidR="003A2ADB" w:rsidRDefault="008A783E">
      <w:pPr>
        <w:pBdr>
          <w:top w:val="nil"/>
          <w:left w:val="nil"/>
          <w:bottom w:val="nil"/>
          <w:right w:val="nil"/>
          <w:between w:val="nil"/>
          <w:bar w:val="nil"/>
        </w:pBdr>
        <w:spacing w:before="0" w:after="240"/>
        <w:rPr>
          <w:noProof/>
        </w:rPr>
      </w:pPr>
      <w:r>
        <w:rPr>
          <w:noProof/>
        </w:rPr>
        <w:t xml:space="preserve">The United Kingdom has decided to leave the European </w:t>
      </w:r>
      <w:r>
        <w:rPr>
          <w:noProof/>
        </w:rPr>
        <w:t>Union, invoking the procedure set out in Article 50 of the Treaty on European Union (TEU). Following a request by the United Kingdom, the European Council (Article 50) agreed on 11 April 2019</w:t>
      </w:r>
      <w:r>
        <w:rPr>
          <w:rStyle w:val="FootnoteReference"/>
          <w:rFonts w:eastAsia="Arial Unicode MS"/>
          <w:noProof/>
        </w:rPr>
        <w:footnoteReference w:id="1"/>
      </w:r>
      <w:r>
        <w:rPr>
          <w:noProof/>
        </w:rPr>
        <w:t xml:space="preserve"> to extend further</w:t>
      </w:r>
      <w:r>
        <w:rPr>
          <w:rStyle w:val="FootnoteReference"/>
          <w:rFonts w:eastAsia="Arial Unicode MS"/>
          <w:noProof/>
        </w:rPr>
        <w:footnoteReference w:id="2"/>
      </w:r>
      <w:r>
        <w:rPr>
          <w:noProof/>
        </w:rPr>
        <w:t xml:space="preserve"> the period provided for in Article 50(3) TEU</w:t>
      </w:r>
      <w:r>
        <w:rPr>
          <w:noProof/>
        </w:rPr>
        <w:t xml:space="preserve"> until 31 October 2019. Unless the United Kingdom ratifies the Withdrawal Agreement by 31 October 2019 or requests a third extension, to which the European Council (Article 50) agrees by unanimity, the period under Article 50(3) TEU will end then. The Unit</w:t>
      </w:r>
      <w:r>
        <w:rPr>
          <w:noProof/>
        </w:rPr>
        <w:t>ed Kingdom will then be a third country as of 1 November 2019 without an agreement to ensure an orderly withdrawal. The Commission continues to consider that an orderly withdrawal of the United Kingdom from the Union on the basis of the Withdrawal Agreemen</w:t>
      </w:r>
      <w:r>
        <w:rPr>
          <w:noProof/>
        </w:rPr>
        <w:t xml:space="preserve">t is the best outcome. </w:t>
      </w:r>
    </w:p>
    <w:p w:rsidR="003A2ADB" w:rsidRDefault="008A783E">
      <w:pPr>
        <w:pBdr>
          <w:top w:val="nil"/>
          <w:left w:val="nil"/>
          <w:bottom w:val="nil"/>
          <w:right w:val="nil"/>
          <w:between w:val="nil"/>
          <w:bar w:val="nil"/>
        </w:pBdr>
        <w:spacing w:before="0" w:after="240"/>
        <w:rPr>
          <w:noProof/>
        </w:rPr>
      </w:pPr>
      <w:r>
        <w:rPr>
          <w:noProof/>
        </w:rPr>
        <w:t>All EU primary and secondary law will cease to apply to the UK from that moment onwards. There will be no transition period, as provided for in the Withdrawal Agreement. This will obviously cause significant disruption for citizens,</w:t>
      </w:r>
      <w:r>
        <w:rPr>
          <w:noProof/>
        </w:rPr>
        <w:t xml:space="preserve"> businesses and public institutions and would have a serious negative economic and financial impact. </w:t>
      </w:r>
    </w:p>
    <w:p w:rsidR="003A2ADB" w:rsidRDefault="008A783E">
      <w:pPr>
        <w:pBdr>
          <w:top w:val="nil"/>
          <w:left w:val="nil"/>
          <w:bottom w:val="nil"/>
          <w:right w:val="nil"/>
          <w:between w:val="nil"/>
          <w:bar w:val="nil"/>
        </w:pBdr>
        <w:spacing w:before="0" w:after="240"/>
        <w:rPr>
          <w:noProof/>
        </w:rPr>
      </w:pPr>
      <w:r>
        <w:rPr>
          <w:noProof/>
        </w:rPr>
        <w:t>Thus far, the European Union and the EU-27 Member States have put in place a significant set of measures. In particular, since November 2018, the European</w:t>
      </w:r>
      <w:r>
        <w:rPr>
          <w:noProof/>
        </w:rPr>
        <w:t xml:space="preserve"> Commission has been preparing for a withdrawal without an agreement. To date, the Commission has tabled and the co-legislators adopted 19 legislative proposals. The Commission has also adopted 63 non-legislative acts and published 100 preparedness notices</w:t>
      </w:r>
      <w:r>
        <w:rPr>
          <w:noProof/>
        </w:rPr>
        <w:t>.</w:t>
      </w:r>
    </w:p>
    <w:p w:rsidR="003A2ADB" w:rsidRDefault="008A783E">
      <w:pPr>
        <w:pBdr>
          <w:top w:val="nil"/>
          <w:left w:val="nil"/>
          <w:bottom w:val="nil"/>
          <w:right w:val="nil"/>
          <w:between w:val="nil"/>
          <w:bar w:val="nil"/>
        </w:pBdr>
        <w:spacing w:before="0" w:after="240"/>
        <w:rPr>
          <w:noProof/>
        </w:rPr>
      </w:pPr>
      <w:r>
        <w:rPr>
          <w:noProof/>
        </w:rPr>
        <w:t>The principles governing the contingency measures at all levels were set out in the second Brexit Preparedness Communication of 13 November 2018</w:t>
      </w:r>
      <w:r>
        <w:rPr>
          <w:rStyle w:val="FootnoteReference"/>
          <w:noProof/>
        </w:rPr>
        <w:footnoteReference w:id="3"/>
      </w:r>
      <w:r>
        <w:rPr>
          <w:noProof/>
        </w:rPr>
        <w:t>. These include in particular that measures should not remedy damage that could have been avoided by prepared</w:t>
      </w:r>
      <w:r>
        <w:rPr>
          <w:noProof/>
        </w:rPr>
        <w:t>ness measures and timely action by the relevant stakeholders.</w:t>
      </w:r>
    </w:p>
    <w:p w:rsidR="003A2ADB" w:rsidRDefault="008A783E">
      <w:pPr>
        <w:pBdr>
          <w:top w:val="nil"/>
          <w:left w:val="nil"/>
          <w:bottom w:val="nil"/>
          <w:right w:val="nil"/>
          <w:between w:val="nil"/>
          <w:bar w:val="nil"/>
        </w:pBdr>
        <w:spacing w:before="0" w:after="240"/>
        <w:rPr>
          <w:noProof/>
        </w:rPr>
      </w:pPr>
      <w:r>
        <w:rPr>
          <w:noProof/>
        </w:rPr>
        <w:t>As stated in the fourth Brexit Preparedness Communications of 10 April 2019</w:t>
      </w:r>
      <w:r>
        <w:rPr>
          <w:rStyle w:val="FootnoteReference"/>
          <w:rFonts w:eastAsia="Arial Unicode MS"/>
          <w:noProof/>
        </w:rPr>
        <w:footnoteReference w:id="4"/>
      </w:r>
      <w:r>
        <w:rPr>
          <w:noProof/>
        </w:rPr>
        <w:t>, in the context of the preparations of contingency measures, the Commission is ready to propose financial support mea</w:t>
      </w:r>
      <w:r>
        <w:rPr>
          <w:noProof/>
        </w:rPr>
        <w:t>sures to mitigate the impact in the most affected areas and sectors, taking into account the funds that are available and any adjustments on the expenditure and revenue side of the EU budget that might result from a withdrawal without an agreement. For mor</w:t>
      </w:r>
      <w:r>
        <w:rPr>
          <w:noProof/>
        </w:rPr>
        <w:t>e immediate support to affected stakeholders, EU State aid rules offer flexible solutions for national measures.</w:t>
      </w:r>
    </w:p>
    <w:p w:rsidR="003A2ADB" w:rsidRDefault="008A783E">
      <w:pPr>
        <w:pBdr>
          <w:top w:val="nil"/>
          <w:left w:val="nil"/>
          <w:bottom w:val="nil"/>
          <w:right w:val="nil"/>
          <w:between w:val="nil"/>
          <w:bar w:val="nil"/>
        </w:pBdr>
        <w:spacing w:before="0" w:after="240"/>
        <w:rPr>
          <w:noProof/>
        </w:rPr>
      </w:pPr>
      <w:r>
        <w:rPr>
          <w:noProof/>
        </w:rPr>
        <w:t>Businesses, especially small and medium-sized companies with a significant exposure to the United Kingdom may also run into difficulties as a c</w:t>
      </w:r>
      <w:r>
        <w:rPr>
          <w:noProof/>
        </w:rPr>
        <w:t>onsequence of the loss of easy access to its market or be otherwise affected by more complex trade relations. Loss of jobs could be a consequence. Member States may want to act against a negative impact on the labour market by introducing aid schemes to as</w:t>
      </w:r>
      <w:r>
        <w:rPr>
          <w:noProof/>
        </w:rPr>
        <w:t>sist affected businesses in managing change or by introducing measures to help preserve employment levels.</w:t>
      </w:r>
    </w:p>
    <w:p w:rsidR="003A2ADB" w:rsidRDefault="008A783E">
      <w:pPr>
        <w:pBdr>
          <w:top w:val="nil"/>
          <w:left w:val="nil"/>
          <w:bottom w:val="nil"/>
          <w:right w:val="nil"/>
          <w:between w:val="nil"/>
          <w:bar w:val="nil"/>
        </w:pBdr>
        <w:spacing w:before="0" w:after="240"/>
        <w:rPr>
          <w:noProof/>
        </w:rPr>
      </w:pPr>
      <w:r>
        <w:rPr>
          <w:noProof/>
        </w:rPr>
        <w:lastRenderedPageBreak/>
        <w:t xml:space="preserve">Member States’ public administrations will also be affected as they will need to set up additional infrastructure facilities and recruit additional personnel in some affected sectors, within a very short time span. </w:t>
      </w:r>
    </w:p>
    <w:p w:rsidR="003A2ADB" w:rsidRDefault="008A783E">
      <w:pPr>
        <w:pBdr>
          <w:top w:val="nil"/>
          <w:left w:val="nil"/>
          <w:bottom w:val="nil"/>
          <w:right w:val="nil"/>
          <w:between w:val="nil"/>
          <w:bar w:val="nil"/>
        </w:pBdr>
        <w:spacing w:before="0" w:after="240"/>
        <w:rPr>
          <w:noProof/>
        </w:rPr>
      </w:pPr>
      <w:r>
        <w:rPr>
          <w:noProof/>
        </w:rPr>
        <w:t>For instance, in the field of customs an</w:t>
      </w:r>
      <w:r>
        <w:rPr>
          <w:noProof/>
        </w:rPr>
        <w:t xml:space="preserve">d indirect taxation, national administrations will need to put significant investments in infrastructure and human resources, primarily in Member States that are the main entry and exit points for the European Union’s trade with the United Kingdom. In the </w:t>
      </w:r>
      <w:r>
        <w:rPr>
          <w:noProof/>
        </w:rPr>
        <w:t>field of sanitary and phytosanitary controls, the 27 Member States are setting up new Border Inspection Posts or extending existing ones at entry points of imports from the United Kingdom into the EU.</w:t>
      </w:r>
    </w:p>
    <w:p w:rsidR="003A2ADB" w:rsidRDefault="008A783E">
      <w:pPr>
        <w:pBdr>
          <w:top w:val="nil"/>
          <w:left w:val="nil"/>
          <w:bottom w:val="nil"/>
          <w:right w:val="nil"/>
          <w:between w:val="nil"/>
          <w:bar w:val="nil"/>
        </w:pBdr>
        <w:spacing w:before="0" w:after="240"/>
        <w:rPr>
          <w:noProof/>
        </w:rPr>
      </w:pPr>
      <w:r>
        <w:rPr>
          <w:noProof/>
        </w:rPr>
        <w:t>The above types of actions are likely to have a signifi</w:t>
      </w:r>
      <w:r>
        <w:rPr>
          <w:noProof/>
        </w:rPr>
        <w:t>cant impact on public spending, especially in the short term and in those Member States particularly affected. For the public finances of those Member States, it could constitute a major disaster resulting in an urgent need for additional public funding. T</w:t>
      </w:r>
      <w:r>
        <w:rPr>
          <w:noProof/>
        </w:rPr>
        <w:t xml:space="preserve">herefore, the mobilisation of the European Union Solidarity Fund (EUSF) could provide vital relief to those Member States and their finances, should its scope of action be extended as to cover the negative impact of this scenario.  </w:t>
      </w:r>
    </w:p>
    <w:p w:rsidR="003A2ADB" w:rsidRDefault="008A783E">
      <w:pPr>
        <w:pBdr>
          <w:top w:val="nil"/>
          <w:left w:val="nil"/>
          <w:bottom w:val="nil"/>
          <w:right w:val="nil"/>
          <w:between w:val="nil"/>
          <w:bar w:val="nil"/>
        </w:pBdr>
        <w:spacing w:before="0" w:after="240"/>
        <w:rPr>
          <w:noProof/>
        </w:rPr>
      </w:pPr>
      <w:r>
        <w:rPr>
          <w:noProof/>
        </w:rPr>
        <w:t>The EUSF was created in</w:t>
      </w:r>
      <w:r>
        <w:rPr>
          <w:noProof/>
        </w:rPr>
        <w:t xml:space="preserve"> 2002 to support EU Member States and accession countries in situations of major disasters caused by natural events such as floods, storms, earthquakes, volcanic eruptions, forest fires or drought. The Fund can be mobilised upon an application from the con</w:t>
      </w:r>
      <w:r>
        <w:rPr>
          <w:noProof/>
        </w:rPr>
        <w:t>cerned country if the disaster event has a dimension justifying intervention at European level.</w:t>
      </w:r>
    </w:p>
    <w:p w:rsidR="003A2ADB" w:rsidRDefault="008A783E">
      <w:pPr>
        <w:pBdr>
          <w:top w:val="nil"/>
          <w:left w:val="nil"/>
          <w:bottom w:val="nil"/>
          <w:right w:val="nil"/>
          <w:between w:val="nil"/>
          <w:bar w:val="nil"/>
        </w:pBdr>
        <w:spacing w:before="0" w:after="240"/>
        <w:rPr>
          <w:noProof/>
        </w:rPr>
      </w:pPr>
      <w:r>
        <w:rPr>
          <w:noProof/>
        </w:rPr>
        <w:t xml:space="preserve">Its functioning is a tangible expression of a genuine EU solidarity, whereby Member States agree to support each other by making additional financial resources </w:t>
      </w:r>
      <w:r>
        <w:rPr>
          <w:noProof/>
        </w:rPr>
        <w:t xml:space="preserve">available through the EU budget. </w:t>
      </w:r>
    </w:p>
    <w:p w:rsidR="003A2ADB" w:rsidRDefault="008A783E">
      <w:pPr>
        <w:pBdr>
          <w:top w:val="nil"/>
          <w:left w:val="nil"/>
          <w:bottom w:val="nil"/>
          <w:right w:val="nil"/>
          <w:between w:val="nil"/>
          <w:bar w:val="nil"/>
        </w:pBdr>
        <w:spacing w:before="0" w:after="240"/>
        <w:rPr>
          <w:noProof/>
        </w:rPr>
      </w:pPr>
      <w:r>
        <w:rPr>
          <w:noProof/>
        </w:rPr>
        <w:t>Despite the measures already taken or planned, it is fair to assume that due to the particularly close economic and trading relationship with the United Kingdom, some Member States will be more impacted by the event of wit</w:t>
      </w:r>
      <w:r>
        <w:rPr>
          <w:noProof/>
        </w:rPr>
        <w:t xml:space="preserve">hdrawal without an agreement than others. Even if it is extremely difficult to assess it exactly, it will have a significant impact on the economy, the labour market and the public finances, especially in the short term. While it will be a singular event, </w:t>
      </w:r>
      <w:r>
        <w:rPr>
          <w:noProof/>
        </w:rPr>
        <w:t>its disruptive effects and the burden thereof on public finances, directly imputable to the event of a withdrawal without an agreement, could constitute a major disaster and therefore the activation of the “solidarity principle”, which is the core of the E</w:t>
      </w:r>
      <w:r>
        <w:rPr>
          <w:noProof/>
        </w:rPr>
        <w:t>USF, would be justified in order to mitigate those effects.</w:t>
      </w:r>
    </w:p>
    <w:p w:rsidR="003A2ADB" w:rsidRDefault="008A783E">
      <w:pPr>
        <w:pStyle w:val="ManualHeading2"/>
        <w:rPr>
          <w:rFonts w:eastAsia="Arial Unicode MS"/>
          <w:noProof/>
          <w:u w:color="000000"/>
          <w:bdr w:val="nil"/>
          <w:lang w:val="en-US" w:eastAsia="en-GB"/>
        </w:rPr>
      </w:pPr>
      <w:r>
        <w:rPr>
          <w:noProof/>
        </w:rPr>
        <w:t>•</w:t>
      </w:r>
      <w:r>
        <w:rPr>
          <w:rFonts w:eastAsia="Arial Unicode MS"/>
          <w:noProof/>
          <w:u w:color="000000"/>
          <w:bdr w:val="nil"/>
          <w:lang w:val="en-US" w:eastAsia="en-GB"/>
        </w:rPr>
        <w:tab/>
      </w:r>
      <w:r>
        <w:rPr>
          <w:rFonts w:eastAsia="Arial Unicode MS"/>
          <w:noProof/>
        </w:rPr>
        <w:t>Consistency with existing policy provisions in the policy area</w:t>
      </w:r>
    </w:p>
    <w:p w:rsidR="003A2ADB" w:rsidRDefault="008A783E">
      <w:pPr>
        <w:pBdr>
          <w:top w:val="nil"/>
          <w:left w:val="nil"/>
          <w:bottom w:val="nil"/>
          <w:right w:val="nil"/>
          <w:between w:val="nil"/>
          <w:bar w:val="nil"/>
        </w:pBdr>
        <w:spacing w:before="0" w:after="240"/>
        <w:rPr>
          <w:rFonts w:eastAsia="Arial Unicode MS"/>
          <w:noProof/>
        </w:rPr>
      </w:pPr>
      <w:r>
        <w:rPr>
          <w:noProof/>
        </w:rPr>
        <w:t xml:space="preserve">The present proposal aims at modifying Council Regulation (EC) No 2012/2002 of 11 November 2002 establishing the European Union </w:t>
      </w:r>
      <w:r>
        <w:rPr>
          <w:noProof/>
        </w:rPr>
        <w:t>Solidarity Fund (hereafter: “Regulation (EC) No 2012/2002”) in order to extend its scope to cover certain types of additional public expenditure caused by the withdrawal of the United Kingdom from the European Union without the Withdrawal Agreement.</w:t>
      </w:r>
    </w:p>
    <w:p w:rsidR="003A2ADB" w:rsidRDefault="008A783E">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w:t>
      </w:r>
      <w:r>
        <w:rPr>
          <w:rFonts w:eastAsia="Arial Unicode MS"/>
          <w:noProof/>
        </w:rPr>
        <w:t>istency with other Union policies</w:t>
      </w:r>
    </w:p>
    <w:p w:rsidR="003A2ADB" w:rsidRDefault="008A783E">
      <w:pPr>
        <w:pBdr>
          <w:top w:val="nil"/>
          <w:left w:val="nil"/>
          <w:bottom w:val="nil"/>
          <w:right w:val="nil"/>
          <w:between w:val="nil"/>
          <w:bar w:val="nil"/>
        </w:pBdr>
        <w:spacing w:before="0" w:after="240"/>
        <w:rPr>
          <w:rFonts w:eastAsia="Arial Unicode MS"/>
          <w:noProof/>
        </w:rPr>
      </w:pPr>
      <w:r>
        <w:rPr>
          <w:noProof/>
        </w:rPr>
        <w:t>The proposal is part of the preparations of contingency measures for the withdrawal of the United Kingdom from the European Union.</w:t>
      </w:r>
    </w:p>
    <w:p w:rsidR="003A2ADB" w:rsidRDefault="008A783E">
      <w:pPr>
        <w:pStyle w:val="ManualHeading1"/>
        <w:rPr>
          <w:noProof/>
        </w:rPr>
      </w:pPr>
      <w:r>
        <w:rPr>
          <w:noProof/>
        </w:rPr>
        <w:t>2.</w:t>
      </w:r>
      <w:r>
        <w:rPr>
          <w:noProof/>
        </w:rPr>
        <w:tab/>
        <w:t>LEGAL BASIS, SUBSIDIARITY AND PROPORTIONALITY</w:t>
      </w:r>
    </w:p>
    <w:p w:rsidR="003A2ADB" w:rsidRDefault="008A783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3A2ADB" w:rsidRDefault="008A783E">
      <w:pPr>
        <w:pBdr>
          <w:top w:val="nil"/>
          <w:left w:val="nil"/>
          <w:bottom w:val="nil"/>
          <w:right w:val="nil"/>
          <w:between w:val="nil"/>
          <w:bar w:val="nil"/>
        </w:pBdr>
        <w:spacing w:before="0" w:after="240"/>
        <w:rPr>
          <w:rFonts w:eastAsia="Arial Unicode MS"/>
          <w:noProof/>
        </w:rPr>
      </w:pPr>
      <w:r>
        <w:rPr>
          <w:noProof/>
        </w:rPr>
        <w:t xml:space="preserve">As this is the modification </w:t>
      </w:r>
      <w:r>
        <w:rPr>
          <w:noProof/>
        </w:rPr>
        <w:t>of the existing regulation, it follows the provisions that are the legal basis for Regulation (EC) No 2012/2002, i.e. Article 175 of the Treaty on the Functioning of the European Union (TFEU). As this modification relates to Member States only, Article 212</w:t>
      </w:r>
      <w:r>
        <w:rPr>
          <w:noProof/>
        </w:rPr>
        <w:t xml:space="preserve"> TFEU does not apply.</w:t>
      </w:r>
    </w:p>
    <w:p w:rsidR="003A2ADB" w:rsidRDefault="008A783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3A2ADB" w:rsidRDefault="008A783E">
      <w:pPr>
        <w:pBdr>
          <w:top w:val="nil"/>
          <w:left w:val="nil"/>
          <w:bottom w:val="nil"/>
          <w:right w:val="nil"/>
          <w:between w:val="nil"/>
          <w:bar w:val="nil"/>
        </w:pBdr>
        <w:spacing w:before="0" w:after="240"/>
        <w:rPr>
          <w:noProof/>
        </w:rPr>
      </w:pPr>
      <w:r>
        <w:rPr>
          <w:noProof/>
        </w:rPr>
        <w:t>The proposal aims to extend the scope of the EUSF in order to show European solidarity with the most seriously affected Member States by providing assistance from the Fund to help them be</w:t>
      </w:r>
      <w:r>
        <w:rPr>
          <w:noProof/>
        </w:rPr>
        <w:t>ar the financial burden inflicted on them as a consequence of the withdrawal of the United Kingdom from the Union without an agreement. In line with the principle of subsidiarity, it defines clear eligibility criteria for the EUSF to be mobilised. Assistan</w:t>
      </w:r>
      <w:r>
        <w:rPr>
          <w:noProof/>
        </w:rPr>
        <w:t>ce under this instrument will therefore be confined to costs with serious repercussions on the economic and financial conditions in a given Member State.</w:t>
      </w:r>
    </w:p>
    <w:p w:rsidR="003A2ADB" w:rsidRDefault="008A783E">
      <w:pPr>
        <w:pBdr>
          <w:top w:val="nil"/>
          <w:left w:val="nil"/>
          <w:bottom w:val="nil"/>
          <w:right w:val="nil"/>
          <w:between w:val="nil"/>
          <w:bar w:val="nil"/>
        </w:pBdr>
        <w:spacing w:before="0" w:after="240"/>
        <w:rPr>
          <w:noProof/>
        </w:rPr>
      </w:pPr>
      <w:r>
        <w:rPr>
          <w:noProof/>
        </w:rPr>
        <w:t>The EUSF is based on the subsidiarity principle. This means that the EU should intervene only in cases</w:t>
      </w:r>
      <w:r>
        <w:rPr>
          <w:noProof/>
        </w:rPr>
        <w:t xml:space="preserve"> where a Member State is deemed no longer to be able to cope with a crisis alone and requires assistance. The legislator considered that, for natural disasters, such a situation is present when the total direct damage exceeds a certain threshold. Economic </w:t>
      </w:r>
      <w:r>
        <w:rPr>
          <w:noProof/>
        </w:rPr>
        <w:t>follow-on damage is not included as it is considered too complex to determine in a quick, reliable and comparable way. The threshold for natural disasters was therefore set at direct damage exceeding 0.6% of gross national income (GNI) or EUR 3 billion (in</w:t>
      </w:r>
      <w:r>
        <w:rPr>
          <w:noProof/>
        </w:rPr>
        <w:t xml:space="preserve"> 2011 prices), whereby the lower amount applies. This double criterion was chosen because a single fixed amount would not reflect the big differences in economic strength (and therefore budgetary response capacities) of the Member States and lead to great </w:t>
      </w:r>
      <w:r>
        <w:rPr>
          <w:noProof/>
        </w:rPr>
        <w:t>injustices and unequal treatment of Member States. A single percentage rate would lead to either extremely low amounts for the smaller Member States or unattainably high thresholds for the biggest economies.</w:t>
      </w:r>
    </w:p>
    <w:p w:rsidR="003A2ADB" w:rsidRDefault="008A783E">
      <w:pPr>
        <w:pBdr>
          <w:top w:val="nil"/>
          <w:left w:val="nil"/>
          <w:bottom w:val="nil"/>
          <w:right w:val="nil"/>
          <w:between w:val="nil"/>
          <w:bar w:val="nil"/>
        </w:pBdr>
        <w:spacing w:before="0" w:after="240"/>
        <w:rPr>
          <w:noProof/>
        </w:rPr>
      </w:pPr>
      <w:r>
        <w:rPr>
          <w:noProof/>
        </w:rPr>
        <w:t>In the case of a disorderly withdrawal of the Un</w:t>
      </w:r>
      <w:r>
        <w:rPr>
          <w:noProof/>
        </w:rPr>
        <w:t>ited Kingdom from the EU, severe consequences for the economies of the Member States are expected. However, it is hardly possible to estimate the direct damage. The same approach as for natural disasters is therefore not possible. Instead, the Commission p</w:t>
      </w:r>
      <w:r>
        <w:rPr>
          <w:noProof/>
        </w:rPr>
        <w:t>roposes to take the financial burden on Member States’ budgets in order to face the additional needs stemming from and directly linked to a withdrawal without an agreement as the reference to determine eligibility. This corresponds largely to the public sh</w:t>
      </w:r>
      <w:r>
        <w:rPr>
          <w:noProof/>
        </w:rPr>
        <w:t>are of direct damage eligible for funding (such as the cost of recovery of public infrastructure, assistance to the population, rescue services etc.) in the case of natural disasters. This eligible public share of total damage varies greatly depending on t</w:t>
      </w:r>
      <w:r>
        <w:rPr>
          <w:noProof/>
        </w:rPr>
        <w:t xml:space="preserve">he disaster and the country affected. On average, it is around 50% of total damage. </w:t>
      </w:r>
    </w:p>
    <w:p w:rsidR="003A2ADB" w:rsidRDefault="008A783E">
      <w:pPr>
        <w:pBdr>
          <w:top w:val="nil"/>
          <w:left w:val="nil"/>
          <w:bottom w:val="nil"/>
          <w:right w:val="nil"/>
          <w:between w:val="nil"/>
          <w:bar w:val="nil"/>
        </w:pBdr>
        <w:spacing w:before="0" w:after="240"/>
        <w:rPr>
          <w:rFonts w:eastAsia="Arial Unicode MS"/>
          <w:noProof/>
        </w:rPr>
      </w:pPr>
      <w:r>
        <w:rPr>
          <w:noProof/>
        </w:rPr>
        <w:t>The Commission is therefore proposing to maintain the principles on which access to the EUSF is based. Accordingly, the lower of 0.3% of GNI or EUR 1.5 billion in 2011 pri</w:t>
      </w:r>
      <w:r>
        <w:rPr>
          <w:noProof/>
        </w:rPr>
        <w:t xml:space="preserve">ces, i.e. half of that applicable to natural disasters, are defined as the minimum level of public expenditure related to the withdrawal without agreement in order to access the EUSF. It is for the Member State to provide evidence for that expenditure and </w:t>
      </w:r>
      <w:r>
        <w:rPr>
          <w:noProof/>
        </w:rPr>
        <w:t>to demonstrate that it is directly imputable to the withdrawal without agreement.</w:t>
      </w:r>
    </w:p>
    <w:p w:rsidR="003A2ADB" w:rsidRDefault="008A783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3A2ADB" w:rsidRDefault="008A783E">
      <w:pPr>
        <w:pBdr>
          <w:top w:val="nil"/>
          <w:left w:val="nil"/>
          <w:bottom w:val="nil"/>
          <w:right w:val="nil"/>
          <w:between w:val="nil"/>
          <w:bar w:val="nil"/>
        </w:pBdr>
        <w:spacing w:before="0" w:after="240"/>
        <w:rPr>
          <w:rFonts w:eastAsia="Arial Unicode MS"/>
          <w:noProof/>
        </w:rPr>
      </w:pPr>
      <w:r>
        <w:rPr>
          <w:noProof/>
        </w:rPr>
        <w:t>The proposal respects the proportionality principle. It does not go beyond what is necessary to achieve the objectives already laid down in the current inst</w:t>
      </w:r>
      <w:r>
        <w:rPr>
          <w:noProof/>
        </w:rPr>
        <w:t>rument.</w:t>
      </w:r>
    </w:p>
    <w:p w:rsidR="003A2ADB" w:rsidRDefault="008A783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3A2ADB" w:rsidRDefault="008A783E">
      <w:pPr>
        <w:pBdr>
          <w:top w:val="nil"/>
          <w:left w:val="nil"/>
          <w:bottom w:val="nil"/>
          <w:right w:val="nil"/>
          <w:between w:val="nil"/>
          <w:bar w:val="nil"/>
        </w:pBdr>
        <w:spacing w:before="0" w:after="240"/>
        <w:rPr>
          <w:rFonts w:eastAsia="Arial Unicode MS"/>
          <w:noProof/>
        </w:rPr>
      </w:pPr>
      <w:r>
        <w:rPr>
          <w:noProof/>
        </w:rPr>
        <w:t>It is proposed to modify the existing Regulation (EC) No 2012/2002 to use the established procedures and practices to prepare and assess the applications for assistance and to implement and report the aid. This exercise i</w:t>
      </w:r>
      <w:r>
        <w:rPr>
          <w:noProof/>
        </w:rPr>
        <w:t xml:space="preserve">s targeted and limited to mitigate economic consequences of a unique event which is the United Kingdom leaving the Union without an agreement. </w:t>
      </w:r>
    </w:p>
    <w:p w:rsidR="003A2ADB" w:rsidRDefault="008A783E">
      <w:pPr>
        <w:pStyle w:val="ManualHeading1"/>
        <w:rPr>
          <w:noProof/>
        </w:rPr>
      </w:pPr>
      <w:r>
        <w:rPr>
          <w:noProof/>
        </w:rPr>
        <w:t>3.</w:t>
      </w:r>
      <w:r>
        <w:rPr>
          <w:noProof/>
        </w:rPr>
        <w:tab/>
        <w:t>RESULTS OF EX-POST EVALUATIONS, STAKEHOLDER CONSULTATIONS AND IMPACT ASSESSMENTS</w:t>
      </w:r>
    </w:p>
    <w:p w:rsidR="003A2ADB" w:rsidRDefault="008A783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Ex-post </w:t>
      </w:r>
      <w:r>
        <w:rPr>
          <w:rFonts w:eastAsia="Arial Unicode MS"/>
          <w:noProof/>
          <w:u w:color="000000"/>
          <w:bdr w:val="nil"/>
          <w:lang w:val="en-US" w:eastAsia="en-GB"/>
        </w:rPr>
        <w:t>evaluations/fitness checks of existing legislation</w:t>
      </w:r>
    </w:p>
    <w:p w:rsidR="003A2ADB" w:rsidRDefault="008A783E">
      <w:pPr>
        <w:pBdr>
          <w:top w:val="nil"/>
          <w:left w:val="nil"/>
          <w:bottom w:val="nil"/>
          <w:right w:val="nil"/>
          <w:between w:val="nil"/>
          <w:bar w:val="nil"/>
        </w:pBdr>
        <w:spacing w:before="0" w:after="240"/>
        <w:rPr>
          <w:rFonts w:eastAsia="Arial Unicode MS"/>
          <w:noProof/>
        </w:rPr>
      </w:pPr>
      <w:r>
        <w:rPr>
          <w:noProof/>
        </w:rPr>
        <w:t>The Ex Post Evaluation 2002-2017</w:t>
      </w:r>
      <w:r>
        <w:rPr>
          <w:rStyle w:val="FootnoteReference"/>
          <w:noProof/>
        </w:rPr>
        <w:footnoteReference w:id="5"/>
      </w:r>
      <w:r>
        <w:rPr>
          <w:noProof/>
        </w:rPr>
        <w:t xml:space="preserve"> concluded that the Fund is a valuable instrument in the EU toolkit for interventions in disaster situations, bringing EU added value to the post-disaster response in Membe</w:t>
      </w:r>
      <w:r>
        <w:rPr>
          <w:noProof/>
        </w:rPr>
        <w:t xml:space="preserve">r States and accession countries. The evaluation also called for further consideration to be given to policy actions that increase the potential for the Fund to intervene. </w:t>
      </w:r>
    </w:p>
    <w:p w:rsidR="003A2ADB" w:rsidRDefault="008A783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3A2ADB" w:rsidRDefault="008A783E">
      <w:pPr>
        <w:rPr>
          <w:noProof/>
        </w:rPr>
      </w:pPr>
      <w:r>
        <w:rPr>
          <w:noProof/>
        </w:rPr>
        <w:t>Due to the urgency to prepare the proposal so that it c</w:t>
      </w:r>
      <w:r>
        <w:rPr>
          <w:noProof/>
        </w:rPr>
        <w:t xml:space="preserve">an be adopted on time by the co-legislators, a stakeholder consultation could not be carried out.  </w:t>
      </w:r>
    </w:p>
    <w:p w:rsidR="003A2ADB" w:rsidRDefault="008A783E">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Impact assessment</w:t>
      </w:r>
    </w:p>
    <w:p w:rsidR="003A2ADB" w:rsidRDefault="008A783E">
      <w:pPr>
        <w:pBdr>
          <w:top w:val="nil"/>
          <w:left w:val="nil"/>
          <w:bottom w:val="nil"/>
          <w:right w:val="nil"/>
          <w:between w:val="nil"/>
          <w:bar w:val="nil"/>
        </w:pBdr>
        <w:spacing w:before="0" w:after="240"/>
        <w:rPr>
          <w:noProof/>
        </w:rPr>
      </w:pPr>
      <w:r>
        <w:rPr>
          <w:noProof/>
        </w:rPr>
        <w:t xml:space="preserve">Due to the urgent nature of the proposal, no impact assessment was carried out. </w:t>
      </w:r>
    </w:p>
    <w:p w:rsidR="003A2ADB" w:rsidRDefault="008A783E">
      <w:pPr>
        <w:pStyle w:val="ManualHeading1"/>
        <w:rPr>
          <w:noProof/>
        </w:rPr>
      </w:pPr>
      <w:r>
        <w:rPr>
          <w:noProof/>
        </w:rPr>
        <w:t>4.</w:t>
      </w:r>
      <w:r>
        <w:rPr>
          <w:noProof/>
        </w:rPr>
        <w:tab/>
        <w:t>BUDGETARY IMPLICATIONS</w:t>
      </w:r>
    </w:p>
    <w:p w:rsidR="003A2ADB" w:rsidRDefault="008A783E">
      <w:pPr>
        <w:spacing w:before="0" w:after="240"/>
        <w:rPr>
          <w:noProof/>
        </w:rPr>
      </w:pPr>
      <w:r>
        <w:rPr>
          <w:noProof/>
        </w:rPr>
        <w:t xml:space="preserve">To maintain the availability </w:t>
      </w:r>
      <w:r>
        <w:rPr>
          <w:noProof/>
        </w:rPr>
        <w:t>of the EUSF for major natural disasters, which is its original purpose, the use of the EUSF for the purpose of the present proposal should be limited to a maximum of 50% of its annual available amount in 2019 and 2020.</w:t>
      </w:r>
    </w:p>
    <w:p w:rsidR="003A2ADB" w:rsidRDefault="008A783E">
      <w:pPr>
        <w:spacing w:before="0" w:after="240"/>
        <w:rPr>
          <w:noProof/>
        </w:rPr>
      </w:pPr>
      <w:r>
        <w:rPr>
          <w:noProof/>
        </w:rPr>
        <w:t xml:space="preserve">The maximum annual allocation of the </w:t>
      </w:r>
      <w:r>
        <w:rPr>
          <w:noProof/>
        </w:rPr>
        <w:t>EUSF is EUR 500 million in 2011 prices. In current prices this means EUR 585.8 million for 2019 plus EUR 597.5 million for 2020, i.e. a total of EUR 1 183.3 million. Up to EUR 591.65 million would therefore be available for the purpose of the current propo</w:t>
      </w:r>
      <w:r>
        <w:rPr>
          <w:noProof/>
        </w:rPr>
        <w:t>sal.</w:t>
      </w:r>
    </w:p>
    <w:p w:rsidR="003A2ADB" w:rsidRDefault="008A783E">
      <w:pPr>
        <w:pBdr>
          <w:top w:val="nil"/>
          <w:left w:val="nil"/>
          <w:bottom w:val="nil"/>
          <w:right w:val="nil"/>
          <w:between w:val="nil"/>
          <w:bar w:val="nil"/>
        </w:pBdr>
        <w:spacing w:before="0" w:after="240"/>
        <w:rPr>
          <w:noProof/>
        </w:rPr>
      </w:pPr>
      <w:r>
        <w:rPr>
          <w:noProof/>
        </w:rPr>
        <w:t>Based on the EUSF assistance already mobilised in 2019 and currently in the process of being mobilised, it is reasonable to expect that the major part, and in any event more than half, of the 2019 allocation will not be spent during that year and will</w:t>
      </w:r>
      <w:r>
        <w:rPr>
          <w:noProof/>
        </w:rPr>
        <w:t xml:space="preserve"> be carried forward to 2020.</w:t>
      </w:r>
    </w:p>
    <w:p w:rsidR="003A2ADB" w:rsidRDefault="008A783E">
      <w:pPr>
        <w:pBdr>
          <w:top w:val="nil"/>
          <w:left w:val="nil"/>
          <w:bottom w:val="nil"/>
          <w:right w:val="nil"/>
          <w:between w:val="nil"/>
          <w:bar w:val="nil"/>
        </w:pBdr>
        <w:spacing w:before="0" w:after="240"/>
        <w:rPr>
          <w:noProof/>
        </w:rPr>
      </w:pPr>
      <w:r>
        <w:rPr>
          <w:noProof/>
        </w:rPr>
        <w:t>Advance payments were introduced with the revision of the EUSF Regulation in 2014 and became effective from 2015. The main justification for their introduction was that the procedure necessary to mobilise the EUSF and pay out t</w:t>
      </w:r>
      <w:r>
        <w:rPr>
          <w:noProof/>
        </w:rPr>
        <w:t xml:space="preserve">he full assistance is too lengthy (typically up to one year) and that the serious crisis situation demanded a quicker response. It was also considered that the long delays in providing assistance were bad for the image of the EU. </w:t>
      </w:r>
    </w:p>
    <w:p w:rsidR="003A2ADB" w:rsidRDefault="008A783E">
      <w:pPr>
        <w:pBdr>
          <w:top w:val="nil"/>
          <w:left w:val="nil"/>
          <w:bottom w:val="nil"/>
          <w:right w:val="nil"/>
          <w:between w:val="nil"/>
          <w:bar w:val="nil"/>
        </w:pBdr>
        <w:spacing w:before="0" w:after="240"/>
        <w:rPr>
          <w:noProof/>
        </w:rPr>
      </w:pPr>
      <w:r>
        <w:rPr>
          <w:noProof/>
        </w:rPr>
        <w:t>The level of advances was</w:t>
      </w:r>
      <w:r>
        <w:rPr>
          <w:noProof/>
        </w:rPr>
        <w:t xml:space="preserve"> set at 10% of the expected EUSF contribution, limited to a maximum of EUR 30 million. It turned out that this level was not satisfactory. In case of smaller disasters where the EUSF contribution amounts to a few million Euros the advance is not much more </w:t>
      </w:r>
      <w:r>
        <w:rPr>
          <w:noProof/>
        </w:rPr>
        <w:t>than some hundred thousand euros which hardly make a difference. In the event of very big disasters such as the Abruzzo earthquake with EUR 22 billion in damage and an EUSF contribution of EUR 1.2 billion an advance of no more than EUR 30 million is totall</w:t>
      </w:r>
      <w:r>
        <w:rPr>
          <w:noProof/>
        </w:rPr>
        <w:t>y inadequate. In both scenarios the advance payment is disproportionate to its effects on the ground. The recent ex-post evaluation of the EUSF (2002-2017) confirms this analysis.</w:t>
      </w:r>
    </w:p>
    <w:p w:rsidR="003A2ADB" w:rsidRDefault="008A783E">
      <w:pPr>
        <w:pBdr>
          <w:top w:val="nil"/>
          <w:left w:val="nil"/>
          <w:bottom w:val="nil"/>
          <w:right w:val="nil"/>
          <w:between w:val="nil"/>
          <w:bar w:val="nil"/>
        </w:pBdr>
        <w:spacing w:before="0" w:after="240"/>
        <w:rPr>
          <w:noProof/>
        </w:rPr>
      </w:pPr>
      <w:r>
        <w:rPr>
          <w:noProof/>
        </w:rPr>
        <w:t>The Commission therefore proposes to raise the level of advance payments for</w:t>
      </w:r>
      <w:r>
        <w:rPr>
          <w:noProof/>
        </w:rPr>
        <w:t xml:space="preserve"> individual disasters of all categories to 25% of the expected EUSF contribution, limited to a maximum of EUR 100 million.</w:t>
      </w:r>
    </w:p>
    <w:p w:rsidR="003A2ADB" w:rsidRDefault="008A783E">
      <w:pPr>
        <w:pBdr>
          <w:top w:val="nil"/>
          <w:left w:val="nil"/>
          <w:bottom w:val="nil"/>
          <w:right w:val="nil"/>
          <w:between w:val="nil"/>
          <w:bar w:val="nil"/>
        </w:pBdr>
        <w:spacing w:before="0" w:after="240"/>
        <w:rPr>
          <w:noProof/>
        </w:rPr>
      </w:pPr>
      <w:r>
        <w:rPr>
          <w:noProof/>
        </w:rPr>
        <w:t>The Commission also proposes to increase the total level of appropriations for EUSF advances in the annual budget from EUR 50 million</w:t>
      </w:r>
      <w:r>
        <w:rPr>
          <w:noProof/>
        </w:rPr>
        <w:t xml:space="preserve"> to EUR 100 million. The Draft Budget for 2020 does not incorporate this proposal. In order to ensure the timely availability of resources where necessary, the Commission will propose to enter additional appropriations for a maximum of </w:t>
      </w:r>
      <w:r w:rsidRPr="008A783E">
        <w:rPr>
          <w:noProof/>
        </w:rPr>
        <w:t xml:space="preserve">EUR </w:t>
      </w:r>
      <w:r w:rsidRPr="008A783E">
        <w:rPr>
          <w:noProof/>
        </w:rPr>
        <w:t>50 million</w:t>
      </w:r>
      <w:r w:rsidRPr="008A783E">
        <w:rPr>
          <w:noProof/>
        </w:rPr>
        <w:t xml:space="preserve"> in th</w:t>
      </w:r>
      <w:r w:rsidRPr="008A783E">
        <w:rPr>
          <w:noProof/>
        </w:rPr>
        <w:t>e</w:t>
      </w:r>
      <w:r>
        <w:rPr>
          <w:noProof/>
        </w:rPr>
        <w:t xml:space="preserve"> budget for 2020. </w:t>
      </w:r>
    </w:p>
    <w:p w:rsidR="003A2ADB" w:rsidRDefault="008A783E">
      <w:pPr>
        <w:pStyle w:val="ManualHeading1"/>
        <w:rPr>
          <w:noProof/>
        </w:rPr>
      </w:pPr>
      <w:r>
        <w:rPr>
          <w:noProof/>
        </w:rPr>
        <w:t>5.</w:t>
      </w:r>
      <w:r>
        <w:rPr>
          <w:noProof/>
        </w:rPr>
        <w:tab/>
        <w:t>OTHER ELEMENTS</w:t>
      </w:r>
    </w:p>
    <w:p w:rsidR="003A2ADB" w:rsidRDefault="008A783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3A2ADB" w:rsidRDefault="008A783E">
      <w:pPr>
        <w:pBdr>
          <w:top w:val="nil"/>
          <w:left w:val="nil"/>
          <w:bottom w:val="nil"/>
          <w:right w:val="nil"/>
          <w:between w:val="nil"/>
          <w:bar w:val="nil"/>
        </w:pBdr>
        <w:spacing w:before="0" w:after="240"/>
        <w:rPr>
          <w:rFonts w:eastAsia="Arial Unicode MS"/>
          <w:noProof/>
        </w:rPr>
      </w:pPr>
      <w:r>
        <w:rPr>
          <w:noProof/>
        </w:rPr>
        <w:t>Maximum transparency and proper monitoring of the use of the EU financial resources are required. Reporting obligations for the Member States</w:t>
      </w:r>
      <w:r>
        <w:rPr>
          <w:noProof/>
        </w:rPr>
        <w:t xml:space="preserve"> and the Commission, will apply as set out in Regulation (EC) No 2012/2002. </w:t>
      </w:r>
    </w:p>
    <w:p w:rsidR="003A2ADB" w:rsidRDefault="003A2ADB">
      <w:pPr>
        <w:rPr>
          <w:noProof/>
        </w:rPr>
        <w:sectPr w:rsidR="003A2ADB">
          <w:footerReference w:type="default" r:id="rId10"/>
          <w:footerReference w:type="first" r:id="rId11"/>
          <w:pgSz w:w="11907" w:h="16839"/>
          <w:pgMar w:top="1134" w:right="1417" w:bottom="1134" w:left="1417" w:header="709" w:footer="709" w:gutter="0"/>
          <w:cols w:space="708"/>
          <w:docGrid w:linePitch="360"/>
        </w:sectPr>
      </w:pPr>
    </w:p>
    <w:p w:rsidR="003A2ADB" w:rsidRDefault="008A783E">
      <w:pPr>
        <w:pStyle w:val="Rfrenceinterinstitutionnelle"/>
        <w:rPr>
          <w:noProof/>
        </w:rPr>
      </w:pPr>
      <w:r>
        <w:rPr>
          <w:noProof/>
        </w:rPr>
        <w:t>2019/0183 (COD)</w:t>
      </w:r>
    </w:p>
    <w:p w:rsidR="003A2ADB" w:rsidRDefault="008A783E">
      <w:pPr>
        <w:pStyle w:val="Statut"/>
        <w:rPr>
          <w:noProof/>
        </w:rPr>
      </w:pPr>
      <w:r>
        <w:rPr>
          <w:noProof/>
        </w:rPr>
        <w:t>Proposal for a</w:t>
      </w:r>
    </w:p>
    <w:p w:rsidR="003A2ADB" w:rsidRDefault="008A783E">
      <w:pPr>
        <w:pStyle w:val="Typedudocument"/>
        <w:rPr>
          <w:noProof/>
        </w:rPr>
      </w:pPr>
      <w:r>
        <w:rPr>
          <w:noProof/>
        </w:rPr>
        <w:t>REGULATION OF THE EUROPEAN PARLIAMENT AND OF THE COUNCIL</w:t>
      </w:r>
    </w:p>
    <w:p w:rsidR="003A2ADB" w:rsidRDefault="008A783E">
      <w:pPr>
        <w:pStyle w:val="Titreobjet"/>
        <w:rPr>
          <w:noProof/>
        </w:rPr>
      </w:pPr>
      <w:r>
        <w:rPr>
          <w:noProof/>
        </w:rPr>
        <w:t xml:space="preserve">amending Council Regulation (EC) </w:t>
      </w:r>
      <w:r>
        <w:rPr>
          <w:noProof/>
        </w:rPr>
        <w:t>No 2012/2002 in order to provide financial assistance to Member States to cover serious financial burden inflicted on them following a withdrawal of the United Kingdom from the Union without an agreement</w:t>
      </w:r>
    </w:p>
    <w:p w:rsidR="003A2ADB" w:rsidRDefault="008A783E">
      <w:pPr>
        <w:pStyle w:val="Institutionquiagit"/>
        <w:rPr>
          <w:noProof/>
        </w:rPr>
      </w:pPr>
      <w:r>
        <w:rPr>
          <w:noProof/>
        </w:rPr>
        <w:t>THE EUROPEAN PARLIAMENT AND THE COUNCIL OF THE EUROP</w:t>
      </w:r>
      <w:r>
        <w:rPr>
          <w:noProof/>
        </w:rPr>
        <w:t xml:space="preserve">EAN </w:t>
      </w:r>
      <w:smartTag w:uri="urn:schemas-microsoft-com:office:smarttags" w:element="place">
        <w:r>
          <w:rPr>
            <w:noProof/>
          </w:rPr>
          <w:t>UNION</w:t>
        </w:r>
      </w:smartTag>
      <w:r>
        <w:rPr>
          <w:noProof/>
        </w:rPr>
        <w:t>,</w:t>
      </w:r>
    </w:p>
    <w:p w:rsidR="003A2ADB" w:rsidRDefault="008A783E">
      <w:pPr>
        <w:rPr>
          <w:noProof/>
        </w:rPr>
      </w:pPr>
      <w:r>
        <w:rPr>
          <w:noProof/>
        </w:rPr>
        <w:t>Having regard to the Treaty on the Functioning of the European Union, and in particular the third paragraph of Article 175 thereof,</w:t>
      </w:r>
    </w:p>
    <w:p w:rsidR="003A2ADB" w:rsidRDefault="008A783E">
      <w:pPr>
        <w:rPr>
          <w:noProof/>
        </w:rPr>
      </w:pPr>
      <w:r>
        <w:rPr>
          <w:noProof/>
        </w:rPr>
        <w:t>Having regard to the proposal from the European Commission,</w:t>
      </w:r>
    </w:p>
    <w:p w:rsidR="003A2ADB" w:rsidRDefault="008A783E">
      <w:pPr>
        <w:rPr>
          <w:noProof/>
        </w:rPr>
      </w:pPr>
      <w:r>
        <w:rPr>
          <w:noProof/>
        </w:rPr>
        <w:t>After transmission of the draft legislative act to th</w:t>
      </w:r>
      <w:r>
        <w:rPr>
          <w:noProof/>
        </w:rPr>
        <w:t>e national parliaments,</w:t>
      </w:r>
    </w:p>
    <w:p w:rsidR="003A2ADB" w:rsidRDefault="008A783E">
      <w:pPr>
        <w:rPr>
          <w:noProof/>
        </w:rPr>
      </w:pPr>
      <w:r>
        <w:rPr>
          <w:noProof/>
        </w:rPr>
        <w:t>Having regard to the opinion of the European Economic and Social Committee</w:t>
      </w:r>
      <w:r>
        <w:rPr>
          <w:rStyle w:val="FootnoteReference"/>
          <w:noProof/>
        </w:rPr>
        <w:footnoteReference w:id="6"/>
      </w:r>
      <w:r>
        <w:rPr>
          <w:noProof/>
        </w:rPr>
        <w:t xml:space="preserve">, </w:t>
      </w:r>
    </w:p>
    <w:p w:rsidR="003A2ADB" w:rsidRDefault="008A783E">
      <w:pPr>
        <w:rPr>
          <w:noProof/>
        </w:rPr>
      </w:pPr>
      <w:r>
        <w:rPr>
          <w:noProof/>
        </w:rPr>
        <w:t>Having regard to the opinion of the Committee of the Regions</w:t>
      </w:r>
      <w:r>
        <w:rPr>
          <w:rStyle w:val="FootnoteReference"/>
          <w:noProof/>
        </w:rPr>
        <w:footnoteReference w:id="7"/>
      </w:r>
      <w:r>
        <w:rPr>
          <w:noProof/>
        </w:rPr>
        <w:t xml:space="preserve">, </w:t>
      </w:r>
    </w:p>
    <w:p w:rsidR="003A2ADB" w:rsidRDefault="008A783E">
      <w:pPr>
        <w:rPr>
          <w:noProof/>
        </w:rPr>
      </w:pPr>
      <w:r>
        <w:rPr>
          <w:noProof/>
        </w:rPr>
        <w:t>Acting in accordance with the ordinary legislative procedure,</w:t>
      </w:r>
    </w:p>
    <w:p w:rsidR="003A2ADB" w:rsidRDefault="008A783E">
      <w:pPr>
        <w:rPr>
          <w:noProof/>
        </w:rPr>
      </w:pPr>
      <w:r>
        <w:rPr>
          <w:noProof/>
        </w:rPr>
        <w:t>Whereas:</w:t>
      </w:r>
    </w:p>
    <w:p w:rsidR="003A2ADB" w:rsidRDefault="008A783E">
      <w:pPr>
        <w:pStyle w:val="ManualConsidrant"/>
        <w:rPr>
          <w:noProof/>
        </w:rPr>
      </w:pPr>
      <w:r>
        <w:t>(1)</w:t>
      </w:r>
      <w:r>
        <w:tab/>
      </w:r>
      <w:r>
        <w:rPr>
          <w:noProof/>
        </w:rPr>
        <w:t>The European Un</w:t>
      </w:r>
      <w:r>
        <w:rPr>
          <w:noProof/>
        </w:rPr>
        <w:t>ion Solidarity Fund (‘the Fund’) was established by Council Regulation (EC) No 2012/2002</w:t>
      </w:r>
      <w:r>
        <w:rPr>
          <w:rStyle w:val="FootnoteReference"/>
          <w:noProof/>
        </w:rPr>
        <w:footnoteReference w:id="8"/>
      </w:r>
      <w:r>
        <w:rPr>
          <w:noProof/>
        </w:rPr>
        <w:t>. The Fund was created to provide financial assistance to Member States following emergency situations as a concrete sign of European solidarity in situations of distr</w:t>
      </w:r>
      <w:r>
        <w:rPr>
          <w:noProof/>
        </w:rPr>
        <w:t xml:space="preserve">ess. </w:t>
      </w:r>
    </w:p>
    <w:p w:rsidR="003A2ADB" w:rsidRDefault="008A783E">
      <w:pPr>
        <w:pStyle w:val="ManualConsidrant"/>
        <w:rPr>
          <w:noProof/>
        </w:rPr>
      </w:pPr>
      <w:r>
        <w:t>(2)</w:t>
      </w:r>
      <w:r>
        <w:tab/>
      </w:r>
      <w:r>
        <w:rPr>
          <w:noProof/>
        </w:rPr>
        <w:t xml:space="preserve">On 29 March 2017, the United Kingdom submitted the notification of its intention to withdraw from the Union pursuant to Article 50 of the Treaty on European Union (TEU). The Treaties cease to apply to the United Kingdom from the date of entry </w:t>
      </w:r>
      <w:r>
        <w:rPr>
          <w:noProof/>
        </w:rPr>
        <w:t>into force of a withdrawal agreement or failing that, two years after that notification, unless the European Council, in agreement with the United Kingdom, unanimously decides to extend that period.</w:t>
      </w:r>
    </w:p>
    <w:p w:rsidR="003A2ADB" w:rsidRDefault="008A783E">
      <w:pPr>
        <w:pStyle w:val="ManualConsidrant"/>
        <w:rPr>
          <w:noProof/>
        </w:rPr>
      </w:pPr>
      <w:r>
        <w:t>(3)</w:t>
      </w:r>
      <w:r>
        <w:tab/>
      </w:r>
      <w:r>
        <w:rPr>
          <w:noProof/>
        </w:rPr>
        <w:t>On 11 April 2019, following a request by the United K</w:t>
      </w:r>
      <w:r>
        <w:rPr>
          <w:noProof/>
        </w:rPr>
        <w:t>ingdom, the European Council agreed</w:t>
      </w:r>
      <w:r>
        <w:rPr>
          <w:rStyle w:val="FootnoteReference"/>
          <w:noProof/>
        </w:rPr>
        <w:footnoteReference w:id="9"/>
      </w:r>
      <w:r>
        <w:rPr>
          <w:noProof/>
        </w:rPr>
        <w:t xml:space="preserve"> to extend further</w:t>
      </w:r>
      <w:r>
        <w:rPr>
          <w:rStyle w:val="FootnoteReference"/>
          <w:noProof/>
        </w:rPr>
        <w:footnoteReference w:id="10"/>
      </w:r>
      <w:r>
        <w:rPr>
          <w:noProof/>
        </w:rPr>
        <w:t xml:space="preserve"> the period provided for in Article 50(3) TEU until 31 October 2019. Unless the United Kingdom ratifies the Withdrawal Agreement</w:t>
      </w:r>
      <w:r>
        <w:rPr>
          <w:rStyle w:val="FootnoteReference"/>
          <w:noProof/>
        </w:rPr>
        <w:footnoteReference w:id="11"/>
      </w:r>
      <w:r>
        <w:rPr>
          <w:noProof/>
        </w:rPr>
        <w:t xml:space="preserve"> by 31 October 2019 or requests a third extension, to which the European</w:t>
      </w:r>
      <w:r>
        <w:rPr>
          <w:noProof/>
        </w:rPr>
        <w:t xml:space="preserve"> Council agrees by unanimity, the United Kingdom will leave the Union without an agreement and will become a third country as of 1 November 2019.</w:t>
      </w:r>
    </w:p>
    <w:p w:rsidR="003A2ADB" w:rsidRDefault="008A783E">
      <w:pPr>
        <w:pStyle w:val="ManualConsidrant"/>
        <w:rPr>
          <w:noProof/>
        </w:rPr>
      </w:pPr>
      <w:r>
        <w:t>(4)</w:t>
      </w:r>
      <w:r>
        <w:tab/>
      </w:r>
      <w:r>
        <w:rPr>
          <w:noProof/>
        </w:rPr>
        <w:t>To mitigate the economic impact of the withdrawal of the United Kingdom from the Union without an agreemen</w:t>
      </w:r>
      <w:r>
        <w:rPr>
          <w:noProof/>
        </w:rPr>
        <w:t xml:space="preserve">t and to show solidarity with the most affected Member States in such exceptional circumstances, Regulation (EC) No 2012/2002 should be amended to support related public expenditure.  </w:t>
      </w:r>
    </w:p>
    <w:p w:rsidR="003A2ADB" w:rsidRDefault="008A783E">
      <w:pPr>
        <w:pStyle w:val="ManualConsidrant"/>
        <w:rPr>
          <w:noProof/>
        </w:rPr>
      </w:pPr>
      <w:r>
        <w:t>(5)</w:t>
      </w:r>
      <w:r>
        <w:tab/>
      </w:r>
      <w:r>
        <w:rPr>
          <w:noProof/>
        </w:rPr>
        <w:t>As this is an exceptional use of the Fund, its assistance to mitiga</w:t>
      </w:r>
      <w:r>
        <w:rPr>
          <w:noProof/>
        </w:rPr>
        <w:t>te serious financial burden, inflicted on the Member States as a direct consequence of the withdrawal of the United Kingdom from the Union without an agreement, should be targeted and limited in time to safeguard the Fund’s original rationale and its capac</w:t>
      </w:r>
      <w:r>
        <w:rPr>
          <w:noProof/>
        </w:rPr>
        <w:t>ity to respond to natural disasters.</w:t>
      </w:r>
    </w:p>
    <w:p w:rsidR="003A2ADB" w:rsidRDefault="008A783E">
      <w:pPr>
        <w:pStyle w:val="ManualConsidrant"/>
        <w:rPr>
          <w:noProof/>
        </w:rPr>
      </w:pPr>
      <w:r>
        <w:t>(6)</w:t>
      </w:r>
      <w:r>
        <w:tab/>
      </w:r>
      <w:r>
        <w:rPr>
          <w:noProof/>
        </w:rPr>
        <w:t>For the purposes of this exceptional use of the Fund, it is appropriate to establish a minimum amount of estimated damage above which a Member State may apply for assistance from the Fund due to the withdrawal of th</w:t>
      </w:r>
      <w:r>
        <w:rPr>
          <w:noProof/>
        </w:rPr>
        <w:t>e United Kingdom from the Union without an agreement. In addition, the eligibility rules need to be amended to include support for public expenditure incurred as a result of the withdrawal of the United Kingdom from the Union without an agreement.</w:t>
      </w:r>
    </w:p>
    <w:p w:rsidR="003A2ADB" w:rsidRDefault="008A783E">
      <w:pPr>
        <w:pStyle w:val="ManualConsidrant"/>
        <w:rPr>
          <w:noProof/>
        </w:rPr>
      </w:pPr>
      <w:r>
        <w:t>(7)</w:t>
      </w:r>
      <w:r>
        <w:tab/>
      </w:r>
      <w:r>
        <w:rPr>
          <w:noProof/>
        </w:rPr>
        <w:t>To e</w:t>
      </w:r>
      <w:r>
        <w:rPr>
          <w:noProof/>
        </w:rPr>
        <w:t>nsure equal treatment among the Member States, there should be one single deadline applicable to all Member States for the submission of applications for a financial contribution from the Fund, without possibility to extend an application after that deadli</w:t>
      </w:r>
      <w:r>
        <w:rPr>
          <w:noProof/>
        </w:rPr>
        <w:t>ne to cover additional expenditure.</w:t>
      </w:r>
    </w:p>
    <w:p w:rsidR="003A2ADB" w:rsidRDefault="008A783E">
      <w:pPr>
        <w:pStyle w:val="ManualConsidrant"/>
        <w:rPr>
          <w:noProof/>
        </w:rPr>
      </w:pPr>
      <w:r>
        <w:t>(8)</w:t>
      </w:r>
      <w:r>
        <w:tab/>
      </w:r>
      <w:r>
        <w:rPr>
          <w:noProof/>
        </w:rPr>
        <w:t>To maintain the availability of the Fund for natural disasters, its original purpose, a budgetary ceiling for support related to the withdrawal of the United Kingdom from the Union without an agreement should be esta</w:t>
      </w:r>
      <w:r>
        <w:rPr>
          <w:noProof/>
        </w:rPr>
        <w:t>blished.</w:t>
      </w:r>
    </w:p>
    <w:p w:rsidR="003A2ADB" w:rsidRDefault="008A783E">
      <w:pPr>
        <w:pStyle w:val="ManualConsidrant"/>
        <w:rPr>
          <w:noProof/>
        </w:rPr>
      </w:pPr>
      <w:r>
        <w:t>(9)</w:t>
      </w:r>
      <w:r>
        <w:tab/>
      </w:r>
      <w:r>
        <w:rPr>
          <w:noProof/>
        </w:rPr>
        <w:t>Assistance from the Fund to mitigate serious financial burden inflicted on the Member States as a consequence of the withdrawal of the United Kingdom from the Union without an agreement should be subject to the same rules for implementation, m</w:t>
      </w:r>
      <w:r>
        <w:rPr>
          <w:noProof/>
        </w:rPr>
        <w:t>onitoring, reporting, control and audit as any other interventions of the Fund. In addition, given the broad scope of public expenditure potentially eligible for support, it is important to ensure that other provisions of EU law, in particular the State ai</w:t>
      </w:r>
      <w:r>
        <w:rPr>
          <w:noProof/>
        </w:rPr>
        <w:t>d rules, are respected.</w:t>
      </w:r>
    </w:p>
    <w:p w:rsidR="003A2ADB" w:rsidRDefault="008A783E">
      <w:pPr>
        <w:pStyle w:val="ManualConsidrant"/>
        <w:rPr>
          <w:noProof/>
        </w:rPr>
      </w:pPr>
      <w:r>
        <w:t>(10)</w:t>
      </w:r>
      <w:r>
        <w:tab/>
      </w:r>
      <w:r>
        <w:rPr>
          <w:noProof/>
        </w:rPr>
        <w:t xml:space="preserve">The Commission should be able to take a rapid decision to commit specific financial resources and to mobilise them as quickly as possible. The existing provisions for making advance payments should therefore be strengthened by </w:t>
      </w:r>
      <w:r>
        <w:rPr>
          <w:noProof/>
        </w:rPr>
        <w:t>increasing their amounts.</w:t>
      </w:r>
    </w:p>
    <w:p w:rsidR="003A2ADB" w:rsidRDefault="008A783E">
      <w:pPr>
        <w:pStyle w:val="ManualConsidrant"/>
        <w:rPr>
          <w:noProof/>
        </w:rPr>
      </w:pPr>
      <w:r>
        <w:t>(11)</w:t>
      </w:r>
      <w:r>
        <w:tab/>
      </w:r>
      <w:r>
        <w:rPr>
          <w:noProof/>
        </w:rPr>
        <w:t xml:space="preserve">This Regulation should enter into force as a matter of urgency on the day following that of its publication in the </w:t>
      </w:r>
      <w:r>
        <w:rPr>
          <w:i/>
          <w:noProof/>
        </w:rPr>
        <w:t>Official Journal of the European Union</w:t>
      </w:r>
      <w:r>
        <w:rPr>
          <w:noProof/>
        </w:rPr>
        <w:t xml:space="preserve"> and should apply from the day following that on which the Treaties ceas</w:t>
      </w:r>
      <w:r>
        <w:rPr>
          <w:noProof/>
        </w:rPr>
        <w:t>e to apply to the United Kingdom pursuant to Article 50(3) TEU unless a withdrawal agreement concluded with the United Kingdom has entered into force by that date.</w:t>
      </w:r>
    </w:p>
    <w:p w:rsidR="003A2ADB" w:rsidRDefault="008A783E">
      <w:pPr>
        <w:pStyle w:val="ManualConsidrant"/>
        <w:rPr>
          <w:noProof/>
        </w:rPr>
      </w:pPr>
      <w:r>
        <w:t>(12)</w:t>
      </w:r>
      <w:r>
        <w:tab/>
      </w:r>
      <w:r>
        <w:rPr>
          <w:noProof/>
        </w:rPr>
        <w:t>Regulation (EC) No 2012/2002 should therefore be amended accordingly,</w:t>
      </w:r>
    </w:p>
    <w:p w:rsidR="003A2ADB" w:rsidRDefault="008A783E">
      <w:pPr>
        <w:pStyle w:val="Formuledadoption"/>
        <w:rPr>
          <w:noProof/>
        </w:rPr>
      </w:pPr>
      <w:r>
        <w:rPr>
          <w:noProof/>
        </w:rPr>
        <w:t>HAVE ADOPTED THIS</w:t>
      </w:r>
      <w:r>
        <w:rPr>
          <w:noProof/>
        </w:rPr>
        <w:t xml:space="preserve"> REGULATION:</w:t>
      </w:r>
    </w:p>
    <w:p w:rsidR="003A2ADB" w:rsidRDefault="008A783E">
      <w:pPr>
        <w:pStyle w:val="Titrearticle"/>
        <w:rPr>
          <w:noProof/>
        </w:rPr>
      </w:pPr>
      <w:r>
        <w:rPr>
          <w:noProof/>
        </w:rPr>
        <w:t>Article 1</w:t>
      </w:r>
    </w:p>
    <w:p w:rsidR="003A2ADB" w:rsidRDefault="008A783E">
      <w:pPr>
        <w:rPr>
          <w:noProof/>
        </w:rPr>
      </w:pPr>
      <w:r>
        <w:rPr>
          <w:noProof/>
        </w:rPr>
        <w:t>Regulation (EC) No 2012/2002 is amended as follows:</w:t>
      </w:r>
    </w:p>
    <w:p w:rsidR="003A2ADB" w:rsidRDefault="008A783E">
      <w:pPr>
        <w:pStyle w:val="Point0"/>
        <w:rPr>
          <w:noProof/>
        </w:rPr>
      </w:pPr>
      <w:r>
        <w:t>(1)</w:t>
      </w:r>
      <w:r>
        <w:tab/>
      </w:r>
      <w:r>
        <w:rPr>
          <w:noProof/>
        </w:rPr>
        <w:t>Before Article 1, the following heading is inserted:</w:t>
      </w:r>
    </w:p>
    <w:p w:rsidR="003A2ADB" w:rsidRDefault="008A783E">
      <w:pPr>
        <w:pStyle w:val="SectionTitle"/>
        <w:rPr>
          <w:noProof/>
        </w:rPr>
      </w:pPr>
      <w:r>
        <w:rPr>
          <w:noProof/>
        </w:rPr>
        <w:t>“TITLE I</w:t>
      </w:r>
      <w:r>
        <w:rPr>
          <w:noProof/>
        </w:rPr>
        <w:br/>
        <w:t>SCOPE AND ELIGIBILITY”</w:t>
      </w:r>
    </w:p>
    <w:p w:rsidR="003A2ADB" w:rsidRDefault="008A783E">
      <w:pPr>
        <w:pStyle w:val="Point0"/>
        <w:rPr>
          <w:noProof/>
        </w:rPr>
      </w:pPr>
      <w:r>
        <w:t>(2)</w:t>
      </w:r>
      <w:r>
        <w:tab/>
      </w:r>
      <w:r>
        <w:rPr>
          <w:noProof/>
        </w:rPr>
        <w:t xml:space="preserve">In Article 1 the following subparagraph is added: </w:t>
      </w:r>
    </w:p>
    <w:p w:rsidR="003A2ADB" w:rsidRDefault="008A783E">
      <w:pPr>
        <w:pStyle w:val="Text1"/>
        <w:rPr>
          <w:noProof/>
        </w:rPr>
      </w:pPr>
      <w:r>
        <w:rPr>
          <w:noProof/>
        </w:rPr>
        <w:t xml:space="preserve">“For the purpose of this Regulation, </w:t>
      </w:r>
      <w:r>
        <w:rPr>
          <w:noProof/>
        </w:rPr>
        <w:t>the notion of “major disasters” covers natural disasters as well as situations where serious financial burden is inflicted on a Member State as a direct consequence of the withdrawal of the United Kingdom from the Union without an agreement.”.</w:t>
      </w:r>
    </w:p>
    <w:p w:rsidR="003A2ADB" w:rsidRDefault="008A783E">
      <w:pPr>
        <w:pStyle w:val="Point0"/>
        <w:rPr>
          <w:noProof/>
        </w:rPr>
      </w:pPr>
      <w:r>
        <w:t>(3)</w:t>
      </w:r>
      <w:r>
        <w:tab/>
      </w:r>
      <w:r>
        <w:rPr>
          <w:noProof/>
        </w:rPr>
        <w:t>The foll</w:t>
      </w:r>
      <w:r>
        <w:rPr>
          <w:noProof/>
        </w:rPr>
        <w:t>owing new Articles 3a and 3b are inserted:</w:t>
      </w:r>
    </w:p>
    <w:p w:rsidR="003A2ADB" w:rsidRDefault="008A783E">
      <w:pPr>
        <w:pStyle w:val="Titrearticle"/>
        <w:rPr>
          <w:noProof/>
        </w:rPr>
      </w:pPr>
      <w:r>
        <w:rPr>
          <w:noProof/>
        </w:rPr>
        <w:t xml:space="preserve">"Article 3a </w:t>
      </w:r>
    </w:p>
    <w:p w:rsidR="003A2ADB" w:rsidRDefault="008A783E">
      <w:pPr>
        <w:pStyle w:val="Point1"/>
        <w:rPr>
          <w:noProof/>
        </w:rPr>
      </w:pPr>
      <w:r>
        <w:t>(1)</w:t>
      </w:r>
      <w:r>
        <w:tab/>
      </w:r>
      <w:r>
        <w:rPr>
          <w:noProof/>
        </w:rPr>
        <w:t>At the request of a Member State, assistance from the Fund may also be mobilised when serious financial burden is inflicted on this Member State as a direct consequence of the United Kingdom leavi</w:t>
      </w:r>
      <w:r>
        <w:rPr>
          <w:noProof/>
        </w:rPr>
        <w:t>ng the Union without an agreement in accordance with Article 50(2) TEU (“withdrawal without an agreement”). The assistance shall take the form of a financial contribution from the Fund.</w:t>
      </w:r>
    </w:p>
    <w:p w:rsidR="003A2ADB" w:rsidRDefault="008A783E">
      <w:pPr>
        <w:pStyle w:val="Point1"/>
        <w:rPr>
          <w:noProof/>
        </w:rPr>
      </w:pPr>
      <w:r>
        <w:t>(2)</w:t>
      </w:r>
      <w:r>
        <w:tab/>
      </w:r>
      <w:r>
        <w:rPr>
          <w:noProof/>
        </w:rPr>
        <w:t>The available appropriations for this goal shall be limited to hal</w:t>
      </w:r>
      <w:r>
        <w:rPr>
          <w:noProof/>
        </w:rPr>
        <w:t xml:space="preserve">f of the maximum available amount for the Fund intervention for the years 2019 and 2020. </w:t>
      </w:r>
    </w:p>
    <w:p w:rsidR="003A2ADB" w:rsidRDefault="008A783E">
      <w:pPr>
        <w:pStyle w:val="Point1"/>
        <w:rPr>
          <w:noProof/>
        </w:rPr>
      </w:pPr>
      <w:r>
        <w:t>(3)</w:t>
      </w:r>
      <w:r>
        <w:tab/>
      </w:r>
      <w:r>
        <w:rPr>
          <w:noProof/>
        </w:rPr>
        <w:t>Such assistance shall cover a part of the additional public expenditure caused directly by the withdrawal without an agreement and incurred exclusively between th</w:t>
      </w:r>
      <w:r>
        <w:rPr>
          <w:noProof/>
        </w:rPr>
        <w:t xml:space="preserve">e date of the withdrawal without an agreement and 31 December 2020 ("financial burden"). </w:t>
      </w:r>
    </w:p>
    <w:p w:rsidR="003A2ADB" w:rsidRDefault="008A783E">
      <w:pPr>
        <w:pStyle w:val="Point1"/>
        <w:rPr>
          <w:noProof/>
        </w:rPr>
      </w:pPr>
      <w:r>
        <w:t>(4)</w:t>
      </w:r>
      <w:r>
        <w:tab/>
      </w:r>
      <w:r>
        <w:rPr>
          <w:noProof/>
        </w:rPr>
        <w:t>A Member State shall be eligible to apply for assistance under this Article, if the financial burden it has suffered is estimated to be either over EUR 1 500 000 </w:t>
      </w:r>
      <w:r>
        <w:rPr>
          <w:noProof/>
        </w:rPr>
        <w:t>000 in 2011 prices, or more than 0.3 % of its GNI.</w:t>
      </w:r>
    </w:p>
    <w:p w:rsidR="003A2ADB" w:rsidRDefault="008A783E">
      <w:pPr>
        <w:pStyle w:val="Point1"/>
        <w:rPr>
          <w:noProof/>
        </w:rPr>
      </w:pPr>
      <w:r>
        <w:t>(5)</w:t>
      </w:r>
      <w:r>
        <w:tab/>
      </w:r>
      <w:r>
        <w:rPr>
          <w:noProof/>
        </w:rPr>
        <w:t xml:space="preserve">Only Member States may apply for assistance from the Fund under this Article. </w:t>
      </w:r>
    </w:p>
    <w:p w:rsidR="003A2ADB" w:rsidRDefault="008A783E">
      <w:pPr>
        <w:pStyle w:val="Titrearticle"/>
        <w:rPr>
          <w:noProof/>
        </w:rPr>
      </w:pPr>
      <w:r>
        <w:rPr>
          <w:noProof/>
        </w:rPr>
        <w:t xml:space="preserve">Article 3b </w:t>
      </w:r>
    </w:p>
    <w:p w:rsidR="003A2ADB" w:rsidRDefault="008A783E">
      <w:pPr>
        <w:pStyle w:val="Point1"/>
        <w:rPr>
          <w:noProof/>
        </w:rPr>
      </w:pPr>
      <w:r>
        <w:t>(1)</w:t>
      </w:r>
      <w:r>
        <w:tab/>
      </w:r>
      <w:r>
        <w:rPr>
          <w:noProof/>
        </w:rPr>
        <w:t>Assistance provided under Article 3a shall cover only the financial burden borne by a Member State compare</w:t>
      </w:r>
      <w:r>
        <w:rPr>
          <w:noProof/>
        </w:rPr>
        <w:t>d to the situation where an agreement between the Union and the United Kingdom would have been concluded. Such assistance may be used, for example, to provide support to businesses affected by the withdrawal without an agreement, including support to State</w:t>
      </w:r>
      <w:r>
        <w:rPr>
          <w:noProof/>
        </w:rPr>
        <w:t xml:space="preserve"> aid measures for those businesses and related interventions; measures to preserve existing employment; and to ensure the functioning of border, customs, sanitary and phytosanitary controls, including additional personnel and infrastructure.</w:t>
      </w:r>
    </w:p>
    <w:p w:rsidR="003A2ADB" w:rsidRDefault="008A783E">
      <w:pPr>
        <w:pStyle w:val="Point1"/>
        <w:rPr>
          <w:noProof/>
        </w:rPr>
      </w:pPr>
      <w:r>
        <w:t>(2)</w:t>
      </w:r>
      <w:r>
        <w:tab/>
      </w:r>
      <w:r>
        <w:rPr>
          <w:noProof/>
        </w:rPr>
        <w:t xml:space="preserve">VAT shall </w:t>
      </w:r>
      <w:r>
        <w:rPr>
          <w:noProof/>
        </w:rPr>
        <w:t xml:space="preserve">not constitute eligible expenditure. </w:t>
      </w:r>
    </w:p>
    <w:p w:rsidR="003A2ADB" w:rsidRDefault="008A783E">
      <w:pPr>
        <w:pStyle w:val="Point1"/>
        <w:rPr>
          <w:noProof/>
        </w:rPr>
      </w:pPr>
      <w:r>
        <w:t>(3)</w:t>
      </w:r>
      <w:r>
        <w:tab/>
      </w:r>
      <w:r>
        <w:rPr>
          <w:noProof/>
        </w:rPr>
        <w:t>The loss of the revenues by a Member State shall not constitute eligible expenditure.</w:t>
      </w:r>
    </w:p>
    <w:p w:rsidR="003A2ADB" w:rsidRDefault="008A783E">
      <w:pPr>
        <w:pStyle w:val="Point1"/>
        <w:rPr>
          <w:noProof/>
        </w:rPr>
      </w:pPr>
      <w:r>
        <w:t>(4)</w:t>
      </w:r>
      <w:r>
        <w:tab/>
      </w:r>
      <w:r>
        <w:rPr>
          <w:noProof/>
        </w:rPr>
        <w:t>Technical assistance for management, monitoring, information and communication, complaint resolution, and control and auditi</w:t>
      </w:r>
      <w:r>
        <w:rPr>
          <w:noProof/>
        </w:rPr>
        <w:t>ng, shall not be eligible for a financial contribution from the Fund. Costs relating to the preparation and implementation of the operations mitigating financial burden, including costs relating to essential technical expertise, shall be eligible as part o</w:t>
      </w:r>
      <w:r>
        <w:rPr>
          <w:noProof/>
        </w:rPr>
        <w:t>f project costs.</w:t>
      </w:r>
    </w:p>
    <w:p w:rsidR="003A2ADB" w:rsidRDefault="008A783E">
      <w:pPr>
        <w:pStyle w:val="Point1"/>
        <w:rPr>
          <w:noProof/>
        </w:rPr>
      </w:pPr>
      <w:r>
        <w:t>(5)</w:t>
      </w:r>
      <w:r>
        <w:tab/>
      </w:r>
      <w:r>
        <w:rPr>
          <w:noProof/>
        </w:rPr>
        <w:t xml:space="preserve">Where revenue is generated from operations referred to in paragraph 1 with a financial contribution from the Fund, the total financial contribution from the Fund shall not exceed the total net financial burden borne by a Member State. A Member State shall </w:t>
      </w:r>
      <w:r>
        <w:rPr>
          <w:noProof/>
        </w:rPr>
        <w:t xml:space="preserve">include a statement to that effect in the report on the implementation of the financial contribution from the Fund pursuant to Article 8(3). </w:t>
      </w:r>
    </w:p>
    <w:p w:rsidR="003A2ADB" w:rsidRDefault="008A783E">
      <w:pPr>
        <w:pStyle w:val="Point1"/>
        <w:rPr>
          <w:noProof/>
        </w:rPr>
      </w:pPr>
      <w:r>
        <w:t>(6)</w:t>
      </w:r>
      <w:r>
        <w:tab/>
      </w:r>
      <w:r>
        <w:rPr>
          <w:noProof/>
        </w:rPr>
        <w:t>Eligible expenditure can only relate to operations that are compatible with Union law, including State aid rul</w:t>
      </w:r>
      <w:r>
        <w:rPr>
          <w:noProof/>
        </w:rPr>
        <w:t>es.”</w:t>
      </w:r>
    </w:p>
    <w:p w:rsidR="003A2ADB" w:rsidRDefault="008A783E">
      <w:pPr>
        <w:pStyle w:val="Point0"/>
        <w:rPr>
          <w:noProof/>
        </w:rPr>
      </w:pPr>
      <w:r>
        <w:t>(4)</w:t>
      </w:r>
      <w:r>
        <w:tab/>
      </w:r>
      <w:r>
        <w:rPr>
          <w:noProof/>
        </w:rPr>
        <w:t>Before Article 4, the following headings are inserted:</w:t>
      </w:r>
    </w:p>
    <w:p w:rsidR="003A2ADB" w:rsidRDefault="008A783E">
      <w:pPr>
        <w:pStyle w:val="SectionTitle"/>
        <w:rPr>
          <w:noProof/>
        </w:rPr>
      </w:pPr>
      <w:r>
        <w:rPr>
          <w:noProof/>
        </w:rPr>
        <w:t>“Title II</w:t>
      </w:r>
      <w:r>
        <w:rPr>
          <w:noProof/>
        </w:rPr>
        <w:br/>
        <w:t>procedures</w:t>
      </w:r>
    </w:p>
    <w:p w:rsidR="003A2ADB" w:rsidRDefault="008A783E">
      <w:pPr>
        <w:pStyle w:val="ChapterTitle"/>
        <w:rPr>
          <w:noProof/>
        </w:rPr>
      </w:pPr>
      <w:r>
        <w:rPr>
          <w:noProof/>
        </w:rPr>
        <w:t>Chapter I</w:t>
      </w:r>
      <w:r>
        <w:rPr>
          <w:noProof/>
        </w:rPr>
        <w:br/>
        <w:t>Natural disasters”</w:t>
      </w:r>
    </w:p>
    <w:p w:rsidR="003A2ADB" w:rsidRDefault="008A783E">
      <w:pPr>
        <w:pStyle w:val="Point0"/>
        <w:rPr>
          <w:noProof/>
        </w:rPr>
      </w:pPr>
      <w:r>
        <w:t>(5)</w:t>
      </w:r>
      <w:r>
        <w:tab/>
      </w:r>
      <w:r>
        <w:rPr>
          <w:noProof/>
        </w:rPr>
        <w:t>Before Article 4 a, the following heading is inserted:</w:t>
      </w:r>
    </w:p>
    <w:p w:rsidR="003A2ADB" w:rsidRDefault="008A783E">
      <w:pPr>
        <w:pStyle w:val="ChapterTitle"/>
        <w:rPr>
          <w:noProof/>
        </w:rPr>
      </w:pPr>
      <w:r>
        <w:rPr>
          <w:noProof/>
        </w:rPr>
        <w:t>“Chapter II</w:t>
      </w:r>
      <w:r>
        <w:rPr>
          <w:noProof/>
        </w:rPr>
        <w:br/>
        <w:t>Withdrawal of the United Kingdom from the Union”</w:t>
      </w:r>
    </w:p>
    <w:p w:rsidR="003A2ADB" w:rsidRDefault="008A783E">
      <w:pPr>
        <w:pStyle w:val="Point0"/>
        <w:rPr>
          <w:noProof/>
        </w:rPr>
      </w:pPr>
      <w:r>
        <w:t>(6)</w:t>
      </w:r>
      <w:r>
        <w:tab/>
      </w:r>
      <w:r>
        <w:rPr>
          <w:noProof/>
        </w:rPr>
        <w:t>Article 4a is repl</w:t>
      </w:r>
      <w:r>
        <w:rPr>
          <w:noProof/>
        </w:rPr>
        <w:t>aced by the following:</w:t>
      </w:r>
    </w:p>
    <w:p w:rsidR="003A2ADB" w:rsidRDefault="008A783E">
      <w:pPr>
        <w:pStyle w:val="Titrearticle"/>
        <w:rPr>
          <w:noProof/>
        </w:rPr>
      </w:pPr>
      <w:r>
        <w:rPr>
          <w:noProof/>
        </w:rPr>
        <w:t xml:space="preserve">“Article 4a </w:t>
      </w:r>
    </w:p>
    <w:p w:rsidR="003A2ADB" w:rsidRDefault="008A783E">
      <w:pPr>
        <w:pStyle w:val="Point1"/>
        <w:rPr>
          <w:noProof/>
        </w:rPr>
      </w:pPr>
      <w:r>
        <w:t>(1)</w:t>
      </w:r>
      <w:r>
        <w:tab/>
      </w:r>
      <w:r>
        <w:rPr>
          <w:noProof/>
        </w:rPr>
        <w:t>The responsible national authorities of a Member State may submit a single application to the Commission for a financial contribution from the Fund in accordance with Article 3a by 30 April 2020 at the latest. The ap</w:t>
      </w:r>
      <w:r>
        <w:rPr>
          <w:noProof/>
        </w:rPr>
        <w:t>plication shall include, as a minimum, all relevant information on the financial burden inflicted on that Member State. It shall describe the public measures taken in response to the withdrawal without an agreement specifying their net cost until 31 Decemb</w:t>
      </w:r>
      <w:r>
        <w:rPr>
          <w:noProof/>
        </w:rPr>
        <w:t>er 2020 and the reasons why they could not have been avoided through preparedness measures. It should also include the justification concerning direct effect of the withdrawal without an agreement.</w:t>
      </w:r>
    </w:p>
    <w:p w:rsidR="003A2ADB" w:rsidRDefault="008A783E">
      <w:pPr>
        <w:pStyle w:val="Point1"/>
        <w:rPr>
          <w:noProof/>
        </w:rPr>
      </w:pPr>
      <w:r>
        <w:t>(2)</w:t>
      </w:r>
      <w:r>
        <w:tab/>
      </w:r>
      <w:r>
        <w:rPr>
          <w:noProof/>
        </w:rPr>
        <w:t>The Commission shall prepare guidance on how to access</w:t>
      </w:r>
      <w:r>
        <w:rPr>
          <w:noProof/>
        </w:rPr>
        <w:t xml:space="preserve"> and implement the Fund effectively. The guidance shall provide detailed information on the preparation of the application, and the information to be submitted to the Commission, including on the evidence to be provided concerning the financial burden infl</w:t>
      </w:r>
      <w:r>
        <w:rPr>
          <w:noProof/>
        </w:rPr>
        <w:t xml:space="preserve">icted. The guidance shall be made public on the websites of the relevant Directorate Generals of the Commission and the Commission shall ensure its wider dissemination to the Member States. </w:t>
      </w:r>
    </w:p>
    <w:p w:rsidR="003A2ADB" w:rsidRDefault="008A783E">
      <w:pPr>
        <w:pStyle w:val="Point1"/>
        <w:rPr>
          <w:noProof/>
        </w:rPr>
      </w:pPr>
      <w:r>
        <w:t>(3)</w:t>
      </w:r>
      <w:r>
        <w:tab/>
      </w:r>
      <w:r>
        <w:rPr>
          <w:noProof/>
        </w:rPr>
        <w:t>After 30 April 2020, the Commission shall assess on the basis</w:t>
      </w:r>
      <w:r>
        <w:rPr>
          <w:noProof/>
        </w:rPr>
        <w:t xml:space="preserve"> of the information referred to in paragraphs 1 and 2, for all applications received, whether the conditions for mobilising the Fund are met in each case and shall determine the amounts of any possible financial contribution from the Fund within the limits</w:t>
      </w:r>
      <w:r>
        <w:rPr>
          <w:noProof/>
        </w:rPr>
        <w:t xml:space="preserve"> of the financial resources available.</w:t>
      </w:r>
    </w:p>
    <w:p w:rsidR="003A2ADB" w:rsidRDefault="008A783E">
      <w:pPr>
        <w:pStyle w:val="Point1"/>
        <w:rPr>
          <w:noProof/>
        </w:rPr>
      </w:pPr>
      <w:r>
        <w:t>(4)</w:t>
      </w:r>
      <w:r>
        <w:tab/>
      </w:r>
      <w:r>
        <w:rPr>
          <w:noProof/>
        </w:rPr>
        <w:t>Assistance from the Fund shall be awarded to the Member States meeting the eligibility criteria, taking into account the thresholds specified in Article 3a(4), at a rate of up to 5% of the inflicted financial burden, and within the limits of the budget ava</w:t>
      </w:r>
      <w:r>
        <w:rPr>
          <w:noProof/>
        </w:rPr>
        <w:t xml:space="preserve">ilable. In the event that the budget available should prove insufficient, the aid rate shall be proportionately reduced. </w:t>
      </w:r>
    </w:p>
    <w:p w:rsidR="003A2ADB" w:rsidRDefault="008A783E">
      <w:pPr>
        <w:pStyle w:val="Point1"/>
        <w:rPr>
          <w:noProof/>
        </w:rPr>
      </w:pPr>
      <w:r>
        <w:t>(5)</w:t>
      </w:r>
      <w:r>
        <w:tab/>
      </w:r>
      <w:r>
        <w:rPr>
          <w:noProof/>
        </w:rPr>
        <w:t>Where the Commission has concluded that the conditions as set out in Article 3a are met for providing a financial contribution fro</w:t>
      </w:r>
      <w:r>
        <w:rPr>
          <w:noProof/>
        </w:rPr>
        <w:t>m the Fund, it shall without delay submit to the European Parliament and the Council the necessary proposals to mobilise the Fund and to authorise the corresponding appropriations. Those proposals shall include:</w:t>
      </w:r>
    </w:p>
    <w:p w:rsidR="003A2ADB" w:rsidRDefault="008A783E">
      <w:pPr>
        <w:pStyle w:val="Point2"/>
        <w:rPr>
          <w:noProof/>
        </w:rPr>
      </w:pPr>
      <w:r>
        <w:t>(a)</w:t>
      </w:r>
      <w:r>
        <w:tab/>
      </w:r>
      <w:r>
        <w:rPr>
          <w:noProof/>
        </w:rPr>
        <w:t>all available information, as referred t</w:t>
      </w:r>
      <w:r>
        <w:rPr>
          <w:noProof/>
        </w:rPr>
        <w:t>o in paragraph 1;</w:t>
      </w:r>
    </w:p>
    <w:p w:rsidR="003A2ADB" w:rsidRDefault="008A783E">
      <w:pPr>
        <w:pStyle w:val="Point2"/>
        <w:rPr>
          <w:noProof/>
        </w:rPr>
      </w:pPr>
      <w:r>
        <w:t>(b)</w:t>
      </w:r>
      <w:r>
        <w:tab/>
      </w:r>
      <w:r>
        <w:rPr>
          <w:noProof/>
        </w:rPr>
        <w:t>all other relevant information in the possession of the Commission;</w:t>
      </w:r>
    </w:p>
    <w:p w:rsidR="003A2ADB" w:rsidRDefault="008A783E">
      <w:pPr>
        <w:pStyle w:val="Point2"/>
        <w:rPr>
          <w:noProof/>
        </w:rPr>
      </w:pPr>
      <w:r>
        <w:t>(c)</w:t>
      </w:r>
      <w:r>
        <w:tab/>
      </w:r>
      <w:r>
        <w:rPr>
          <w:noProof/>
        </w:rPr>
        <w:t xml:space="preserve">evidence  demonstrating that the conditions of Article 3a are fulfilled; </w:t>
      </w:r>
    </w:p>
    <w:p w:rsidR="003A2ADB" w:rsidRDefault="008A783E">
      <w:pPr>
        <w:pStyle w:val="Point2"/>
        <w:rPr>
          <w:noProof/>
        </w:rPr>
      </w:pPr>
      <w:r>
        <w:t>(d)</w:t>
      </w:r>
      <w:r>
        <w:tab/>
      </w:r>
      <w:r>
        <w:rPr>
          <w:noProof/>
        </w:rPr>
        <w:t>a justification of the amounts proposed.</w:t>
      </w:r>
    </w:p>
    <w:p w:rsidR="003A2ADB" w:rsidRDefault="008A783E">
      <w:pPr>
        <w:pStyle w:val="Point1"/>
        <w:rPr>
          <w:noProof/>
        </w:rPr>
      </w:pPr>
      <w:r>
        <w:t>(6)</w:t>
      </w:r>
      <w:r>
        <w:tab/>
      </w:r>
      <w:r>
        <w:rPr>
          <w:noProof/>
        </w:rPr>
        <w:t>The decision to mobilise the Fund shall</w:t>
      </w:r>
      <w:r>
        <w:rPr>
          <w:noProof/>
        </w:rPr>
        <w:t xml:space="preserve"> be taken jointly by the European Parliament and the Council as soon as possible after the submission of the proposal by the Commission. The Commission, on the one hand, and the European Parliament and the Council, on the other hand, shall endeavour to min</w:t>
      </w:r>
      <w:r>
        <w:rPr>
          <w:noProof/>
        </w:rPr>
        <w:t>imise the time taken to mobilise the Fund.</w:t>
      </w:r>
    </w:p>
    <w:p w:rsidR="003A2ADB" w:rsidRDefault="008A783E">
      <w:pPr>
        <w:pStyle w:val="Point1"/>
        <w:rPr>
          <w:noProof/>
        </w:rPr>
      </w:pPr>
      <w:r>
        <w:t>(7)</w:t>
      </w:r>
      <w:r>
        <w:tab/>
      </w:r>
      <w:r>
        <w:rPr>
          <w:noProof/>
        </w:rPr>
        <w:t xml:space="preserve">Once the appropriations are made available by the European Parliament and the Council, the Commission shall adopt a decision, by means of an implementing act, awarding the financial contribution from the Fund </w:t>
      </w:r>
      <w:r>
        <w:rPr>
          <w:noProof/>
        </w:rPr>
        <w:t>and shall pay that financial contribution immediately and in a single instalment to the beneficiary State. If an advance has been paid pursuant to Article 4b, only the balance shall be paid.”.</w:t>
      </w:r>
    </w:p>
    <w:p w:rsidR="003A2ADB" w:rsidRDefault="008A783E">
      <w:pPr>
        <w:pStyle w:val="Point0"/>
        <w:rPr>
          <w:noProof/>
        </w:rPr>
      </w:pPr>
      <w:r>
        <w:t>(7)</w:t>
      </w:r>
      <w:r>
        <w:tab/>
      </w:r>
      <w:r>
        <w:rPr>
          <w:noProof/>
        </w:rPr>
        <w:t>After Article 4a, the following heading and a new Article 4</w:t>
      </w:r>
      <w:r>
        <w:rPr>
          <w:noProof/>
        </w:rPr>
        <w:t xml:space="preserve">b are inserted: </w:t>
      </w:r>
    </w:p>
    <w:p w:rsidR="003A2ADB" w:rsidRDefault="008A783E">
      <w:pPr>
        <w:pStyle w:val="ChapterTitle"/>
        <w:rPr>
          <w:noProof/>
          <w:lang w:val="fr-BE"/>
        </w:rPr>
      </w:pPr>
      <w:r>
        <w:rPr>
          <w:noProof/>
          <w:lang w:val="fr-BE"/>
        </w:rPr>
        <w:t>“Chapter III</w:t>
      </w:r>
      <w:r>
        <w:rPr>
          <w:noProof/>
          <w:lang w:val="fr-BE"/>
        </w:rPr>
        <w:br/>
        <w:t>Common provisions”</w:t>
      </w:r>
    </w:p>
    <w:p w:rsidR="003A2ADB" w:rsidRDefault="008A783E">
      <w:pPr>
        <w:pStyle w:val="Titrearticle"/>
        <w:rPr>
          <w:noProof/>
          <w:lang w:val="fr-BE"/>
        </w:rPr>
      </w:pPr>
      <w:r>
        <w:rPr>
          <w:noProof/>
          <w:lang w:val="fr-BE"/>
        </w:rPr>
        <w:t xml:space="preserve"> “Article 4b </w:t>
      </w:r>
    </w:p>
    <w:p w:rsidR="003A2ADB" w:rsidRDefault="008A783E">
      <w:pPr>
        <w:pStyle w:val="Point1"/>
        <w:rPr>
          <w:noProof/>
        </w:rPr>
      </w:pPr>
      <w:r>
        <w:t>(1)</w:t>
      </w:r>
      <w:r>
        <w:tab/>
      </w:r>
      <w:r>
        <w:rPr>
          <w:noProof/>
        </w:rPr>
        <w:t>When submitting an application for a financial contribution from the Fund to the Commission, for a damage caused by a natural disaster, a Member State may request the payment of an advance.</w:t>
      </w:r>
      <w:r>
        <w:rPr>
          <w:noProof/>
        </w:rPr>
        <w:t xml:space="preserve"> The Commission shall make a preliminary assessment of whether the application fulfils the conditions laid down in Article 4(1) and verify the availability of budgetary resources. Where those conditions are fulfilled and sufficient resources are available,</w:t>
      </w:r>
      <w:r>
        <w:rPr>
          <w:noProof/>
        </w:rPr>
        <w:t xml:space="preserve"> the Commission may adopt a decision, by means of an implementing act, awarding the advance and pay it out without delay before the decision referred to in Article 4(4) has been taken. The payment of an advance shall be made without prejudice to the final </w:t>
      </w:r>
      <w:r>
        <w:rPr>
          <w:noProof/>
        </w:rPr>
        <w:t>decision on the mobilisation of the Fund.</w:t>
      </w:r>
    </w:p>
    <w:p w:rsidR="003A2ADB" w:rsidRDefault="008A783E">
      <w:pPr>
        <w:pStyle w:val="Point1"/>
        <w:rPr>
          <w:noProof/>
        </w:rPr>
      </w:pPr>
      <w:r>
        <w:t>(2)</w:t>
      </w:r>
      <w:r>
        <w:tab/>
      </w:r>
      <w:r>
        <w:rPr>
          <w:noProof/>
        </w:rPr>
        <w:t>When submitting an application for a financial contribution from the Fund to the Commission for serious financial burden caused by the withdrawal of the United Kingdom from the Union without an agreement, a Mem</w:t>
      </w:r>
      <w:r>
        <w:rPr>
          <w:noProof/>
        </w:rPr>
        <w:t xml:space="preserve">ber State may request the payment of an advance. The Commission shall make a preliminary assessment of whether the application fulfils the conditions laid down in Article 4a(1) and verify the availability of budgetary resources. Where those conditions are </w:t>
      </w:r>
      <w:r>
        <w:rPr>
          <w:noProof/>
        </w:rPr>
        <w:t>fulfilled and sufficient resources are available, the Commission may adopt a decision, by means of an implementing act, awarding the advance and pay it out without delay before the decision referred to in Article 4a(7) has been taken. The payment of an adv</w:t>
      </w:r>
      <w:r>
        <w:rPr>
          <w:noProof/>
        </w:rPr>
        <w:t>ance shall be made without prejudice to the final decision on the mobilisation of the Fund.</w:t>
      </w:r>
    </w:p>
    <w:p w:rsidR="003A2ADB" w:rsidRDefault="008A783E">
      <w:pPr>
        <w:pStyle w:val="Point1"/>
        <w:rPr>
          <w:noProof/>
        </w:rPr>
      </w:pPr>
      <w:r>
        <w:t>(3)</w:t>
      </w:r>
      <w:r>
        <w:tab/>
      </w:r>
      <w:r>
        <w:rPr>
          <w:noProof/>
        </w:rPr>
        <w:t>The amount of an advance shall not exceed 25% of the amount of the financial contribution anticipated and shall in no case exceed EUR 100 000 000. Once the defi</w:t>
      </w:r>
      <w:r>
        <w:rPr>
          <w:noProof/>
        </w:rPr>
        <w:t>nitive amount of the financial contribution has been determined, the Commission shall take into account the sum of the advance prior to the balance of the financial contribution being paid. The Commission shall recover unduly paid advances.</w:t>
      </w:r>
    </w:p>
    <w:p w:rsidR="003A2ADB" w:rsidRDefault="008A783E">
      <w:pPr>
        <w:pStyle w:val="Point1"/>
        <w:rPr>
          <w:noProof/>
        </w:rPr>
      </w:pPr>
      <w:r>
        <w:t>(4)</w:t>
      </w:r>
      <w:r>
        <w:tab/>
      </w:r>
      <w:r>
        <w:rPr>
          <w:noProof/>
        </w:rPr>
        <w:t>Any repayme</w:t>
      </w:r>
      <w:r>
        <w:rPr>
          <w:noProof/>
        </w:rPr>
        <w:t>nt due to be made to the general budget of the Union shall be effected before the due date indicated in the order for recovery drawn up in accordance with the Article 101 of Regulation (EU, Euratom) 2018/1046 of the European Parliament and of the Council</w:t>
      </w:r>
      <w:r>
        <w:rPr>
          <w:rStyle w:val="FootnoteReference"/>
          <w:noProof/>
        </w:rPr>
        <w:footnoteReference w:id="12"/>
      </w:r>
      <w:r>
        <w:rPr>
          <w:noProof/>
        </w:rPr>
        <w:t>.</w:t>
      </w:r>
      <w:r>
        <w:rPr>
          <w:noProof/>
        </w:rPr>
        <w:t xml:space="preserve"> The due date shall be the last day of the second month following the issue of the order.</w:t>
      </w:r>
    </w:p>
    <w:p w:rsidR="003A2ADB" w:rsidRDefault="008A783E">
      <w:pPr>
        <w:pStyle w:val="Point1"/>
        <w:rPr>
          <w:noProof/>
        </w:rPr>
      </w:pPr>
      <w:r>
        <w:t>(5)</w:t>
      </w:r>
      <w:r>
        <w:tab/>
      </w:r>
      <w:r>
        <w:rPr>
          <w:noProof/>
        </w:rPr>
        <w:t>When adopting the draft general budget of the Union for a given financial year, the Commission shall, where necessary in order to ensure the timely availability o</w:t>
      </w:r>
      <w:r>
        <w:rPr>
          <w:noProof/>
        </w:rPr>
        <w:t xml:space="preserve">f budgetary resources, propose to the European Parliament and the Council to mobilise the Fund in an amount up to a maximum of EUR 100 000 000 for the payment of advances and propose to enter the corresponding appropriations into the general budget of the </w:t>
      </w:r>
      <w:r>
        <w:rPr>
          <w:noProof/>
        </w:rPr>
        <w:t>Union. The budgetary arrangements shall comply with the ceilings referred to in Article 10(1) of Council Regulation (EU, Euratom) No 1311/2013</w:t>
      </w:r>
      <w:r>
        <w:rPr>
          <w:rStyle w:val="FootnoteReference"/>
          <w:noProof/>
        </w:rPr>
        <w:footnoteReference w:id="13"/>
      </w:r>
      <w:r>
        <w:rPr>
          <w:noProof/>
        </w:rPr>
        <w:t>.”.</w:t>
      </w:r>
    </w:p>
    <w:p w:rsidR="003A2ADB" w:rsidRDefault="008A783E">
      <w:pPr>
        <w:pStyle w:val="Point0"/>
        <w:rPr>
          <w:noProof/>
        </w:rPr>
      </w:pPr>
      <w:r>
        <w:t>(8)</w:t>
      </w:r>
      <w:r>
        <w:tab/>
      </w:r>
      <w:r>
        <w:rPr>
          <w:noProof/>
        </w:rPr>
        <w:t>After Article 9, the following heading is  inserted:</w:t>
      </w:r>
    </w:p>
    <w:p w:rsidR="003A2ADB" w:rsidRDefault="008A783E">
      <w:pPr>
        <w:pStyle w:val="SectionTitle"/>
        <w:rPr>
          <w:noProof/>
        </w:rPr>
      </w:pPr>
      <w:r>
        <w:rPr>
          <w:noProof/>
        </w:rPr>
        <w:t>“Title III</w:t>
      </w:r>
      <w:r>
        <w:rPr>
          <w:noProof/>
        </w:rPr>
        <w:br/>
        <w:t>final provisions”</w:t>
      </w:r>
    </w:p>
    <w:p w:rsidR="003A2ADB" w:rsidRDefault="008A783E">
      <w:pPr>
        <w:pStyle w:val="Titrearticle"/>
        <w:rPr>
          <w:noProof/>
        </w:rPr>
      </w:pPr>
      <w:r>
        <w:rPr>
          <w:noProof/>
        </w:rPr>
        <w:t>Article 2</w:t>
      </w:r>
    </w:p>
    <w:p w:rsidR="003A2ADB" w:rsidRDefault="008A783E">
      <w:pPr>
        <w:rPr>
          <w:noProof/>
        </w:rPr>
      </w:pPr>
      <w:r>
        <w:rPr>
          <w:noProof/>
        </w:rPr>
        <w:t xml:space="preserve">This Regulation shall enter into force on the […] day following that of its publication in the </w:t>
      </w:r>
      <w:r>
        <w:rPr>
          <w:i/>
          <w:noProof/>
        </w:rPr>
        <w:t>Official Journal of the European Union</w:t>
      </w:r>
      <w:r>
        <w:rPr>
          <w:noProof/>
        </w:rPr>
        <w:t>.</w:t>
      </w:r>
    </w:p>
    <w:p w:rsidR="003A2ADB" w:rsidRDefault="008A783E">
      <w:pPr>
        <w:pStyle w:val="Applicationdirecte"/>
        <w:rPr>
          <w:noProof/>
        </w:rPr>
      </w:pPr>
      <w:r>
        <w:rPr>
          <w:noProof/>
        </w:rPr>
        <w:t>It shall apply from the day following that on which the Treaties cease to apply to the United Kingdom pursuant to Article</w:t>
      </w:r>
      <w:r>
        <w:rPr>
          <w:noProof/>
        </w:rPr>
        <w:t xml:space="preserve"> 50(3) TEU. </w:t>
      </w:r>
    </w:p>
    <w:p w:rsidR="003A2ADB" w:rsidRDefault="008A783E">
      <w:pPr>
        <w:pStyle w:val="Applicationdirecte"/>
        <w:rPr>
          <w:noProof/>
        </w:rPr>
      </w:pPr>
      <w:r>
        <w:rPr>
          <w:noProof/>
        </w:rPr>
        <w:t>However, this Regulation shall not apply if a withdrawal agreement concluded with the United Kingdom in accordance with Article 50(2) TEU has entered into force by the date referred to in the second paragraph of this Article.</w:t>
      </w:r>
    </w:p>
    <w:p w:rsidR="003A2ADB" w:rsidRDefault="008A783E">
      <w:pPr>
        <w:pStyle w:val="Applicationdirecte"/>
        <w:rPr>
          <w:noProof/>
        </w:rPr>
      </w:pPr>
      <w:r>
        <w:rPr>
          <w:noProof/>
        </w:rPr>
        <w:t>This Regulation s</w:t>
      </w:r>
      <w:r>
        <w:rPr>
          <w:noProof/>
        </w:rPr>
        <w:t>hall be binding in its entirety and directly applicable in all Member States.</w:t>
      </w:r>
    </w:p>
    <w:p w:rsidR="003A2ADB" w:rsidRDefault="008A783E">
      <w:pPr>
        <w:pStyle w:val="Fait"/>
        <w:rPr>
          <w:noProof/>
        </w:rPr>
      </w:pPr>
      <w:r>
        <w:t>Done at Brussels,</w:t>
      </w:r>
    </w:p>
    <w:p w:rsidR="003A2ADB" w:rsidRDefault="008A783E">
      <w:pPr>
        <w:pStyle w:val="Institutionquisigne"/>
        <w:rPr>
          <w:noProof/>
        </w:rPr>
      </w:pPr>
      <w:r>
        <w:rPr>
          <w:noProof/>
        </w:rPr>
        <w:t>For the European Parliament</w:t>
      </w:r>
      <w:r>
        <w:rPr>
          <w:noProof/>
        </w:rPr>
        <w:tab/>
        <w:t>For the Council</w:t>
      </w:r>
    </w:p>
    <w:p w:rsidR="003A2ADB" w:rsidRDefault="008A783E">
      <w:pPr>
        <w:pStyle w:val="Personnequisigne"/>
        <w:rPr>
          <w:noProof/>
        </w:rPr>
      </w:pPr>
      <w:r>
        <w:rPr>
          <w:noProof/>
        </w:rPr>
        <w:t>The President</w:t>
      </w:r>
      <w:r>
        <w:rPr>
          <w:noProof/>
        </w:rPr>
        <w:tab/>
        <w:t>The President</w:t>
      </w:r>
    </w:p>
    <w:p w:rsidR="003A2ADB" w:rsidRDefault="008A783E">
      <w:pPr>
        <w:pStyle w:val="Fichefinanciretitre"/>
        <w:pageBreakBefore/>
        <w:rPr>
          <w:noProof/>
        </w:rPr>
      </w:pPr>
      <w:r>
        <w:rPr>
          <w:noProof/>
        </w:rPr>
        <w:t>LEGISLATIVE FINANCIAL STATEMENT</w:t>
      </w:r>
    </w:p>
    <w:p w:rsidR="003A2ADB" w:rsidRDefault="008A783E">
      <w:pPr>
        <w:pStyle w:val="ManualHeading1"/>
        <w:rPr>
          <w:noProof/>
        </w:rPr>
      </w:pPr>
      <w:bookmarkStart w:id="1" w:name="_Toc514938007"/>
      <w:bookmarkStart w:id="2" w:name="_Toc520485025"/>
      <w:r>
        <w:rPr>
          <w:noProof/>
        </w:rPr>
        <w:t>1.</w:t>
      </w:r>
      <w:r>
        <w:rPr>
          <w:noProof/>
        </w:rPr>
        <w:tab/>
        <w:t>FRAMEWORK OF THE PROPOSAL/INITIATIVE</w:t>
      </w:r>
      <w:bookmarkEnd w:id="1"/>
      <w:bookmarkEnd w:id="2"/>
      <w:r>
        <w:rPr>
          <w:noProof/>
        </w:rPr>
        <w:t xml:space="preserve"> </w:t>
      </w:r>
    </w:p>
    <w:p w:rsidR="003A2ADB" w:rsidRDefault="008A783E">
      <w:pPr>
        <w:pStyle w:val="ManualHeading2"/>
        <w:rPr>
          <w:noProof/>
        </w:rPr>
      </w:pPr>
      <w:bookmarkStart w:id="3" w:name="_Toc514938008"/>
      <w:bookmarkStart w:id="4" w:name="_Toc520485026"/>
      <w:r>
        <w:rPr>
          <w:noProof/>
        </w:rPr>
        <w:t>1.1.</w:t>
      </w:r>
      <w:r>
        <w:rPr>
          <w:noProof/>
        </w:rPr>
        <w:tab/>
        <w:t xml:space="preserve">Title of </w:t>
      </w:r>
      <w:r>
        <w:rPr>
          <w:noProof/>
        </w:rPr>
        <w:t>the proposal/initiative</w:t>
      </w:r>
      <w:bookmarkEnd w:id="3"/>
      <w:bookmarkEnd w:id="4"/>
    </w:p>
    <w:p w:rsidR="003A2ADB" w:rsidRDefault="008A783E">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amending Council Regulation (EC) No 2012/2002 in order to provide financial assistance to Member States to cover serious financial burden inflicted on them foll</w:t>
      </w:r>
      <w:r>
        <w:rPr>
          <w:noProof/>
        </w:rPr>
        <w:t>owing a withdrawal of the United Kingdom from the Union without an agreement</w:t>
      </w:r>
    </w:p>
    <w:p w:rsidR="003A2ADB" w:rsidRDefault="008A783E">
      <w:pPr>
        <w:pStyle w:val="ManualHeading2"/>
        <w:rPr>
          <w:i/>
          <w:noProof/>
        </w:rPr>
      </w:pPr>
      <w:bookmarkStart w:id="5" w:name="_Toc514938011"/>
      <w:bookmarkStart w:id="6" w:name="_Toc520485027"/>
      <w:r>
        <w:rPr>
          <w:noProof/>
        </w:rPr>
        <w:t>1.2.</w:t>
      </w:r>
      <w:r>
        <w:rPr>
          <w:noProof/>
        </w:rPr>
        <w:tab/>
        <w:t>Policy area(s) concerned</w:t>
      </w:r>
      <w:bookmarkEnd w:id="5"/>
      <w:bookmarkEnd w:id="6"/>
      <w:r>
        <w:rPr>
          <w:i/>
          <w:noProof/>
        </w:rPr>
        <w:t xml:space="preserve"> </w:t>
      </w:r>
    </w:p>
    <w:p w:rsidR="003A2ADB" w:rsidRDefault="008A783E">
      <w:pPr>
        <w:pStyle w:val="Text1"/>
        <w:pBdr>
          <w:top w:val="single" w:sz="4" w:space="1" w:color="auto"/>
          <w:left w:val="single" w:sz="4" w:space="4" w:color="auto"/>
          <w:bottom w:val="single" w:sz="4" w:space="1" w:color="auto"/>
          <w:right w:val="single" w:sz="4" w:space="4" w:color="auto"/>
        </w:pBdr>
        <w:rPr>
          <w:noProof/>
        </w:rPr>
      </w:pPr>
      <w:r>
        <w:rPr>
          <w:noProof/>
        </w:rPr>
        <w:t>13. Regional policy; 13 06 01. Assistance to Member States in the event of a major natural disaster with serious repercussions on living conditions,</w:t>
      </w:r>
      <w:r>
        <w:rPr>
          <w:noProof/>
        </w:rPr>
        <w:t xml:space="preserve"> the natural environment or the economy</w:t>
      </w:r>
    </w:p>
    <w:p w:rsidR="003A2ADB" w:rsidRDefault="008A783E">
      <w:pPr>
        <w:pStyle w:val="ManualHeading2"/>
        <w:rPr>
          <w:bCs/>
          <w:noProof/>
          <w:szCs w:val="24"/>
        </w:rPr>
      </w:pPr>
      <w:bookmarkStart w:id="7" w:name="_Toc514938025"/>
      <w:bookmarkStart w:id="8" w:name="_Toc520485034"/>
      <w:r>
        <w:rPr>
          <w:noProof/>
        </w:rPr>
        <w:t>1.3.</w:t>
      </w:r>
      <w:r>
        <w:rPr>
          <w:noProof/>
        </w:rPr>
        <w:tab/>
        <w:t>Grounds for the proposal/initiative</w:t>
      </w:r>
      <w:bookmarkEnd w:id="7"/>
      <w:bookmarkEnd w:id="8"/>
      <w:r>
        <w:rPr>
          <w:noProof/>
        </w:rPr>
        <w:t xml:space="preserve"> </w:t>
      </w:r>
    </w:p>
    <w:p w:rsidR="003A2ADB" w:rsidRDefault="008A783E">
      <w:pPr>
        <w:pStyle w:val="ManualHeading3"/>
        <w:rPr>
          <w:noProof/>
        </w:rPr>
      </w:pPr>
      <w:bookmarkStart w:id="9" w:name="_Toc514938026"/>
      <w:bookmarkStart w:id="10" w:name="_Toc520485035"/>
      <w:r>
        <w:rPr>
          <w:noProof/>
        </w:rPr>
        <w:t>1.3.1.</w:t>
      </w:r>
      <w:r>
        <w:rPr>
          <w:noProof/>
        </w:rPr>
        <w:tab/>
        <w:t>Requirement(s) to be met in the short or long term including a detailed timeline for roll-out of the implementation of the initiative</w:t>
      </w:r>
      <w:bookmarkEnd w:id="9"/>
      <w:bookmarkEnd w:id="10"/>
    </w:p>
    <w:p w:rsidR="003A2ADB" w:rsidRDefault="008A783E">
      <w:pPr>
        <w:pStyle w:val="Text1"/>
        <w:pBdr>
          <w:top w:val="single" w:sz="4" w:space="1" w:color="auto"/>
          <w:left w:val="single" w:sz="4" w:space="4" w:color="auto"/>
          <w:bottom w:val="single" w:sz="4" w:space="1" w:color="auto"/>
          <w:right w:val="single" w:sz="4" w:space="4" w:color="auto"/>
        </w:pBdr>
        <w:rPr>
          <w:noProof/>
        </w:rPr>
      </w:pPr>
      <w:r>
        <w:rPr>
          <w:noProof/>
        </w:rPr>
        <w:t xml:space="preserve">This Regulation shall enter into </w:t>
      </w:r>
      <w:r>
        <w:rPr>
          <w:noProof/>
        </w:rPr>
        <w:t xml:space="preserve">force on the […] day following that of its publication in the </w:t>
      </w:r>
      <w:r>
        <w:rPr>
          <w:i/>
          <w:noProof/>
        </w:rPr>
        <w:t>Official Journal of the European Union</w:t>
      </w:r>
      <w:r>
        <w:rPr>
          <w:noProof/>
        </w:rPr>
        <w:t>.</w:t>
      </w:r>
    </w:p>
    <w:p w:rsidR="003A2ADB" w:rsidRDefault="008A783E">
      <w:pPr>
        <w:pStyle w:val="Text1"/>
        <w:pBdr>
          <w:top w:val="single" w:sz="4" w:space="1" w:color="auto"/>
          <w:left w:val="single" w:sz="4" w:space="4" w:color="auto"/>
          <w:bottom w:val="single" w:sz="4" w:space="1" w:color="auto"/>
          <w:right w:val="single" w:sz="4" w:space="4" w:color="auto"/>
        </w:pBdr>
        <w:rPr>
          <w:noProof/>
        </w:rPr>
      </w:pPr>
      <w:r>
        <w:rPr>
          <w:noProof/>
        </w:rPr>
        <w:t>It shall apply from the date following that on which the Treaties cease to apply to the United Kingdom pursuant to Article 50(3) TEU.</w:t>
      </w:r>
    </w:p>
    <w:p w:rsidR="003A2ADB" w:rsidRDefault="008A783E">
      <w:pPr>
        <w:pStyle w:val="Text1"/>
        <w:pBdr>
          <w:top w:val="single" w:sz="4" w:space="1" w:color="auto"/>
          <w:left w:val="single" w:sz="4" w:space="4" w:color="auto"/>
          <w:bottom w:val="single" w:sz="4" w:space="1" w:color="auto"/>
          <w:right w:val="single" w:sz="4" w:space="4" w:color="auto"/>
        </w:pBdr>
        <w:rPr>
          <w:noProof/>
        </w:rPr>
      </w:pPr>
      <w:r>
        <w:rPr>
          <w:noProof/>
        </w:rPr>
        <w:t>This Regulation shal</w:t>
      </w:r>
      <w:r>
        <w:rPr>
          <w:noProof/>
        </w:rPr>
        <w:t>l not apply if a withdrawal agreement concluded with the United Kingdom in accordance with Article 50(2) TEU has entered into force by that date.</w:t>
      </w:r>
    </w:p>
    <w:p w:rsidR="003A2ADB" w:rsidRDefault="008A783E">
      <w:pPr>
        <w:pStyle w:val="ManualHeading3"/>
        <w:rPr>
          <w:bCs/>
          <w:noProof/>
          <w:szCs w:val="24"/>
        </w:rPr>
      </w:pPr>
      <w:bookmarkStart w:id="11" w:name="_Toc514938029"/>
      <w:bookmarkStart w:id="12" w:name="_Toc520485036"/>
      <w:r>
        <w:rPr>
          <w:noProof/>
        </w:rPr>
        <w:t>1.3.2.</w:t>
      </w:r>
      <w:r>
        <w:rPr>
          <w:noProof/>
        </w:rPr>
        <w:tab/>
        <w:t xml:space="preserve">Added value of Union involvement (it may result from different factors, e.g. coordination gains, legal </w:t>
      </w:r>
      <w:r>
        <w:rPr>
          <w:noProof/>
        </w:rPr>
        <w:t>certainty, greater effectiveness or complementarities). For the purposes of this point 'added value of Union involvement' is the value resulting from Union intervention which is additional to the value that would have been otherwise created by Member State</w:t>
      </w:r>
      <w:r>
        <w:rPr>
          <w:noProof/>
        </w:rPr>
        <w:t>s alone.</w:t>
      </w:r>
      <w:bookmarkEnd w:id="11"/>
      <w:bookmarkEnd w:id="12"/>
    </w:p>
    <w:p w:rsidR="003A2ADB" w:rsidRDefault="008A783E">
      <w:pPr>
        <w:pStyle w:val="Text1"/>
        <w:pBdr>
          <w:top w:val="single" w:sz="4" w:space="1" w:color="auto"/>
          <w:left w:val="single" w:sz="4" w:space="0" w:color="auto"/>
          <w:bottom w:val="single" w:sz="4" w:space="1" w:color="auto"/>
          <w:right w:val="single" w:sz="4" w:space="4" w:color="auto"/>
        </w:pBdr>
        <w:rPr>
          <w:noProof/>
        </w:rPr>
      </w:pPr>
      <w:r>
        <w:rPr>
          <w:noProof/>
        </w:rPr>
        <w:t>The reason for setting up the EU Solidarity Fund (EUSF) is to demonstrate solidarity with Member States affected by a serious crisis induced by the occurrence of a severe natural disaster and deemed to overwhelm the Member State’s budgetary respon</w:t>
      </w:r>
      <w:r>
        <w:rPr>
          <w:noProof/>
        </w:rPr>
        <w:t>se capacity. This proposal extends that logic to the financial burden resulting from the withdrawal of the United Kingdom from the Union without a withdrawal agreement.</w:t>
      </w:r>
    </w:p>
    <w:p w:rsidR="003A2ADB" w:rsidRDefault="008A783E">
      <w:pPr>
        <w:pStyle w:val="ManualHeading3"/>
        <w:rPr>
          <w:noProof/>
        </w:rPr>
      </w:pPr>
      <w:bookmarkStart w:id="13" w:name="_Toc514938030"/>
      <w:bookmarkStart w:id="14" w:name="_Toc520485037"/>
      <w:r>
        <w:rPr>
          <w:noProof/>
        </w:rPr>
        <w:t>1.3.3.</w:t>
      </w:r>
      <w:r>
        <w:rPr>
          <w:noProof/>
        </w:rPr>
        <w:tab/>
        <w:t>Lessons learned from similar experiences in the past</w:t>
      </w:r>
      <w:bookmarkEnd w:id="13"/>
      <w:bookmarkEnd w:id="14"/>
    </w:p>
    <w:p w:rsidR="003A2ADB" w:rsidRDefault="008A783E">
      <w:pPr>
        <w:pStyle w:val="Text1"/>
        <w:pBdr>
          <w:top w:val="single" w:sz="4" w:space="1" w:color="auto"/>
          <w:left w:val="single" w:sz="4" w:space="4" w:color="auto"/>
          <w:bottom w:val="single" w:sz="4" w:space="1" w:color="auto"/>
          <w:right w:val="single" w:sz="4" w:space="4" w:color="auto"/>
        </w:pBdr>
        <w:rPr>
          <w:noProof/>
        </w:rPr>
      </w:pPr>
      <w:r>
        <w:rPr>
          <w:noProof/>
        </w:rPr>
        <w:t>The EUSF has proven to be a</w:t>
      </w:r>
      <w:r>
        <w:rPr>
          <w:noProof/>
        </w:rPr>
        <w:t xml:space="preserve"> very effective instrument in providing assistance to Member States following natural disasters as set out by a major evaluation of the Fund</w:t>
      </w:r>
      <w:r>
        <w:rPr>
          <w:rStyle w:val="FootnoteReference"/>
          <w:noProof/>
        </w:rPr>
        <w:footnoteReference w:id="14"/>
      </w:r>
      <w:r>
        <w:rPr>
          <w:noProof/>
        </w:rPr>
        <w:t>.</w:t>
      </w:r>
    </w:p>
    <w:p w:rsidR="003A2ADB" w:rsidRDefault="008A783E">
      <w:pPr>
        <w:pStyle w:val="ManualHeading3"/>
        <w:rPr>
          <w:noProof/>
        </w:rPr>
      </w:pPr>
      <w:bookmarkStart w:id="15" w:name="_Toc514938033"/>
      <w:bookmarkStart w:id="16" w:name="_Toc520485038"/>
      <w:r>
        <w:rPr>
          <w:noProof/>
        </w:rPr>
        <w:t>1.3.4.</w:t>
      </w:r>
      <w:r>
        <w:rPr>
          <w:noProof/>
        </w:rPr>
        <w:tab/>
        <w:t>Compatibility with the Multiannual Financial Framework and possible synergies with other appropriate instr</w:t>
      </w:r>
      <w:r>
        <w:rPr>
          <w:noProof/>
        </w:rPr>
        <w:t>uments</w:t>
      </w:r>
      <w:bookmarkEnd w:id="15"/>
      <w:bookmarkEnd w:id="16"/>
    </w:p>
    <w:p w:rsidR="003A2ADB" w:rsidRDefault="008A783E">
      <w:pPr>
        <w:pStyle w:val="Text1"/>
        <w:pBdr>
          <w:top w:val="single" w:sz="4" w:space="1" w:color="auto"/>
          <w:left w:val="single" w:sz="4" w:space="4" w:color="auto"/>
          <w:bottom w:val="single" w:sz="4" w:space="1" w:color="auto"/>
          <w:right w:val="single" w:sz="4" w:space="4" w:color="auto"/>
        </w:pBdr>
        <w:rPr>
          <w:noProof/>
        </w:rPr>
      </w:pPr>
      <w:r>
        <w:rPr>
          <w:noProof/>
        </w:rPr>
        <w:t>The specific provisions of this Regulation regarding the withdrawal of the United Kingdom without an agreement are limited in time and concern the budgetary years 2019 and 2020 only. It remains within the maximum allocations provided for the EUSF fo</w:t>
      </w:r>
      <w:r>
        <w:rPr>
          <w:noProof/>
        </w:rPr>
        <w:t>r those years and is therefore compatible with the MFF.</w:t>
      </w:r>
    </w:p>
    <w:p w:rsidR="003A2ADB" w:rsidRDefault="008A783E">
      <w:pPr>
        <w:pStyle w:val="ManualHeading3"/>
        <w:rPr>
          <w:noProof/>
        </w:rPr>
      </w:pPr>
      <w:bookmarkStart w:id="17" w:name="_Toc514938036"/>
      <w:bookmarkStart w:id="18" w:name="_Toc520485039"/>
      <w:r>
        <w:rPr>
          <w:noProof/>
        </w:rPr>
        <w:t>1.3.5.</w:t>
      </w:r>
      <w:r>
        <w:rPr>
          <w:noProof/>
        </w:rPr>
        <w:tab/>
        <w:t>Assessment of the different available financing options, including scope for redeployment</w:t>
      </w:r>
      <w:bookmarkEnd w:id="17"/>
      <w:bookmarkEnd w:id="18"/>
    </w:p>
    <w:p w:rsidR="003A2ADB" w:rsidRDefault="008A783E">
      <w:pPr>
        <w:pStyle w:val="Text1"/>
        <w:pBdr>
          <w:top w:val="single" w:sz="4" w:space="1" w:color="auto"/>
          <w:left w:val="single" w:sz="4" w:space="4" w:color="auto"/>
          <w:bottom w:val="single" w:sz="4" w:space="0" w:color="auto"/>
          <w:right w:val="single" w:sz="4" w:space="4" w:color="auto"/>
        </w:pBdr>
        <w:rPr>
          <w:noProof/>
        </w:rPr>
      </w:pPr>
      <w:r>
        <w:rPr>
          <w:noProof/>
        </w:rPr>
        <w:t xml:space="preserve">This Regulation will not increase the maximum allocation to the EUSF. The Union contribution to the </w:t>
      </w:r>
      <w:r>
        <w:rPr>
          <w:noProof/>
        </w:rPr>
        <w:t>interventions will be financed via the general budget of the Union.</w:t>
      </w:r>
    </w:p>
    <w:p w:rsidR="003A2ADB" w:rsidRDefault="003A2ADB">
      <w:pPr>
        <w:pStyle w:val="Text1"/>
        <w:rPr>
          <w:noProof/>
        </w:rPr>
      </w:pPr>
    </w:p>
    <w:p w:rsidR="003A2ADB" w:rsidRDefault="008A783E">
      <w:pPr>
        <w:pStyle w:val="ManualHeading2"/>
        <w:rPr>
          <w:bCs/>
          <w:noProof/>
          <w:szCs w:val="24"/>
        </w:rPr>
      </w:pPr>
      <w:bookmarkStart w:id="19" w:name="_Toc514938039"/>
      <w:bookmarkStart w:id="20" w:name="_Toc520485040"/>
      <w:r>
        <w:rPr>
          <w:noProof/>
        </w:rPr>
        <w:t>1.4.</w:t>
      </w:r>
      <w:r>
        <w:rPr>
          <w:noProof/>
        </w:rPr>
        <w:tab/>
        <w:t>Duration and financial impact of the proposal/initiative</w:t>
      </w:r>
      <w:bookmarkEnd w:id="19"/>
      <w:bookmarkEnd w:id="20"/>
    </w:p>
    <w:p w:rsidR="003A2ADB" w:rsidRDefault="008A783E">
      <w:pPr>
        <w:pStyle w:val="ListDash1"/>
        <w:rPr>
          <w:noProof/>
        </w:rPr>
      </w:pPr>
      <w:r>
        <w:rPr>
          <w:noProof/>
        </w:rPr>
        <w:t>Proposal of limited duration. The proposal concerns the years 2019 and  2020. Applications will be accepted between 1 Novembe</w:t>
      </w:r>
      <w:r>
        <w:rPr>
          <w:noProof/>
        </w:rPr>
        <w:t>r 2019 and 30 April 2020.</w:t>
      </w:r>
    </w:p>
    <w:p w:rsidR="003A2ADB" w:rsidRDefault="008A783E">
      <w:pPr>
        <w:pStyle w:val="ListDash1"/>
        <w:rPr>
          <w:noProof/>
        </w:rPr>
      </w:pPr>
      <w:r>
        <w:rPr>
          <w:noProof/>
        </w:rPr>
        <w:t>The ceiling will be 50% of the maximum allocation of the EUSF for 2019 and 2020 totalling EUR 591.65 million (EUR 292.9 million for 2019 plus EUR 298.75 million for 2020).</w:t>
      </w:r>
    </w:p>
    <w:p w:rsidR="003A2ADB" w:rsidRDefault="008A783E">
      <w:pPr>
        <w:pStyle w:val="ManualHeading2"/>
        <w:rPr>
          <w:bCs/>
          <w:noProof/>
          <w:szCs w:val="24"/>
        </w:rPr>
      </w:pPr>
      <w:bookmarkStart w:id="21" w:name="_Toc514938040"/>
      <w:bookmarkStart w:id="22" w:name="_Toc520485041"/>
      <w:r>
        <w:rPr>
          <w:noProof/>
        </w:rPr>
        <w:t>1.5.</w:t>
      </w:r>
      <w:r>
        <w:rPr>
          <w:noProof/>
        </w:rPr>
        <w:tab/>
        <w:t>Management mode(s) planned</w:t>
      </w:r>
      <w:r>
        <w:rPr>
          <w:rStyle w:val="FootnoteReference"/>
          <w:noProof/>
        </w:rPr>
        <w:footnoteReference w:id="15"/>
      </w:r>
      <w:bookmarkEnd w:id="21"/>
      <w:bookmarkEnd w:id="22"/>
      <w:r>
        <w:rPr>
          <w:rStyle w:val="FootnoteReference"/>
          <w:noProof/>
        </w:rPr>
        <w:t xml:space="preserve"> </w:t>
      </w:r>
    </w:p>
    <w:p w:rsidR="003A2ADB" w:rsidRDefault="008A783E">
      <w:pPr>
        <w:pStyle w:val="Text1"/>
        <w:rPr>
          <w:noProof/>
        </w:rPr>
      </w:pPr>
      <w:r>
        <w:rPr>
          <w:noProof/>
        </w:rPr>
        <w:sym w:font="Wingdings" w:char="F0A8"/>
      </w:r>
      <w:r>
        <w:rPr>
          <w:i/>
          <w:noProof/>
        </w:rPr>
        <w:t xml:space="preserve"> </w:t>
      </w:r>
      <w:r>
        <w:rPr>
          <w:b/>
          <w:noProof/>
        </w:rPr>
        <w:t>Direct management</w:t>
      </w:r>
      <w:r>
        <w:rPr>
          <w:noProof/>
        </w:rPr>
        <w:t xml:space="preserve"> by t</w:t>
      </w:r>
      <w:r>
        <w:rPr>
          <w:noProof/>
        </w:rPr>
        <w:t>he Commission</w:t>
      </w:r>
    </w:p>
    <w:p w:rsidR="003A2ADB" w:rsidRDefault="008A783E">
      <w:pPr>
        <w:pStyle w:val="ListDash2"/>
        <w:rPr>
          <w:rFonts w:cs="EUAlbertina"/>
          <w:noProof/>
        </w:rPr>
      </w:pPr>
      <w:r>
        <w:rPr>
          <w:noProof/>
        </w:rPr>
        <w:sym w:font="Wingdings" w:char="F0A8"/>
      </w:r>
      <w:r>
        <w:rPr>
          <w:noProof/>
        </w:rPr>
        <w:t xml:space="preserve"> by its departments, including by its staff in the Union delegations; </w:t>
      </w:r>
    </w:p>
    <w:p w:rsidR="003A2ADB" w:rsidRDefault="008A783E">
      <w:pPr>
        <w:pStyle w:val="ListDash2"/>
        <w:rPr>
          <w:noProof/>
        </w:rPr>
      </w:pPr>
      <w:r>
        <w:rPr>
          <w:noProof/>
        </w:rPr>
        <w:sym w:font="Wingdings" w:char="F0A8"/>
      </w:r>
      <w:r>
        <w:rPr>
          <w:noProof/>
        </w:rPr>
        <w:tab/>
        <w:t xml:space="preserve">by the executive agencies </w:t>
      </w:r>
    </w:p>
    <w:p w:rsidR="003A2ADB" w:rsidRDefault="008A783E">
      <w:pPr>
        <w:pStyle w:val="Text1"/>
        <w:rPr>
          <w:noProof/>
        </w:rPr>
      </w:pPr>
      <w:r>
        <w:rPr>
          <w:b/>
          <w:noProof/>
        </w:rPr>
        <w:t>X</w:t>
      </w:r>
      <w:r>
        <w:rPr>
          <w:b/>
          <w:i/>
          <w:noProof/>
        </w:rPr>
        <w:t xml:space="preserve"> </w:t>
      </w:r>
      <w:r>
        <w:rPr>
          <w:b/>
          <w:noProof/>
        </w:rPr>
        <w:t>Shared management</w:t>
      </w:r>
      <w:r>
        <w:rPr>
          <w:noProof/>
        </w:rPr>
        <w:t xml:space="preserve"> with the Member States </w:t>
      </w:r>
    </w:p>
    <w:p w:rsidR="003A2ADB" w:rsidRDefault="008A783E">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3A2ADB" w:rsidRDefault="008A783E">
      <w:pPr>
        <w:pStyle w:val="ListDash2"/>
        <w:rPr>
          <w:noProof/>
        </w:rPr>
      </w:pPr>
      <w:r>
        <w:rPr>
          <w:noProof/>
        </w:rPr>
        <w:sym w:font="Wingdings" w:char="F0A8"/>
      </w:r>
      <w:r>
        <w:rPr>
          <w:noProof/>
        </w:rPr>
        <w:t xml:space="preserve"> third countries or the bodies they have designated;</w:t>
      </w:r>
    </w:p>
    <w:p w:rsidR="003A2ADB" w:rsidRDefault="008A783E">
      <w:pPr>
        <w:pStyle w:val="ListDash2"/>
        <w:rPr>
          <w:noProof/>
        </w:rPr>
      </w:pPr>
      <w:r>
        <w:rPr>
          <w:noProof/>
        </w:rPr>
        <w:sym w:font="Wingdings" w:char="F0A8"/>
      </w:r>
      <w:r>
        <w:rPr>
          <w:noProof/>
        </w:rPr>
        <w:t xml:space="preserve"> international organisations and their agencies (to be specified);</w:t>
      </w:r>
    </w:p>
    <w:p w:rsidR="003A2ADB" w:rsidRDefault="008A783E">
      <w:pPr>
        <w:pStyle w:val="ListDash2"/>
        <w:rPr>
          <w:noProof/>
        </w:rPr>
      </w:pPr>
      <w:r>
        <w:rPr>
          <w:noProof/>
        </w:rPr>
        <w:sym w:font="Wingdings" w:char="F0A8"/>
      </w:r>
      <w:r>
        <w:rPr>
          <w:noProof/>
        </w:rPr>
        <w:t xml:space="preserve"> the EIB and the European Investment Fund;</w:t>
      </w:r>
    </w:p>
    <w:p w:rsidR="003A2ADB" w:rsidRDefault="008A783E">
      <w:pPr>
        <w:pStyle w:val="ListDash2"/>
        <w:rPr>
          <w:noProof/>
        </w:rPr>
      </w:pPr>
      <w:r>
        <w:rPr>
          <w:noProof/>
        </w:rPr>
        <w:sym w:font="Wingdings" w:char="F0A8"/>
      </w:r>
      <w:r>
        <w:rPr>
          <w:noProof/>
        </w:rPr>
        <w:t xml:space="preserve"> bodies referred to in Articles 70 and 71 of the Financial Regulation;</w:t>
      </w:r>
    </w:p>
    <w:p w:rsidR="003A2ADB" w:rsidRDefault="008A783E">
      <w:pPr>
        <w:pStyle w:val="ListDash2"/>
        <w:rPr>
          <w:noProof/>
        </w:rPr>
      </w:pPr>
      <w:r>
        <w:rPr>
          <w:noProof/>
        </w:rPr>
        <w:sym w:font="Wingdings" w:char="F0A8"/>
      </w:r>
      <w:r>
        <w:rPr>
          <w:noProof/>
        </w:rPr>
        <w:t xml:space="preserve"> public law bodies</w:t>
      </w:r>
      <w:r>
        <w:rPr>
          <w:noProof/>
        </w:rPr>
        <w:t>;</w:t>
      </w:r>
    </w:p>
    <w:p w:rsidR="003A2ADB" w:rsidRDefault="008A783E">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3A2ADB" w:rsidRDefault="008A783E">
      <w:pPr>
        <w:pStyle w:val="ListDash2"/>
        <w:rPr>
          <w:noProof/>
        </w:rPr>
      </w:pPr>
      <w:r>
        <w:rPr>
          <w:noProof/>
        </w:rPr>
        <w:sym w:font="Wingdings" w:char="F0A8"/>
      </w:r>
      <w:r>
        <w:rPr>
          <w:noProof/>
        </w:rPr>
        <w:t xml:space="preserve"> bodies governed by the private law of a Member State that are entrusted with the implementation of a public-private partnershi</w:t>
      </w:r>
      <w:r>
        <w:rPr>
          <w:noProof/>
        </w:rPr>
        <w:t>p and that provide adequate financial guarantees;</w:t>
      </w:r>
    </w:p>
    <w:p w:rsidR="003A2ADB" w:rsidRDefault="008A783E">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3A2ADB" w:rsidRDefault="008A783E">
      <w:pPr>
        <w:pStyle w:val="ListDash2"/>
        <w:rPr>
          <w:i/>
          <w:noProof/>
          <w:sz w:val="18"/>
          <w:u w:val="single"/>
        </w:rPr>
      </w:pPr>
      <w:r>
        <w:rPr>
          <w:i/>
          <w:noProof/>
          <w:sz w:val="18"/>
        </w:rPr>
        <w:t>If more than one management mode is indicated, please pr</w:t>
      </w:r>
      <w:r>
        <w:rPr>
          <w:i/>
          <w:noProof/>
          <w:sz w:val="18"/>
        </w:rPr>
        <w:t>ovide details in the ‘Comments’ section.</w:t>
      </w:r>
    </w:p>
    <w:p w:rsidR="003A2ADB" w:rsidRDefault="008A783E">
      <w:pPr>
        <w:rPr>
          <w:noProof/>
        </w:rPr>
      </w:pPr>
      <w:r>
        <w:rPr>
          <w:noProof/>
        </w:rPr>
        <w:t xml:space="preserve">Comments </w:t>
      </w:r>
    </w:p>
    <w:p w:rsidR="003A2ADB" w:rsidRDefault="008A783E">
      <w:pPr>
        <w:pBdr>
          <w:top w:val="single" w:sz="4" w:space="1" w:color="auto"/>
          <w:left w:val="single" w:sz="4" w:space="4" w:color="auto"/>
          <w:bottom w:val="single" w:sz="4" w:space="1" w:color="auto"/>
          <w:right w:val="single" w:sz="4" w:space="4" w:color="auto"/>
        </w:pBdr>
        <w:rPr>
          <w:noProof/>
        </w:rPr>
        <w:sectPr w:rsidR="003A2ADB">
          <w:pgSz w:w="11907" w:h="16840" w:code="9"/>
          <w:pgMar w:top="1134" w:right="1418" w:bottom="1134" w:left="1418" w:header="709" w:footer="709" w:gutter="0"/>
          <w:cols w:space="708"/>
          <w:docGrid w:linePitch="360"/>
        </w:sectPr>
      </w:pPr>
      <w:r>
        <w:rPr>
          <w:noProof/>
        </w:rPr>
        <w:t>N/A</w:t>
      </w:r>
    </w:p>
    <w:p w:rsidR="003A2ADB" w:rsidRDefault="008A783E">
      <w:pPr>
        <w:pStyle w:val="ManualHeading1"/>
        <w:rPr>
          <w:bCs/>
          <w:noProof/>
          <w:szCs w:val="24"/>
        </w:rPr>
      </w:pPr>
      <w:bookmarkStart w:id="23" w:name="_Toc514938041"/>
      <w:bookmarkStart w:id="24" w:name="_Toc520485042"/>
      <w:r>
        <w:rPr>
          <w:noProof/>
        </w:rPr>
        <w:t>2.</w:t>
      </w:r>
      <w:r>
        <w:rPr>
          <w:noProof/>
        </w:rPr>
        <w:tab/>
        <w:t>MANAGEMENT MEASURES</w:t>
      </w:r>
      <w:bookmarkEnd w:id="23"/>
      <w:bookmarkEnd w:id="24"/>
      <w:r>
        <w:rPr>
          <w:noProof/>
        </w:rPr>
        <w:t xml:space="preserve"> </w:t>
      </w:r>
    </w:p>
    <w:p w:rsidR="003A2ADB" w:rsidRDefault="008A783E">
      <w:pPr>
        <w:pStyle w:val="ManualHeading2"/>
        <w:rPr>
          <w:noProof/>
        </w:rPr>
      </w:pPr>
      <w:bookmarkStart w:id="25" w:name="_Toc514938042"/>
      <w:bookmarkStart w:id="26" w:name="_Toc520485043"/>
      <w:r>
        <w:rPr>
          <w:noProof/>
        </w:rPr>
        <w:t>2.1.</w:t>
      </w:r>
      <w:r>
        <w:rPr>
          <w:noProof/>
        </w:rPr>
        <w:tab/>
        <w:t>Monitoring and reporting rules</w:t>
      </w:r>
      <w:bookmarkEnd w:id="25"/>
      <w:bookmarkEnd w:id="26"/>
      <w:r>
        <w:rPr>
          <w:noProof/>
        </w:rPr>
        <w:t xml:space="preserve"> </w:t>
      </w:r>
    </w:p>
    <w:p w:rsidR="003A2ADB" w:rsidRDefault="008A783E">
      <w:pPr>
        <w:pStyle w:val="Text1"/>
        <w:rPr>
          <w:i/>
          <w:noProof/>
          <w:sz w:val="20"/>
        </w:rPr>
      </w:pPr>
      <w:r>
        <w:rPr>
          <w:i/>
          <w:noProof/>
          <w:sz w:val="20"/>
        </w:rPr>
        <w:t>Specify frequency and conditions.</w:t>
      </w:r>
    </w:p>
    <w:p w:rsidR="003A2ADB" w:rsidRDefault="008A783E">
      <w:pPr>
        <w:pStyle w:val="Text1"/>
        <w:pBdr>
          <w:top w:val="single" w:sz="4" w:space="1" w:color="auto"/>
          <w:left w:val="single" w:sz="4" w:space="4" w:color="auto"/>
          <w:bottom w:val="single" w:sz="4" w:space="1" w:color="auto"/>
          <w:right w:val="single" w:sz="4" w:space="4" w:color="auto"/>
        </w:pBdr>
        <w:rPr>
          <w:noProof/>
        </w:rPr>
      </w:pPr>
      <w:r>
        <w:rPr>
          <w:noProof/>
        </w:rPr>
        <w:t xml:space="preserve">The same as laid down in Council Regulation (EC) No 2012/2002 (for natural </w:t>
      </w:r>
      <w:r>
        <w:rPr>
          <w:noProof/>
        </w:rPr>
        <w:t>disasters)</w:t>
      </w:r>
    </w:p>
    <w:p w:rsidR="003A2ADB" w:rsidRDefault="008A783E">
      <w:pPr>
        <w:pStyle w:val="ManualHeading2"/>
        <w:rPr>
          <w:bCs/>
          <w:noProof/>
          <w:szCs w:val="24"/>
        </w:rPr>
      </w:pPr>
      <w:bookmarkStart w:id="27" w:name="_Toc514938045"/>
      <w:bookmarkStart w:id="28" w:name="_Toc520485044"/>
      <w:r>
        <w:rPr>
          <w:noProof/>
        </w:rPr>
        <w:t>2.2.</w:t>
      </w:r>
      <w:r>
        <w:rPr>
          <w:noProof/>
        </w:rPr>
        <w:tab/>
        <w:t>Management and control system(s)</w:t>
      </w:r>
      <w:bookmarkEnd w:id="27"/>
      <w:bookmarkEnd w:id="28"/>
      <w:r>
        <w:rPr>
          <w:noProof/>
        </w:rPr>
        <w:t xml:space="preserve"> </w:t>
      </w:r>
    </w:p>
    <w:p w:rsidR="003A2ADB" w:rsidRDefault="008A783E">
      <w:pPr>
        <w:pStyle w:val="ManualHeading3"/>
        <w:rPr>
          <w:noProof/>
        </w:rPr>
      </w:pPr>
      <w:bookmarkStart w:id="29" w:name="_Toc514938046"/>
      <w:bookmarkStart w:id="30" w:name="_Toc520485045"/>
      <w:r>
        <w:rPr>
          <w:noProof/>
        </w:rPr>
        <w:t>2.2.1.</w:t>
      </w:r>
      <w:r>
        <w:rPr>
          <w:noProof/>
        </w:rPr>
        <w:tab/>
        <w:t>Justification of the management mode(s), the funding implementation mechanism(s), the payment modalities and the control strategy proposed</w:t>
      </w:r>
      <w:bookmarkEnd w:id="29"/>
      <w:bookmarkEnd w:id="30"/>
    </w:p>
    <w:p w:rsidR="003A2ADB" w:rsidRDefault="008A783E">
      <w:pPr>
        <w:pStyle w:val="Text1"/>
        <w:pBdr>
          <w:top w:val="single" w:sz="4" w:space="1" w:color="auto"/>
          <w:left w:val="single" w:sz="4" w:space="4" w:color="auto"/>
          <w:bottom w:val="single" w:sz="4" w:space="1" w:color="auto"/>
          <w:right w:val="single" w:sz="4" w:space="4" w:color="auto"/>
        </w:pBdr>
        <w:rPr>
          <w:noProof/>
        </w:rPr>
      </w:pPr>
      <w:r>
        <w:rPr>
          <w:noProof/>
        </w:rPr>
        <w:t>The same as laid down in Council Regulation (EC) No 2012/200</w:t>
      </w:r>
      <w:r>
        <w:rPr>
          <w:noProof/>
        </w:rPr>
        <w:t>2</w:t>
      </w:r>
    </w:p>
    <w:p w:rsidR="003A2ADB" w:rsidRDefault="008A783E">
      <w:pPr>
        <w:pStyle w:val="ManualHeading3"/>
        <w:rPr>
          <w:bCs/>
          <w:noProof/>
          <w:szCs w:val="24"/>
        </w:rPr>
      </w:pPr>
      <w:bookmarkStart w:id="31" w:name="_Toc514938047"/>
      <w:bookmarkStart w:id="32" w:name="_Toc520485046"/>
      <w:r>
        <w:rPr>
          <w:noProof/>
        </w:rPr>
        <w:t>2.2.2.</w:t>
      </w:r>
      <w:r>
        <w:rPr>
          <w:noProof/>
        </w:rPr>
        <w:tab/>
        <w:t>Information concerning the risks identified and the internal control system(s) set up to mitigate them</w:t>
      </w:r>
      <w:bookmarkEnd w:id="31"/>
      <w:bookmarkEnd w:id="32"/>
    </w:p>
    <w:p w:rsidR="003A2ADB" w:rsidRDefault="008A783E">
      <w:pPr>
        <w:pStyle w:val="Text1"/>
        <w:pBdr>
          <w:top w:val="single" w:sz="4" w:space="1" w:color="auto"/>
          <w:left w:val="single" w:sz="4" w:space="4" w:color="auto"/>
          <w:bottom w:val="single" w:sz="4" w:space="1" w:color="auto"/>
          <w:right w:val="single" w:sz="4" w:space="4" w:color="auto"/>
        </w:pBdr>
        <w:rPr>
          <w:noProof/>
        </w:rPr>
      </w:pPr>
      <w:r>
        <w:rPr>
          <w:noProof/>
        </w:rPr>
        <w:t>The same as laid down in Council Regulation (EC) No 2012/2002</w:t>
      </w:r>
    </w:p>
    <w:p w:rsidR="003A2ADB" w:rsidRDefault="008A783E">
      <w:pPr>
        <w:pStyle w:val="ManualHeading3"/>
        <w:rPr>
          <w:noProof/>
        </w:rPr>
      </w:pPr>
      <w:bookmarkStart w:id="33" w:name="_Toc514938048"/>
      <w:bookmarkStart w:id="34" w:name="_Toc520485047"/>
      <w:r>
        <w:rPr>
          <w:noProof/>
        </w:rPr>
        <w:t>2.2.3.</w:t>
      </w:r>
      <w:r>
        <w:rPr>
          <w:noProof/>
        </w:rPr>
        <w:tab/>
        <w:t xml:space="preserve">Estimation and justification of the cost-effectiveness of the controls </w:t>
      </w:r>
      <w:r>
        <w:rPr>
          <w:noProof/>
        </w:rPr>
        <w:t>(ratio of "control costs ÷ value of the related funds managed"), and assessment of the expected levels of risk of error (at payment &amp; at closure)</w:t>
      </w:r>
      <w:bookmarkEnd w:id="33"/>
      <w:bookmarkEnd w:id="34"/>
      <w:r>
        <w:rPr>
          <w:noProof/>
        </w:rPr>
        <w:t xml:space="preserve"> </w:t>
      </w:r>
    </w:p>
    <w:p w:rsidR="003A2ADB" w:rsidRDefault="008A783E">
      <w:pPr>
        <w:pStyle w:val="Text1"/>
        <w:pBdr>
          <w:top w:val="single" w:sz="4" w:space="1" w:color="auto"/>
          <w:left w:val="single" w:sz="4" w:space="4" w:color="auto"/>
          <w:bottom w:val="single" w:sz="4" w:space="1" w:color="auto"/>
          <w:right w:val="single" w:sz="4" w:space="4" w:color="auto"/>
        </w:pBdr>
        <w:rPr>
          <w:noProof/>
        </w:rPr>
      </w:pPr>
      <w:r>
        <w:rPr>
          <w:noProof/>
        </w:rPr>
        <w:t>The same as laid down in Council Regulation (EC) No 2012/2002</w:t>
      </w:r>
    </w:p>
    <w:p w:rsidR="003A2ADB" w:rsidRDefault="008A783E">
      <w:pPr>
        <w:pStyle w:val="ManualHeading2"/>
        <w:rPr>
          <w:bCs/>
          <w:noProof/>
          <w:szCs w:val="24"/>
        </w:rPr>
      </w:pPr>
      <w:bookmarkStart w:id="35" w:name="_Toc514938049"/>
      <w:bookmarkStart w:id="36" w:name="_Toc520485048"/>
      <w:r>
        <w:rPr>
          <w:noProof/>
        </w:rPr>
        <w:t>2.3.</w:t>
      </w:r>
      <w:r>
        <w:rPr>
          <w:noProof/>
        </w:rPr>
        <w:tab/>
        <w:t>Measures to prevent fraud and irregulariti</w:t>
      </w:r>
      <w:r>
        <w:rPr>
          <w:noProof/>
        </w:rPr>
        <w:t>es</w:t>
      </w:r>
      <w:bookmarkEnd w:id="35"/>
      <w:bookmarkEnd w:id="36"/>
      <w:r>
        <w:rPr>
          <w:noProof/>
        </w:rPr>
        <w:t xml:space="preserve"> </w:t>
      </w:r>
    </w:p>
    <w:p w:rsidR="003A2ADB" w:rsidRDefault="008A783E">
      <w:pPr>
        <w:pStyle w:val="Text1"/>
        <w:rPr>
          <w:i/>
          <w:noProof/>
          <w:sz w:val="20"/>
        </w:rPr>
      </w:pPr>
      <w:r>
        <w:rPr>
          <w:i/>
          <w:noProof/>
          <w:sz w:val="20"/>
        </w:rPr>
        <w:t>Specify existing or envisaged prevention and protection measures, e.g. from the Anti-Fraud Strategy.</w:t>
      </w:r>
    </w:p>
    <w:p w:rsidR="003A2ADB" w:rsidRDefault="008A783E">
      <w:pPr>
        <w:pStyle w:val="Text1"/>
        <w:pBdr>
          <w:top w:val="single" w:sz="4" w:space="1" w:color="auto"/>
          <w:left w:val="single" w:sz="4" w:space="4" w:color="auto"/>
          <w:bottom w:val="single" w:sz="4" w:space="1" w:color="auto"/>
          <w:right w:val="single" w:sz="4" w:space="4" w:color="auto"/>
        </w:pBdr>
        <w:jc w:val="left"/>
        <w:rPr>
          <w:noProof/>
        </w:rPr>
        <w:sectPr w:rsidR="003A2ADB">
          <w:pgSz w:w="11907" w:h="16840" w:code="9"/>
          <w:pgMar w:top="1134" w:right="1418" w:bottom="1134" w:left="1418" w:header="709" w:footer="709" w:gutter="0"/>
          <w:cols w:space="708"/>
          <w:docGrid w:linePitch="360"/>
        </w:sectPr>
      </w:pPr>
      <w:r>
        <w:rPr>
          <w:noProof/>
        </w:rPr>
        <w:t>The same as laid down in Council Regulation (EC) No 2012/2002</w:t>
      </w:r>
    </w:p>
    <w:p w:rsidR="003A2ADB" w:rsidRDefault="008A783E">
      <w:pPr>
        <w:pStyle w:val="ManualHeading1"/>
        <w:rPr>
          <w:bCs/>
          <w:noProof/>
          <w:szCs w:val="24"/>
        </w:rPr>
      </w:pPr>
      <w:bookmarkStart w:id="37" w:name="_Toc514938050"/>
      <w:bookmarkStart w:id="38" w:name="_Toc520485049"/>
      <w:r>
        <w:rPr>
          <w:noProof/>
        </w:rPr>
        <w:t>3.</w:t>
      </w:r>
      <w:r>
        <w:rPr>
          <w:noProof/>
        </w:rPr>
        <w:tab/>
        <w:t>ESTIMATED FINANCIAL IMPACT OF THE PROPOSAL/INITIATIVE</w:t>
      </w:r>
      <w:bookmarkEnd w:id="37"/>
      <w:bookmarkEnd w:id="38"/>
      <w:r>
        <w:rPr>
          <w:noProof/>
        </w:rPr>
        <w:t xml:space="preserve"> </w:t>
      </w:r>
    </w:p>
    <w:p w:rsidR="003A2ADB" w:rsidRDefault="008A783E">
      <w:pPr>
        <w:pStyle w:val="ManualHeading2"/>
        <w:rPr>
          <w:noProof/>
        </w:rPr>
      </w:pPr>
      <w:bookmarkStart w:id="39" w:name="_Toc514938051"/>
      <w:bookmarkStart w:id="40" w:name="_Toc520485050"/>
      <w:r>
        <w:rPr>
          <w:noProof/>
        </w:rPr>
        <w:t>3.1.</w:t>
      </w:r>
      <w:r>
        <w:rPr>
          <w:noProof/>
        </w:rPr>
        <w:tab/>
      </w:r>
      <w:r>
        <w:rPr>
          <w:noProof/>
        </w:rPr>
        <w:t>Heading(s) of the multiannual financial framework and expenditure budget line(s) affected</w:t>
      </w:r>
      <w:bookmarkEnd w:id="39"/>
      <w:bookmarkEnd w:id="40"/>
      <w:r>
        <w:rPr>
          <w:noProof/>
        </w:rPr>
        <w:t xml:space="preserve"> </w:t>
      </w:r>
    </w:p>
    <w:p w:rsidR="003A2ADB" w:rsidRDefault="008A783E">
      <w:pPr>
        <w:pStyle w:val="ListBullet1"/>
        <w:rPr>
          <w:noProof/>
        </w:rPr>
      </w:pPr>
      <w:r>
        <w:rPr>
          <w:noProof/>
        </w:rPr>
        <w:t xml:space="preserve">Existing budget lines </w:t>
      </w:r>
    </w:p>
    <w:p w:rsidR="003A2ADB" w:rsidRDefault="008A783E">
      <w:pPr>
        <w:pStyle w:val="Text1"/>
        <w:rPr>
          <w:i/>
          <w:noProof/>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A2ADB">
        <w:tc>
          <w:tcPr>
            <w:tcW w:w="1080" w:type="dxa"/>
            <w:vMerge w:val="restart"/>
            <w:vAlign w:val="center"/>
          </w:tcPr>
          <w:p w:rsidR="003A2ADB" w:rsidRDefault="008A783E">
            <w:pPr>
              <w:spacing w:before="60" w:after="60"/>
              <w:jc w:val="center"/>
              <w:rPr>
                <w:noProof/>
              </w:rPr>
            </w:pPr>
            <w:r>
              <w:rPr>
                <w:noProof/>
                <w:sz w:val="18"/>
              </w:rPr>
              <w:t>Heading of multiannual financial framework</w:t>
            </w:r>
          </w:p>
        </w:tc>
        <w:tc>
          <w:tcPr>
            <w:tcW w:w="3960" w:type="dxa"/>
            <w:vAlign w:val="center"/>
          </w:tcPr>
          <w:p w:rsidR="003A2ADB" w:rsidRDefault="008A783E">
            <w:pPr>
              <w:spacing w:before="60" w:after="60"/>
              <w:jc w:val="center"/>
              <w:rPr>
                <w:noProof/>
              </w:rPr>
            </w:pPr>
            <w:r>
              <w:rPr>
                <w:noProof/>
                <w:sz w:val="20"/>
              </w:rPr>
              <w:t>Budget line</w:t>
            </w:r>
          </w:p>
        </w:tc>
        <w:tc>
          <w:tcPr>
            <w:tcW w:w="1080" w:type="dxa"/>
            <w:vAlign w:val="center"/>
          </w:tcPr>
          <w:p w:rsidR="003A2ADB" w:rsidRDefault="008A783E">
            <w:pPr>
              <w:spacing w:before="60" w:after="60"/>
              <w:jc w:val="center"/>
              <w:rPr>
                <w:noProof/>
              </w:rPr>
            </w:pPr>
            <w:r>
              <w:rPr>
                <w:noProof/>
                <w:sz w:val="18"/>
              </w:rPr>
              <w:t xml:space="preserve">Type of </w:t>
            </w:r>
            <w:r>
              <w:rPr>
                <w:noProof/>
                <w:sz w:val="22"/>
              </w:rPr>
              <w:br/>
            </w:r>
            <w:r>
              <w:rPr>
                <w:noProof/>
                <w:sz w:val="18"/>
              </w:rPr>
              <w:t>expendi</w:t>
            </w:r>
            <w:r>
              <w:rPr>
                <w:noProof/>
                <w:sz w:val="18"/>
              </w:rPr>
              <w:t>ture</w:t>
            </w:r>
          </w:p>
        </w:tc>
        <w:tc>
          <w:tcPr>
            <w:tcW w:w="4440" w:type="dxa"/>
            <w:gridSpan w:val="4"/>
            <w:vAlign w:val="center"/>
          </w:tcPr>
          <w:p w:rsidR="003A2ADB" w:rsidRDefault="008A783E">
            <w:pPr>
              <w:spacing w:before="60" w:after="60"/>
              <w:jc w:val="center"/>
              <w:rPr>
                <w:noProof/>
              </w:rPr>
            </w:pPr>
            <w:r>
              <w:rPr>
                <w:noProof/>
                <w:sz w:val="20"/>
              </w:rPr>
              <w:t xml:space="preserve">Contribution </w:t>
            </w:r>
          </w:p>
        </w:tc>
      </w:tr>
      <w:tr w:rsidR="003A2ADB">
        <w:tc>
          <w:tcPr>
            <w:tcW w:w="1080" w:type="dxa"/>
            <w:vMerge/>
            <w:vAlign w:val="center"/>
          </w:tcPr>
          <w:p w:rsidR="003A2ADB" w:rsidRDefault="003A2ADB">
            <w:pPr>
              <w:jc w:val="center"/>
              <w:rPr>
                <w:noProof/>
              </w:rPr>
            </w:pPr>
          </w:p>
        </w:tc>
        <w:tc>
          <w:tcPr>
            <w:tcW w:w="3960" w:type="dxa"/>
            <w:vAlign w:val="center"/>
          </w:tcPr>
          <w:p w:rsidR="003A2ADB" w:rsidRDefault="008A783E">
            <w:pPr>
              <w:rPr>
                <w:noProof/>
              </w:rPr>
            </w:pPr>
            <w:r>
              <w:rPr>
                <w:noProof/>
                <w:sz w:val="20"/>
              </w:rPr>
              <w:t xml:space="preserve">Number </w:t>
            </w:r>
            <w:r>
              <w:rPr>
                <w:noProof/>
                <w:sz w:val="22"/>
              </w:rPr>
              <w:br/>
            </w:r>
          </w:p>
        </w:tc>
        <w:tc>
          <w:tcPr>
            <w:tcW w:w="1080" w:type="dxa"/>
            <w:vAlign w:val="center"/>
          </w:tcPr>
          <w:p w:rsidR="003A2ADB" w:rsidRDefault="008A783E">
            <w:pPr>
              <w:jc w:val="center"/>
              <w:rPr>
                <w:noProof/>
              </w:rPr>
            </w:pPr>
            <w:r>
              <w:rPr>
                <w:noProof/>
                <w:sz w:val="18"/>
              </w:rPr>
              <w:t>Diff./Non-diff.</w:t>
            </w:r>
            <w:r>
              <w:rPr>
                <w:rStyle w:val="FootnoteReference"/>
                <w:noProof/>
                <w:sz w:val="18"/>
              </w:rPr>
              <w:footnoteReference w:id="16"/>
            </w:r>
          </w:p>
        </w:tc>
        <w:tc>
          <w:tcPr>
            <w:tcW w:w="956" w:type="dxa"/>
            <w:vAlign w:val="center"/>
          </w:tcPr>
          <w:p w:rsidR="003A2ADB" w:rsidRDefault="008A783E">
            <w:pPr>
              <w:jc w:val="center"/>
              <w:rPr>
                <w:noProof/>
              </w:rPr>
            </w:pPr>
            <w:r>
              <w:rPr>
                <w:noProof/>
                <w:sz w:val="18"/>
              </w:rPr>
              <w:t>from EFTA countries</w:t>
            </w:r>
            <w:r>
              <w:rPr>
                <w:rStyle w:val="FootnoteReference"/>
                <w:noProof/>
                <w:sz w:val="18"/>
              </w:rPr>
              <w:footnoteReference w:id="17"/>
            </w:r>
          </w:p>
          <w:p w:rsidR="003A2ADB" w:rsidRDefault="003A2ADB">
            <w:pPr>
              <w:spacing w:before="0" w:after="0"/>
              <w:jc w:val="center"/>
              <w:rPr>
                <w:b/>
                <w:noProof/>
                <w:sz w:val="18"/>
              </w:rPr>
            </w:pPr>
          </w:p>
        </w:tc>
        <w:tc>
          <w:tcPr>
            <w:tcW w:w="1080" w:type="dxa"/>
            <w:vAlign w:val="center"/>
          </w:tcPr>
          <w:p w:rsidR="003A2ADB" w:rsidRDefault="008A783E">
            <w:pPr>
              <w:jc w:val="center"/>
              <w:rPr>
                <w:noProof/>
              </w:rPr>
            </w:pPr>
            <w:r>
              <w:rPr>
                <w:noProof/>
                <w:sz w:val="18"/>
              </w:rPr>
              <w:t>from candidate countries</w:t>
            </w:r>
            <w:r>
              <w:rPr>
                <w:rStyle w:val="FootnoteReference"/>
                <w:noProof/>
                <w:sz w:val="18"/>
              </w:rPr>
              <w:footnoteReference w:id="18"/>
            </w:r>
          </w:p>
          <w:p w:rsidR="003A2ADB" w:rsidRDefault="003A2ADB">
            <w:pPr>
              <w:spacing w:before="0" w:after="0"/>
              <w:jc w:val="center"/>
              <w:rPr>
                <w:noProof/>
                <w:sz w:val="18"/>
              </w:rPr>
            </w:pPr>
          </w:p>
        </w:tc>
        <w:tc>
          <w:tcPr>
            <w:tcW w:w="956" w:type="dxa"/>
            <w:vAlign w:val="center"/>
          </w:tcPr>
          <w:p w:rsidR="003A2ADB" w:rsidRDefault="008A783E">
            <w:pPr>
              <w:jc w:val="center"/>
              <w:rPr>
                <w:noProof/>
                <w:sz w:val="18"/>
              </w:rPr>
            </w:pPr>
            <w:r>
              <w:rPr>
                <w:noProof/>
                <w:sz w:val="18"/>
              </w:rPr>
              <w:t>from third countries</w:t>
            </w:r>
          </w:p>
        </w:tc>
        <w:tc>
          <w:tcPr>
            <w:tcW w:w="1448" w:type="dxa"/>
            <w:vAlign w:val="center"/>
          </w:tcPr>
          <w:p w:rsidR="003A2ADB" w:rsidRDefault="008A783E">
            <w:pPr>
              <w:jc w:val="center"/>
              <w:rPr>
                <w:noProof/>
              </w:rPr>
            </w:pPr>
            <w:r>
              <w:rPr>
                <w:noProof/>
                <w:sz w:val="16"/>
              </w:rPr>
              <w:t xml:space="preserve">within the meaning of Article 21(2)(b) of the Financial Regulation </w:t>
            </w:r>
          </w:p>
        </w:tc>
      </w:tr>
      <w:tr w:rsidR="003A2ADB">
        <w:tc>
          <w:tcPr>
            <w:tcW w:w="1080" w:type="dxa"/>
            <w:shd w:val="clear" w:color="auto" w:fill="auto"/>
            <w:vAlign w:val="center"/>
          </w:tcPr>
          <w:p w:rsidR="003A2ADB" w:rsidRDefault="008A783E">
            <w:pPr>
              <w:pStyle w:val="Default"/>
              <w:jc w:val="both"/>
              <w:rPr>
                <w:noProof/>
                <w:color w:val="0000FF"/>
              </w:rPr>
            </w:pPr>
            <w:r>
              <w:rPr>
                <w:noProof/>
                <w:sz w:val="22"/>
              </w:rPr>
              <w:t>Heading 9: Special Instruments</w:t>
            </w:r>
          </w:p>
        </w:tc>
        <w:tc>
          <w:tcPr>
            <w:tcW w:w="3960" w:type="dxa"/>
            <w:vAlign w:val="center"/>
          </w:tcPr>
          <w:p w:rsidR="003A2ADB" w:rsidRDefault="003A2ADB">
            <w:pPr>
              <w:spacing w:before="60"/>
              <w:rPr>
                <w:noProof/>
                <w:sz w:val="22"/>
              </w:rPr>
            </w:pPr>
          </w:p>
          <w:p w:rsidR="003A2ADB" w:rsidRDefault="008A783E">
            <w:pPr>
              <w:pStyle w:val="Default"/>
              <w:jc w:val="both"/>
              <w:rPr>
                <w:noProof/>
              </w:rPr>
            </w:pPr>
            <w:r>
              <w:rPr>
                <w:noProof/>
                <w:sz w:val="22"/>
                <w:szCs w:val="22"/>
              </w:rPr>
              <w:t xml:space="preserve">13 06 01 </w:t>
            </w:r>
            <w:r>
              <w:rPr>
                <w:noProof/>
                <w:sz w:val="22"/>
              </w:rPr>
              <w:t xml:space="preserve">- </w:t>
            </w:r>
            <w:r>
              <w:rPr>
                <w:noProof/>
                <w:sz w:val="22"/>
                <w:szCs w:val="22"/>
              </w:rPr>
              <w:t xml:space="preserve">Assistance to Member States in the event of a major natural disaster with serious repercussions on living conditions, the natural environment or the economy </w:t>
            </w:r>
          </w:p>
          <w:p w:rsidR="003A2ADB" w:rsidRDefault="003A2ADB">
            <w:pPr>
              <w:spacing w:after="60"/>
              <w:rPr>
                <w:noProof/>
              </w:rPr>
            </w:pPr>
          </w:p>
        </w:tc>
        <w:tc>
          <w:tcPr>
            <w:tcW w:w="1080" w:type="dxa"/>
            <w:vAlign w:val="center"/>
          </w:tcPr>
          <w:p w:rsidR="003A2ADB" w:rsidRDefault="008A783E">
            <w:pPr>
              <w:pStyle w:val="Default"/>
              <w:jc w:val="center"/>
              <w:rPr>
                <w:noProof/>
                <w:color w:val="0000FF"/>
              </w:rPr>
            </w:pPr>
            <w:r>
              <w:rPr>
                <w:noProof/>
                <w:sz w:val="22"/>
                <w:szCs w:val="22"/>
              </w:rPr>
              <w:t>Differentiated</w:t>
            </w:r>
          </w:p>
        </w:tc>
        <w:tc>
          <w:tcPr>
            <w:tcW w:w="956" w:type="dxa"/>
            <w:vAlign w:val="center"/>
          </w:tcPr>
          <w:p w:rsidR="003A2ADB" w:rsidRDefault="008A783E">
            <w:pPr>
              <w:jc w:val="center"/>
              <w:rPr>
                <w:noProof/>
                <w:sz w:val="20"/>
                <w:szCs w:val="20"/>
              </w:rPr>
            </w:pPr>
            <w:r>
              <w:rPr>
                <w:noProof/>
                <w:sz w:val="20"/>
                <w:szCs w:val="20"/>
              </w:rPr>
              <w:t>NO</w:t>
            </w:r>
          </w:p>
        </w:tc>
        <w:tc>
          <w:tcPr>
            <w:tcW w:w="1080" w:type="dxa"/>
            <w:vAlign w:val="center"/>
          </w:tcPr>
          <w:p w:rsidR="003A2ADB" w:rsidRDefault="008A783E">
            <w:pPr>
              <w:jc w:val="center"/>
              <w:rPr>
                <w:noProof/>
                <w:sz w:val="20"/>
                <w:szCs w:val="20"/>
              </w:rPr>
            </w:pPr>
            <w:r>
              <w:rPr>
                <w:noProof/>
                <w:sz w:val="20"/>
                <w:szCs w:val="20"/>
              </w:rPr>
              <w:t>NO</w:t>
            </w:r>
          </w:p>
        </w:tc>
        <w:tc>
          <w:tcPr>
            <w:tcW w:w="956" w:type="dxa"/>
            <w:vAlign w:val="center"/>
          </w:tcPr>
          <w:p w:rsidR="003A2ADB" w:rsidRDefault="008A783E">
            <w:pPr>
              <w:jc w:val="center"/>
              <w:rPr>
                <w:noProof/>
                <w:sz w:val="20"/>
                <w:szCs w:val="20"/>
              </w:rPr>
            </w:pPr>
            <w:r>
              <w:rPr>
                <w:noProof/>
                <w:sz w:val="20"/>
                <w:szCs w:val="20"/>
              </w:rPr>
              <w:t>NO</w:t>
            </w:r>
          </w:p>
        </w:tc>
        <w:tc>
          <w:tcPr>
            <w:tcW w:w="1448" w:type="dxa"/>
            <w:vAlign w:val="center"/>
          </w:tcPr>
          <w:p w:rsidR="003A2ADB" w:rsidRDefault="008A783E">
            <w:pPr>
              <w:rPr>
                <w:noProof/>
                <w:sz w:val="20"/>
                <w:szCs w:val="20"/>
              </w:rPr>
            </w:pPr>
            <w:r>
              <w:rPr>
                <w:noProof/>
                <w:sz w:val="20"/>
                <w:szCs w:val="20"/>
              </w:rPr>
              <w:t xml:space="preserve">      NO</w:t>
            </w:r>
          </w:p>
        </w:tc>
      </w:tr>
    </w:tbl>
    <w:p w:rsidR="003A2ADB" w:rsidRDefault="008A783E">
      <w:pPr>
        <w:pStyle w:val="ManualHeading2"/>
        <w:rPr>
          <w:bCs/>
          <w:noProof/>
          <w:szCs w:val="24"/>
        </w:rPr>
      </w:pPr>
      <w:bookmarkStart w:id="41" w:name="_Toc514938052"/>
      <w:bookmarkStart w:id="42" w:name="_Toc520485051"/>
      <w:r>
        <w:rPr>
          <w:noProof/>
        </w:rPr>
        <w:t>3.2.</w:t>
      </w:r>
      <w:r>
        <w:rPr>
          <w:noProof/>
        </w:rPr>
        <w:tab/>
        <w:t xml:space="preserve">Estimated financial impact of the proposal on </w:t>
      </w:r>
      <w:r>
        <w:rPr>
          <w:noProof/>
        </w:rPr>
        <w:t>appropriations</w:t>
      </w:r>
      <w:bookmarkEnd w:id="41"/>
      <w:bookmarkEnd w:id="42"/>
      <w:r>
        <w:rPr>
          <w:noProof/>
        </w:rPr>
        <w:t xml:space="preserve"> </w:t>
      </w:r>
    </w:p>
    <w:p w:rsidR="003A2ADB" w:rsidRDefault="008A783E">
      <w:pPr>
        <w:pStyle w:val="ManualHeading3"/>
        <w:rPr>
          <w:noProof/>
        </w:rPr>
      </w:pPr>
      <w:bookmarkStart w:id="43" w:name="_Toc514938053"/>
      <w:bookmarkStart w:id="44" w:name="_Toc520485052"/>
      <w:r>
        <w:rPr>
          <w:noProof/>
        </w:rPr>
        <w:t>3.2.1.</w:t>
      </w:r>
      <w:r>
        <w:rPr>
          <w:noProof/>
        </w:rPr>
        <w:tab/>
        <w:t>Summary of estimated impact on operational appropriations</w:t>
      </w:r>
      <w:bookmarkEnd w:id="43"/>
      <w:bookmarkEnd w:id="44"/>
      <w:r>
        <w:rPr>
          <w:noProof/>
        </w:rPr>
        <w:t xml:space="preserve"> </w:t>
      </w:r>
    </w:p>
    <w:p w:rsidR="003A2ADB" w:rsidRDefault="008A783E">
      <w:pPr>
        <w:pStyle w:val="ListDash1"/>
        <w:rPr>
          <w:noProof/>
        </w:rPr>
      </w:pPr>
      <w:r>
        <w:rPr>
          <w:noProof/>
        </w:rPr>
        <w:sym w:font="Wingdings" w:char="F0A8"/>
      </w:r>
      <w:r>
        <w:rPr>
          <w:noProof/>
        </w:rPr>
        <w:tab/>
        <w:t xml:space="preserve">This Regulation has no financial impact.  </w:t>
      </w:r>
    </w:p>
    <w:p w:rsidR="003A2ADB" w:rsidRDefault="008A783E">
      <w:pPr>
        <w:pStyle w:val="Text1"/>
        <w:rPr>
          <w:noProof/>
        </w:rPr>
      </w:pPr>
      <w:r>
        <w:rPr>
          <w:noProof/>
        </w:rPr>
        <w:t>X</w:t>
      </w:r>
      <w:r>
        <w:rPr>
          <w:noProof/>
        </w:rPr>
        <w:tab/>
        <w:t>The proposal/initiative requires the use of operational appropriations, as explained below:</w:t>
      </w:r>
    </w:p>
    <w:p w:rsidR="003A2ADB" w:rsidRDefault="003A2ADB">
      <w:pPr>
        <w:pStyle w:val="Text1"/>
        <w:rPr>
          <w:noProof/>
        </w:rPr>
      </w:pPr>
    </w:p>
    <w:p w:rsidR="003A2ADB" w:rsidRDefault="008A783E">
      <w:pPr>
        <w:pStyle w:val="Text1"/>
        <w:rPr>
          <w:noProof/>
        </w:rPr>
      </w:pPr>
      <w:r>
        <w:rPr>
          <w:noProof/>
        </w:rPr>
        <w:t xml:space="preserve">The specific provisions of this Regulation regarding the withdrawal of the United Kingdom without an agreement are limited in time and concern the budgetary years 2019 and 2020 only. </w:t>
      </w:r>
    </w:p>
    <w:p w:rsidR="003A2ADB" w:rsidRDefault="008A783E">
      <w:pPr>
        <w:pStyle w:val="Text1"/>
        <w:rPr>
          <w:noProof/>
        </w:rPr>
      </w:pPr>
      <w:r>
        <w:rPr>
          <w:noProof/>
        </w:rPr>
        <w:t xml:space="preserve">It shall apply from the date following that on which the Treaties cease </w:t>
      </w:r>
      <w:r>
        <w:rPr>
          <w:noProof/>
        </w:rPr>
        <w:t>to apply to the United Kingdom pursuant to Article 50(3) TEU.</w:t>
      </w:r>
    </w:p>
    <w:p w:rsidR="003A2ADB" w:rsidRDefault="008A783E">
      <w:pPr>
        <w:pStyle w:val="Text1"/>
        <w:rPr>
          <w:noProof/>
        </w:rPr>
      </w:pPr>
      <w:r>
        <w:rPr>
          <w:noProof/>
        </w:rPr>
        <w:t>Applications will be accepted between 1 November 2019 and 30 April 2020.</w:t>
      </w:r>
    </w:p>
    <w:p w:rsidR="003A2ADB" w:rsidRDefault="008A783E">
      <w:pPr>
        <w:pStyle w:val="Text1"/>
        <w:rPr>
          <w:noProof/>
        </w:rPr>
      </w:pPr>
      <w:r>
        <w:rPr>
          <w:noProof/>
        </w:rPr>
        <w:t>The ceiling will be 50% of the maximum allocation of the EUSF for 2019 and 2020 totalling EUR 591.65 million (EUR 292.9 m</w:t>
      </w:r>
      <w:r>
        <w:rPr>
          <w:noProof/>
        </w:rPr>
        <w:t>illion for 2019 plus EUR 298.75 million for 2020).</w:t>
      </w:r>
    </w:p>
    <w:p w:rsidR="003A2ADB" w:rsidRDefault="008A783E">
      <w:pPr>
        <w:pStyle w:val="Text1"/>
        <w:rPr>
          <w:noProof/>
        </w:rPr>
      </w:pPr>
      <w:r>
        <w:rPr>
          <w:noProof/>
        </w:rPr>
        <w:t>This Regulation shall not apply if a withdrawal agreement concluded with the United Kingdom in accordance with Article 50(2) TEU has entered into force by that date.</w:t>
      </w:r>
    </w:p>
    <w:p w:rsidR="003A2ADB" w:rsidRDefault="008A783E">
      <w:pPr>
        <w:pStyle w:val="Text1"/>
        <w:rPr>
          <w:noProof/>
        </w:rPr>
      </w:pPr>
      <w:r>
        <w:rPr>
          <w:noProof/>
        </w:rPr>
        <w:t>Furthermore, the additional advances re</w:t>
      </w:r>
      <w:r>
        <w:rPr>
          <w:noProof/>
        </w:rPr>
        <w:t xml:space="preserve">quire EUR 50 million in commitment and payment appropriations from 2020 onwards. </w:t>
      </w:r>
    </w:p>
    <w:p w:rsidR="003A2ADB" w:rsidRDefault="008A783E">
      <w:pPr>
        <w:pStyle w:val="Text1"/>
        <w:rPr>
          <w:noProof/>
        </w:rPr>
      </w:pPr>
      <w:r>
        <w:rPr>
          <w:noProof/>
        </w:rPr>
        <w:t>The overall proposal remain within the maximum allocations provided for the EUSF and is therefore compatible with the MFF.</w:t>
      </w:r>
    </w:p>
    <w:p w:rsidR="003A2ADB" w:rsidRDefault="003A2ADB">
      <w:pPr>
        <w:pStyle w:val="Text1"/>
        <w:rPr>
          <w:noProof/>
        </w:rPr>
      </w:pPr>
    </w:p>
    <w:p w:rsidR="003A2ADB" w:rsidRDefault="008A783E">
      <w:pPr>
        <w:spacing w:before="0" w:after="200" w:line="276" w:lineRule="auto"/>
        <w:jc w:val="left"/>
        <w:rPr>
          <w:noProof/>
        </w:rPr>
      </w:pPr>
      <w:r>
        <w:rPr>
          <w:noProof/>
        </w:rPr>
        <w:br w:type="page"/>
      </w:r>
    </w:p>
    <w:p w:rsidR="003A2ADB" w:rsidRDefault="008A783E">
      <w:pPr>
        <w:keepNext/>
        <w:jc w:val="right"/>
        <w:rPr>
          <w:noProof/>
          <w:sz w:val="18"/>
          <w:szCs w:val="18"/>
        </w:rPr>
      </w:pPr>
      <w:r>
        <w:rPr>
          <w:noProof/>
          <w:sz w:val="18"/>
          <w:szCs w:val="18"/>
        </w:rPr>
        <w:t xml:space="preserve">EUR </w:t>
      </w:r>
    </w:p>
    <w:p w:rsidR="003A2ADB" w:rsidRDefault="003A2AD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A2ADB">
        <w:trPr>
          <w:jc w:val="center"/>
        </w:trPr>
        <w:tc>
          <w:tcPr>
            <w:tcW w:w="4744" w:type="dxa"/>
            <w:shd w:val="thinDiagStripe" w:color="C0C0C0" w:fill="auto"/>
            <w:vAlign w:val="center"/>
          </w:tcPr>
          <w:p w:rsidR="003A2ADB" w:rsidRDefault="008A783E">
            <w:pPr>
              <w:spacing w:before="60" w:after="60"/>
              <w:jc w:val="center"/>
              <w:rPr>
                <w:b/>
                <w:noProof/>
              </w:rPr>
            </w:pPr>
            <w:r>
              <w:rPr>
                <w:b/>
                <w:noProof/>
                <w:sz w:val="22"/>
              </w:rPr>
              <w:t xml:space="preserve">Heading of multiannual financial </w:t>
            </w:r>
            <w:r>
              <w:rPr>
                <w:noProof/>
                <w:sz w:val="22"/>
              </w:rPr>
              <w:br/>
            </w:r>
            <w:r>
              <w:rPr>
                <w:b/>
                <w:noProof/>
                <w:sz w:val="22"/>
              </w:rPr>
              <w:t>framewor</w:t>
            </w:r>
            <w:r>
              <w:rPr>
                <w:b/>
                <w:noProof/>
                <w:sz w:val="22"/>
              </w:rPr>
              <w:t xml:space="preserve">k </w:t>
            </w:r>
          </w:p>
        </w:tc>
        <w:tc>
          <w:tcPr>
            <w:tcW w:w="1080" w:type="dxa"/>
            <w:vAlign w:val="center"/>
          </w:tcPr>
          <w:p w:rsidR="003A2ADB" w:rsidRDefault="008A783E">
            <w:pPr>
              <w:spacing w:before="60" w:after="60"/>
              <w:jc w:val="center"/>
              <w:rPr>
                <w:noProof/>
              </w:rPr>
            </w:pPr>
            <w:r>
              <w:rPr>
                <w:noProof/>
                <w:sz w:val="22"/>
              </w:rPr>
              <w:t>9</w:t>
            </w:r>
          </w:p>
        </w:tc>
        <w:tc>
          <w:tcPr>
            <w:tcW w:w="7817" w:type="dxa"/>
            <w:vAlign w:val="center"/>
          </w:tcPr>
          <w:p w:rsidR="003A2ADB" w:rsidRDefault="008A783E">
            <w:pPr>
              <w:spacing w:before="60" w:after="60"/>
              <w:rPr>
                <w:noProof/>
              </w:rPr>
            </w:pPr>
            <w:r>
              <w:rPr>
                <w:noProof/>
              </w:rPr>
              <w:t>Special Instruments</w:t>
            </w:r>
          </w:p>
        </w:tc>
      </w:tr>
    </w:tbl>
    <w:p w:rsidR="003A2ADB" w:rsidRDefault="003A2ADB">
      <w:pPr>
        <w:rPr>
          <w:noProof/>
          <w:sz w:val="16"/>
        </w:rPr>
      </w:pPr>
    </w:p>
    <w:tbl>
      <w:tblPr>
        <w:tblW w:w="15952"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252"/>
        <w:gridCol w:w="1116"/>
        <w:gridCol w:w="1010"/>
        <w:gridCol w:w="1134"/>
        <w:gridCol w:w="1418"/>
        <w:gridCol w:w="1559"/>
        <w:gridCol w:w="2409"/>
      </w:tblGrid>
      <w:tr w:rsidR="003A2ADB">
        <w:trPr>
          <w:trHeight w:val="1068"/>
        </w:trPr>
        <w:tc>
          <w:tcPr>
            <w:tcW w:w="3960" w:type="dxa"/>
            <w:vAlign w:val="center"/>
          </w:tcPr>
          <w:p w:rsidR="003A2ADB" w:rsidRDefault="003A2ADB">
            <w:pPr>
              <w:rPr>
                <w:noProof/>
              </w:rPr>
            </w:pPr>
          </w:p>
        </w:tc>
        <w:tc>
          <w:tcPr>
            <w:tcW w:w="1560" w:type="dxa"/>
            <w:gridSpan w:val="2"/>
          </w:tcPr>
          <w:p w:rsidR="003A2ADB" w:rsidRDefault="003A2ADB">
            <w:pPr>
              <w:rPr>
                <w:noProof/>
                <w:sz w:val="20"/>
              </w:rPr>
            </w:pPr>
          </w:p>
        </w:tc>
        <w:tc>
          <w:tcPr>
            <w:tcW w:w="534" w:type="dxa"/>
          </w:tcPr>
          <w:p w:rsidR="003A2ADB" w:rsidRDefault="003A2ADB">
            <w:pPr>
              <w:jc w:val="center"/>
              <w:rPr>
                <w:noProof/>
                <w:sz w:val="20"/>
              </w:rPr>
            </w:pPr>
          </w:p>
        </w:tc>
        <w:tc>
          <w:tcPr>
            <w:tcW w:w="1252" w:type="dxa"/>
            <w:vAlign w:val="center"/>
          </w:tcPr>
          <w:p w:rsidR="003A2ADB" w:rsidRDefault="008A783E">
            <w:pPr>
              <w:jc w:val="center"/>
              <w:rPr>
                <w:noProof/>
                <w:sz w:val="20"/>
              </w:rPr>
            </w:pPr>
            <w:r>
              <w:rPr>
                <w:noProof/>
                <w:sz w:val="20"/>
              </w:rPr>
              <w:t>2019</w:t>
            </w:r>
          </w:p>
        </w:tc>
        <w:tc>
          <w:tcPr>
            <w:tcW w:w="1116" w:type="dxa"/>
            <w:vAlign w:val="center"/>
          </w:tcPr>
          <w:p w:rsidR="003A2ADB" w:rsidRDefault="008A783E">
            <w:pPr>
              <w:jc w:val="center"/>
              <w:rPr>
                <w:noProof/>
                <w:sz w:val="20"/>
              </w:rPr>
            </w:pPr>
            <w:r>
              <w:rPr>
                <w:noProof/>
                <w:sz w:val="20"/>
              </w:rPr>
              <w:t>2020</w:t>
            </w:r>
          </w:p>
        </w:tc>
        <w:tc>
          <w:tcPr>
            <w:tcW w:w="1010" w:type="dxa"/>
            <w:vAlign w:val="center"/>
          </w:tcPr>
          <w:p w:rsidR="003A2ADB" w:rsidRDefault="008A783E">
            <w:pPr>
              <w:jc w:val="center"/>
              <w:rPr>
                <w:noProof/>
                <w:sz w:val="20"/>
              </w:rPr>
            </w:pPr>
            <w:r>
              <w:rPr>
                <w:noProof/>
                <w:sz w:val="20"/>
              </w:rPr>
              <w:t>2021</w:t>
            </w:r>
          </w:p>
        </w:tc>
        <w:tc>
          <w:tcPr>
            <w:tcW w:w="1134" w:type="dxa"/>
            <w:vAlign w:val="center"/>
          </w:tcPr>
          <w:p w:rsidR="003A2ADB" w:rsidRDefault="008A783E">
            <w:pPr>
              <w:jc w:val="center"/>
              <w:rPr>
                <w:noProof/>
                <w:sz w:val="20"/>
              </w:rPr>
            </w:pPr>
            <w:r>
              <w:rPr>
                <w:noProof/>
                <w:sz w:val="20"/>
              </w:rPr>
              <w:t>2022</w:t>
            </w:r>
          </w:p>
        </w:tc>
        <w:tc>
          <w:tcPr>
            <w:tcW w:w="1418" w:type="dxa"/>
          </w:tcPr>
          <w:p w:rsidR="003A2ADB" w:rsidRDefault="008A783E">
            <w:pPr>
              <w:rPr>
                <w:noProof/>
                <w:sz w:val="20"/>
              </w:rPr>
            </w:pPr>
            <w:r>
              <w:rPr>
                <w:noProof/>
                <w:sz w:val="20"/>
              </w:rPr>
              <w:t xml:space="preserve">   </w:t>
            </w:r>
          </w:p>
          <w:p w:rsidR="003A2ADB" w:rsidRDefault="008A783E">
            <w:pPr>
              <w:rPr>
                <w:noProof/>
                <w:sz w:val="20"/>
              </w:rPr>
            </w:pPr>
            <w:r>
              <w:rPr>
                <w:noProof/>
                <w:sz w:val="20"/>
              </w:rPr>
              <w:t xml:space="preserve">      2023</w:t>
            </w:r>
          </w:p>
        </w:tc>
        <w:tc>
          <w:tcPr>
            <w:tcW w:w="1559" w:type="dxa"/>
          </w:tcPr>
          <w:p w:rsidR="003A2ADB" w:rsidRDefault="003A2ADB">
            <w:pPr>
              <w:jc w:val="center"/>
              <w:rPr>
                <w:noProof/>
                <w:sz w:val="20"/>
              </w:rPr>
            </w:pPr>
          </w:p>
          <w:p w:rsidR="003A2ADB" w:rsidRDefault="008A783E">
            <w:pPr>
              <w:jc w:val="center"/>
              <w:rPr>
                <w:noProof/>
                <w:sz w:val="20"/>
              </w:rPr>
            </w:pPr>
            <w:r>
              <w:rPr>
                <w:noProof/>
                <w:sz w:val="20"/>
              </w:rPr>
              <w:t>Subsequent years</w:t>
            </w:r>
          </w:p>
        </w:tc>
        <w:tc>
          <w:tcPr>
            <w:tcW w:w="2409" w:type="dxa"/>
            <w:vAlign w:val="center"/>
          </w:tcPr>
          <w:p w:rsidR="003A2ADB" w:rsidRDefault="008A783E">
            <w:pPr>
              <w:jc w:val="center"/>
              <w:rPr>
                <w:b/>
                <w:noProof/>
                <w:sz w:val="20"/>
              </w:rPr>
            </w:pPr>
            <w:r>
              <w:rPr>
                <w:b/>
                <w:noProof/>
                <w:sz w:val="20"/>
              </w:rPr>
              <w:t>TOTAL</w:t>
            </w:r>
          </w:p>
        </w:tc>
      </w:tr>
      <w:tr w:rsidR="003A2ADB">
        <w:trPr>
          <w:trHeight w:val="213"/>
        </w:trPr>
        <w:tc>
          <w:tcPr>
            <w:tcW w:w="6054" w:type="dxa"/>
            <w:gridSpan w:val="4"/>
            <w:vAlign w:val="center"/>
          </w:tcPr>
          <w:p w:rsidR="003A2ADB" w:rsidRDefault="008A783E">
            <w:pPr>
              <w:spacing w:before="20" w:after="20"/>
              <w:rPr>
                <w:b/>
                <w:noProof/>
                <w:szCs w:val="24"/>
              </w:rPr>
            </w:pPr>
            <w:r>
              <w:rPr>
                <w:noProof/>
                <w:sz w:val="21"/>
              </w:rPr>
              <w:sym w:font="Wingdings" w:char="F09F"/>
            </w:r>
            <w:r>
              <w:rPr>
                <w:noProof/>
                <w:sz w:val="21"/>
              </w:rPr>
              <w:t xml:space="preserve"> </w:t>
            </w:r>
            <w:r>
              <w:rPr>
                <w:b/>
                <w:noProof/>
                <w:szCs w:val="24"/>
              </w:rPr>
              <w:t>Operational appropiation</w:t>
            </w:r>
          </w:p>
        </w:tc>
        <w:tc>
          <w:tcPr>
            <w:tcW w:w="1252" w:type="dxa"/>
            <w:vAlign w:val="center"/>
          </w:tcPr>
          <w:p w:rsidR="003A2ADB" w:rsidRDefault="003A2ADB">
            <w:pPr>
              <w:rPr>
                <w:noProof/>
                <w:sz w:val="20"/>
              </w:rPr>
            </w:pPr>
          </w:p>
        </w:tc>
        <w:tc>
          <w:tcPr>
            <w:tcW w:w="1116" w:type="dxa"/>
            <w:vAlign w:val="center"/>
          </w:tcPr>
          <w:p w:rsidR="003A2ADB" w:rsidRDefault="003A2ADB">
            <w:pPr>
              <w:rPr>
                <w:noProof/>
                <w:sz w:val="20"/>
              </w:rPr>
            </w:pPr>
          </w:p>
        </w:tc>
        <w:tc>
          <w:tcPr>
            <w:tcW w:w="1010" w:type="dxa"/>
            <w:vAlign w:val="center"/>
          </w:tcPr>
          <w:p w:rsidR="003A2ADB" w:rsidRDefault="003A2ADB">
            <w:pPr>
              <w:rPr>
                <w:noProof/>
                <w:sz w:val="20"/>
              </w:rPr>
            </w:pPr>
          </w:p>
        </w:tc>
        <w:tc>
          <w:tcPr>
            <w:tcW w:w="1134" w:type="dxa"/>
            <w:vAlign w:val="center"/>
          </w:tcPr>
          <w:p w:rsidR="003A2ADB" w:rsidRDefault="003A2ADB">
            <w:pPr>
              <w:rPr>
                <w:noProof/>
                <w:sz w:val="20"/>
              </w:rPr>
            </w:pPr>
          </w:p>
        </w:tc>
        <w:tc>
          <w:tcPr>
            <w:tcW w:w="1418" w:type="dxa"/>
          </w:tcPr>
          <w:p w:rsidR="003A2ADB" w:rsidRDefault="003A2ADB">
            <w:pPr>
              <w:rPr>
                <w:b/>
                <w:noProof/>
                <w:sz w:val="20"/>
              </w:rPr>
            </w:pPr>
          </w:p>
        </w:tc>
        <w:tc>
          <w:tcPr>
            <w:tcW w:w="1559" w:type="dxa"/>
          </w:tcPr>
          <w:p w:rsidR="003A2ADB" w:rsidRDefault="003A2ADB">
            <w:pPr>
              <w:rPr>
                <w:b/>
                <w:noProof/>
                <w:sz w:val="20"/>
              </w:rPr>
            </w:pPr>
          </w:p>
        </w:tc>
        <w:tc>
          <w:tcPr>
            <w:tcW w:w="2409" w:type="dxa"/>
            <w:vAlign w:val="center"/>
          </w:tcPr>
          <w:p w:rsidR="003A2ADB" w:rsidRDefault="003A2ADB">
            <w:pPr>
              <w:rPr>
                <w:b/>
                <w:noProof/>
                <w:sz w:val="20"/>
              </w:rPr>
            </w:pPr>
          </w:p>
        </w:tc>
      </w:tr>
      <w:tr w:rsidR="003A2ADB">
        <w:trPr>
          <w:trHeight w:val="509"/>
        </w:trPr>
        <w:tc>
          <w:tcPr>
            <w:tcW w:w="3960" w:type="dxa"/>
            <w:vMerge w:val="restart"/>
            <w:vAlign w:val="center"/>
          </w:tcPr>
          <w:p w:rsidR="003A2ADB" w:rsidRDefault="008A783E">
            <w:pPr>
              <w:rPr>
                <w:noProof/>
                <w:sz w:val="20"/>
              </w:rPr>
            </w:pPr>
            <w:r>
              <w:rPr>
                <w:noProof/>
                <w:sz w:val="20"/>
              </w:rPr>
              <w:t xml:space="preserve">13 06 01 - Assistance to Member States in the event of a major natural disaster with serious repercussions on living conditions, </w:t>
            </w:r>
            <w:r>
              <w:rPr>
                <w:noProof/>
                <w:sz w:val="20"/>
              </w:rPr>
              <w:t>the natural environment or the economy</w:t>
            </w:r>
          </w:p>
        </w:tc>
        <w:tc>
          <w:tcPr>
            <w:tcW w:w="1440" w:type="dxa"/>
            <w:vAlign w:val="center"/>
          </w:tcPr>
          <w:p w:rsidR="003A2ADB" w:rsidRDefault="008A783E">
            <w:pPr>
              <w:spacing w:before="20" w:after="20"/>
              <w:rPr>
                <w:noProof/>
                <w:sz w:val="18"/>
              </w:rPr>
            </w:pPr>
            <w:r>
              <w:rPr>
                <w:noProof/>
                <w:sz w:val="18"/>
              </w:rPr>
              <w:t>Commitments</w:t>
            </w:r>
          </w:p>
        </w:tc>
        <w:tc>
          <w:tcPr>
            <w:tcW w:w="654" w:type="dxa"/>
            <w:gridSpan w:val="2"/>
            <w:vAlign w:val="center"/>
          </w:tcPr>
          <w:p w:rsidR="003A2ADB" w:rsidRDefault="008A783E">
            <w:pPr>
              <w:spacing w:before="20" w:after="20"/>
              <w:jc w:val="center"/>
              <w:rPr>
                <w:noProof/>
                <w:sz w:val="14"/>
              </w:rPr>
            </w:pPr>
            <w:r>
              <w:rPr>
                <w:noProof/>
                <w:sz w:val="14"/>
              </w:rPr>
              <w:t>(1a)</w:t>
            </w:r>
          </w:p>
        </w:tc>
        <w:tc>
          <w:tcPr>
            <w:tcW w:w="1252" w:type="dxa"/>
            <w:shd w:val="clear" w:color="auto" w:fill="FFFFFF" w:themeFill="background1"/>
            <w:vAlign w:val="center"/>
          </w:tcPr>
          <w:p w:rsidR="003A2ADB" w:rsidRDefault="008A783E">
            <w:pPr>
              <w:spacing w:before="20" w:after="20"/>
              <w:jc w:val="right"/>
              <w:rPr>
                <w:noProof/>
                <w:sz w:val="18"/>
                <w:szCs w:val="18"/>
                <w:highlight w:val="yellow"/>
              </w:rPr>
            </w:pPr>
            <w:r>
              <w:rPr>
                <w:noProof/>
                <w:sz w:val="18"/>
                <w:szCs w:val="18"/>
                <w:highlight w:val="yellow"/>
              </w:rPr>
              <w:t xml:space="preserve">   </w:t>
            </w:r>
          </w:p>
        </w:tc>
        <w:tc>
          <w:tcPr>
            <w:tcW w:w="1116" w:type="dxa"/>
            <w:shd w:val="clear" w:color="auto" w:fill="FFFFFF" w:themeFill="background1"/>
            <w:vAlign w:val="center"/>
          </w:tcPr>
          <w:p w:rsidR="003A2ADB" w:rsidRDefault="003A2ADB">
            <w:pPr>
              <w:spacing w:before="20" w:after="20"/>
              <w:jc w:val="right"/>
              <w:rPr>
                <w:noProof/>
                <w:sz w:val="18"/>
                <w:szCs w:val="18"/>
                <w:highlight w:val="yellow"/>
              </w:rPr>
            </w:pPr>
          </w:p>
        </w:tc>
        <w:tc>
          <w:tcPr>
            <w:tcW w:w="1010" w:type="dxa"/>
            <w:shd w:val="clear" w:color="auto" w:fill="FFFFFF" w:themeFill="background1"/>
            <w:vAlign w:val="center"/>
          </w:tcPr>
          <w:p w:rsidR="003A2ADB" w:rsidRDefault="003A2ADB">
            <w:pPr>
              <w:spacing w:before="20" w:after="20"/>
              <w:jc w:val="right"/>
              <w:rPr>
                <w:noProof/>
                <w:sz w:val="18"/>
                <w:szCs w:val="18"/>
                <w:highlight w:val="yellow"/>
              </w:rPr>
            </w:pPr>
          </w:p>
        </w:tc>
        <w:tc>
          <w:tcPr>
            <w:tcW w:w="1134" w:type="dxa"/>
            <w:shd w:val="clear" w:color="auto" w:fill="FFFFFF" w:themeFill="background1"/>
            <w:vAlign w:val="center"/>
          </w:tcPr>
          <w:p w:rsidR="003A2ADB" w:rsidRDefault="003A2ADB">
            <w:pPr>
              <w:spacing w:before="20" w:after="20"/>
              <w:jc w:val="right"/>
              <w:rPr>
                <w:noProof/>
                <w:sz w:val="18"/>
                <w:szCs w:val="18"/>
                <w:highlight w:val="yellow"/>
              </w:rPr>
            </w:pPr>
          </w:p>
        </w:tc>
        <w:tc>
          <w:tcPr>
            <w:tcW w:w="1418" w:type="dxa"/>
            <w:shd w:val="clear" w:color="auto" w:fill="FFFFFF" w:themeFill="background1"/>
          </w:tcPr>
          <w:p w:rsidR="003A2ADB" w:rsidRDefault="003A2ADB">
            <w:pPr>
              <w:spacing w:before="20" w:after="20"/>
              <w:jc w:val="right"/>
              <w:rPr>
                <w:noProof/>
                <w:sz w:val="18"/>
                <w:szCs w:val="18"/>
                <w:highlight w:val="yellow"/>
              </w:rPr>
            </w:pPr>
          </w:p>
        </w:tc>
        <w:tc>
          <w:tcPr>
            <w:tcW w:w="1559" w:type="dxa"/>
            <w:shd w:val="clear" w:color="auto" w:fill="FFFFFF" w:themeFill="background1"/>
          </w:tcPr>
          <w:p w:rsidR="003A2ADB" w:rsidRDefault="003A2ADB">
            <w:pPr>
              <w:spacing w:before="20" w:after="20"/>
              <w:jc w:val="right"/>
              <w:rPr>
                <w:noProof/>
                <w:sz w:val="18"/>
                <w:szCs w:val="18"/>
                <w:highlight w:val="yellow"/>
              </w:rPr>
            </w:pPr>
          </w:p>
        </w:tc>
        <w:tc>
          <w:tcPr>
            <w:tcW w:w="2409" w:type="dxa"/>
            <w:shd w:val="clear" w:color="auto" w:fill="FFFFFF" w:themeFill="background1"/>
            <w:vAlign w:val="center"/>
          </w:tcPr>
          <w:p w:rsidR="003A2ADB" w:rsidRDefault="003A2ADB">
            <w:pPr>
              <w:spacing w:before="20" w:after="20"/>
              <w:jc w:val="right"/>
              <w:rPr>
                <w:noProof/>
                <w:sz w:val="18"/>
                <w:szCs w:val="18"/>
                <w:highlight w:val="yellow"/>
              </w:rPr>
            </w:pPr>
          </w:p>
        </w:tc>
      </w:tr>
      <w:tr w:rsidR="003A2ADB">
        <w:tc>
          <w:tcPr>
            <w:tcW w:w="3960" w:type="dxa"/>
            <w:vMerge/>
          </w:tcPr>
          <w:p w:rsidR="003A2ADB" w:rsidRDefault="003A2ADB">
            <w:pPr>
              <w:jc w:val="center"/>
              <w:rPr>
                <w:noProof/>
                <w:sz w:val="20"/>
              </w:rPr>
            </w:pPr>
          </w:p>
        </w:tc>
        <w:tc>
          <w:tcPr>
            <w:tcW w:w="1440" w:type="dxa"/>
            <w:vAlign w:val="center"/>
          </w:tcPr>
          <w:p w:rsidR="003A2ADB" w:rsidRDefault="008A783E">
            <w:pPr>
              <w:spacing w:before="20" w:after="20"/>
              <w:rPr>
                <w:noProof/>
                <w:sz w:val="18"/>
              </w:rPr>
            </w:pPr>
            <w:r>
              <w:rPr>
                <w:noProof/>
                <w:sz w:val="18"/>
              </w:rPr>
              <w:t>Payments</w:t>
            </w:r>
          </w:p>
        </w:tc>
        <w:tc>
          <w:tcPr>
            <w:tcW w:w="654" w:type="dxa"/>
            <w:gridSpan w:val="2"/>
            <w:vAlign w:val="center"/>
          </w:tcPr>
          <w:p w:rsidR="003A2ADB" w:rsidRDefault="008A783E">
            <w:pPr>
              <w:spacing w:before="20" w:after="20"/>
              <w:jc w:val="center"/>
              <w:rPr>
                <w:noProof/>
                <w:sz w:val="14"/>
              </w:rPr>
            </w:pPr>
            <w:r>
              <w:rPr>
                <w:noProof/>
                <w:sz w:val="14"/>
              </w:rPr>
              <w:t>(2a)</w:t>
            </w:r>
          </w:p>
        </w:tc>
        <w:tc>
          <w:tcPr>
            <w:tcW w:w="1252" w:type="dxa"/>
            <w:shd w:val="clear" w:color="auto" w:fill="FFFFFF" w:themeFill="background1"/>
            <w:vAlign w:val="center"/>
          </w:tcPr>
          <w:p w:rsidR="003A2ADB" w:rsidRDefault="003A2ADB">
            <w:pPr>
              <w:spacing w:before="20" w:after="20"/>
              <w:jc w:val="right"/>
              <w:rPr>
                <w:noProof/>
                <w:sz w:val="18"/>
                <w:szCs w:val="18"/>
                <w:highlight w:val="yellow"/>
              </w:rPr>
            </w:pPr>
          </w:p>
        </w:tc>
        <w:tc>
          <w:tcPr>
            <w:tcW w:w="1116" w:type="dxa"/>
            <w:shd w:val="clear" w:color="auto" w:fill="FFFFFF" w:themeFill="background1"/>
            <w:vAlign w:val="center"/>
          </w:tcPr>
          <w:p w:rsidR="003A2ADB" w:rsidRDefault="003A2ADB">
            <w:pPr>
              <w:spacing w:before="20" w:after="20"/>
              <w:jc w:val="right"/>
              <w:rPr>
                <w:noProof/>
                <w:sz w:val="18"/>
                <w:szCs w:val="18"/>
                <w:highlight w:val="yellow"/>
              </w:rPr>
            </w:pPr>
          </w:p>
        </w:tc>
        <w:tc>
          <w:tcPr>
            <w:tcW w:w="1010" w:type="dxa"/>
            <w:shd w:val="clear" w:color="auto" w:fill="FFFFFF" w:themeFill="background1"/>
            <w:vAlign w:val="center"/>
          </w:tcPr>
          <w:p w:rsidR="003A2ADB" w:rsidRDefault="003A2ADB">
            <w:pPr>
              <w:spacing w:before="20" w:after="20"/>
              <w:jc w:val="right"/>
              <w:rPr>
                <w:noProof/>
                <w:sz w:val="18"/>
                <w:szCs w:val="18"/>
                <w:highlight w:val="yellow"/>
              </w:rPr>
            </w:pPr>
          </w:p>
        </w:tc>
        <w:tc>
          <w:tcPr>
            <w:tcW w:w="1134" w:type="dxa"/>
            <w:shd w:val="clear" w:color="auto" w:fill="FFFFFF" w:themeFill="background1"/>
            <w:vAlign w:val="center"/>
          </w:tcPr>
          <w:p w:rsidR="003A2ADB" w:rsidRDefault="003A2ADB">
            <w:pPr>
              <w:spacing w:before="20" w:after="20"/>
              <w:jc w:val="right"/>
              <w:rPr>
                <w:noProof/>
                <w:sz w:val="18"/>
                <w:szCs w:val="18"/>
                <w:highlight w:val="yellow"/>
              </w:rPr>
            </w:pPr>
          </w:p>
        </w:tc>
        <w:tc>
          <w:tcPr>
            <w:tcW w:w="1418" w:type="dxa"/>
            <w:shd w:val="clear" w:color="auto" w:fill="FFFFFF" w:themeFill="background1"/>
          </w:tcPr>
          <w:p w:rsidR="003A2ADB" w:rsidRDefault="003A2ADB">
            <w:pPr>
              <w:spacing w:before="20" w:after="20"/>
              <w:jc w:val="right"/>
              <w:rPr>
                <w:noProof/>
                <w:sz w:val="18"/>
                <w:szCs w:val="18"/>
                <w:highlight w:val="yellow"/>
              </w:rPr>
            </w:pPr>
          </w:p>
        </w:tc>
        <w:tc>
          <w:tcPr>
            <w:tcW w:w="1559" w:type="dxa"/>
            <w:shd w:val="clear" w:color="auto" w:fill="FFFFFF" w:themeFill="background1"/>
          </w:tcPr>
          <w:p w:rsidR="003A2ADB" w:rsidRDefault="003A2ADB">
            <w:pPr>
              <w:spacing w:before="20" w:after="20"/>
              <w:jc w:val="right"/>
              <w:rPr>
                <w:noProof/>
                <w:sz w:val="18"/>
                <w:szCs w:val="18"/>
                <w:highlight w:val="yellow"/>
              </w:rPr>
            </w:pPr>
          </w:p>
        </w:tc>
        <w:tc>
          <w:tcPr>
            <w:tcW w:w="2409" w:type="dxa"/>
            <w:shd w:val="clear" w:color="auto" w:fill="FFFFFF" w:themeFill="background1"/>
            <w:vAlign w:val="center"/>
          </w:tcPr>
          <w:p w:rsidR="003A2ADB" w:rsidRDefault="003A2ADB">
            <w:pPr>
              <w:spacing w:before="20" w:after="20"/>
              <w:jc w:val="right"/>
              <w:rPr>
                <w:noProof/>
                <w:sz w:val="18"/>
                <w:szCs w:val="18"/>
                <w:highlight w:val="yellow"/>
              </w:rPr>
            </w:pPr>
          </w:p>
        </w:tc>
      </w:tr>
      <w:tr w:rsidR="003A2ADB">
        <w:tc>
          <w:tcPr>
            <w:tcW w:w="3960" w:type="dxa"/>
            <w:vMerge w:val="restart"/>
            <w:vAlign w:val="center"/>
          </w:tcPr>
          <w:p w:rsidR="003A2ADB" w:rsidRDefault="008A783E">
            <w:pPr>
              <w:jc w:val="center"/>
              <w:rPr>
                <w:b/>
                <w:noProof/>
              </w:rPr>
            </w:pPr>
            <w:r>
              <w:rPr>
                <w:b/>
                <w:noProof/>
                <w:sz w:val="22"/>
              </w:rPr>
              <w:t>TOTAL appropriations</w:t>
            </w:r>
            <w:r>
              <w:rPr>
                <w:noProof/>
                <w:sz w:val="22"/>
              </w:rPr>
              <w:br/>
            </w:r>
          </w:p>
        </w:tc>
        <w:tc>
          <w:tcPr>
            <w:tcW w:w="1440" w:type="dxa"/>
            <w:vAlign w:val="center"/>
          </w:tcPr>
          <w:p w:rsidR="003A2ADB" w:rsidRDefault="008A783E">
            <w:pPr>
              <w:rPr>
                <w:noProof/>
                <w:sz w:val="18"/>
              </w:rPr>
            </w:pPr>
            <w:r>
              <w:rPr>
                <w:noProof/>
                <w:sz w:val="18"/>
              </w:rPr>
              <w:t>Commitments</w:t>
            </w:r>
          </w:p>
        </w:tc>
        <w:tc>
          <w:tcPr>
            <w:tcW w:w="654" w:type="dxa"/>
            <w:gridSpan w:val="2"/>
            <w:vAlign w:val="center"/>
          </w:tcPr>
          <w:p w:rsidR="003A2ADB" w:rsidRDefault="008A783E">
            <w:pPr>
              <w:jc w:val="center"/>
              <w:rPr>
                <w:noProof/>
                <w:sz w:val="14"/>
              </w:rPr>
            </w:pPr>
            <w:r>
              <w:rPr>
                <w:noProof/>
                <w:sz w:val="14"/>
              </w:rPr>
              <w:t>=1a+1b +3</w:t>
            </w:r>
          </w:p>
        </w:tc>
        <w:tc>
          <w:tcPr>
            <w:tcW w:w="1252" w:type="dxa"/>
            <w:shd w:val="clear" w:color="auto" w:fill="FFFFFF" w:themeFill="background1"/>
            <w:vAlign w:val="center"/>
          </w:tcPr>
          <w:p w:rsidR="003A2ADB" w:rsidRDefault="008A783E">
            <w:pPr>
              <w:spacing w:before="20" w:after="20"/>
              <w:jc w:val="right"/>
              <w:rPr>
                <w:noProof/>
                <w:sz w:val="18"/>
                <w:szCs w:val="18"/>
                <w:highlight w:val="yellow"/>
              </w:rPr>
            </w:pPr>
            <w:r>
              <w:rPr>
                <w:noProof/>
                <w:sz w:val="18"/>
                <w:szCs w:val="18"/>
                <w:highlight w:val="yellow"/>
              </w:rPr>
              <w:t xml:space="preserve">   </w:t>
            </w:r>
          </w:p>
        </w:tc>
        <w:tc>
          <w:tcPr>
            <w:tcW w:w="1116" w:type="dxa"/>
            <w:shd w:val="clear" w:color="auto" w:fill="FFFFFF" w:themeFill="background1"/>
            <w:vAlign w:val="center"/>
          </w:tcPr>
          <w:p w:rsidR="003A2ADB" w:rsidRDefault="003A2ADB">
            <w:pPr>
              <w:spacing w:before="20" w:after="20"/>
              <w:jc w:val="right"/>
              <w:rPr>
                <w:noProof/>
                <w:sz w:val="18"/>
                <w:szCs w:val="18"/>
                <w:highlight w:val="yellow"/>
              </w:rPr>
            </w:pPr>
          </w:p>
        </w:tc>
        <w:tc>
          <w:tcPr>
            <w:tcW w:w="1010" w:type="dxa"/>
            <w:shd w:val="clear" w:color="auto" w:fill="FFFFFF" w:themeFill="background1"/>
            <w:vAlign w:val="center"/>
          </w:tcPr>
          <w:p w:rsidR="003A2ADB" w:rsidRDefault="003A2ADB">
            <w:pPr>
              <w:spacing w:before="20" w:after="20"/>
              <w:jc w:val="right"/>
              <w:rPr>
                <w:noProof/>
                <w:sz w:val="18"/>
                <w:szCs w:val="18"/>
                <w:highlight w:val="yellow"/>
              </w:rPr>
            </w:pPr>
          </w:p>
        </w:tc>
        <w:tc>
          <w:tcPr>
            <w:tcW w:w="1134" w:type="dxa"/>
            <w:shd w:val="clear" w:color="auto" w:fill="FFFFFF" w:themeFill="background1"/>
            <w:vAlign w:val="center"/>
          </w:tcPr>
          <w:p w:rsidR="003A2ADB" w:rsidRDefault="003A2ADB">
            <w:pPr>
              <w:spacing w:before="20" w:after="20"/>
              <w:jc w:val="right"/>
              <w:rPr>
                <w:noProof/>
                <w:sz w:val="18"/>
                <w:szCs w:val="18"/>
                <w:highlight w:val="yellow"/>
              </w:rPr>
            </w:pPr>
          </w:p>
        </w:tc>
        <w:tc>
          <w:tcPr>
            <w:tcW w:w="1418" w:type="dxa"/>
            <w:shd w:val="clear" w:color="auto" w:fill="FFFFFF" w:themeFill="background1"/>
          </w:tcPr>
          <w:p w:rsidR="003A2ADB" w:rsidRDefault="003A2ADB">
            <w:pPr>
              <w:spacing w:before="20" w:after="20"/>
              <w:jc w:val="right"/>
              <w:rPr>
                <w:noProof/>
                <w:sz w:val="18"/>
                <w:szCs w:val="18"/>
                <w:highlight w:val="yellow"/>
              </w:rPr>
            </w:pPr>
          </w:p>
        </w:tc>
        <w:tc>
          <w:tcPr>
            <w:tcW w:w="1559" w:type="dxa"/>
            <w:shd w:val="clear" w:color="auto" w:fill="FFFFFF" w:themeFill="background1"/>
          </w:tcPr>
          <w:p w:rsidR="003A2ADB" w:rsidRDefault="003A2ADB">
            <w:pPr>
              <w:spacing w:before="20" w:after="20"/>
              <w:jc w:val="right"/>
              <w:rPr>
                <w:noProof/>
                <w:sz w:val="18"/>
                <w:szCs w:val="18"/>
                <w:highlight w:val="yellow"/>
              </w:rPr>
            </w:pPr>
          </w:p>
        </w:tc>
        <w:tc>
          <w:tcPr>
            <w:tcW w:w="2409" w:type="dxa"/>
            <w:shd w:val="clear" w:color="auto" w:fill="FFFFFF" w:themeFill="background1"/>
            <w:vAlign w:val="center"/>
          </w:tcPr>
          <w:p w:rsidR="003A2ADB" w:rsidRDefault="003A2ADB">
            <w:pPr>
              <w:spacing w:before="20" w:after="20"/>
              <w:jc w:val="right"/>
              <w:rPr>
                <w:noProof/>
                <w:sz w:val="18"/>
                <w:szCs w:val="18"/>
                <w:highlight w:val="yellow"/>
              </w:rPr>
            </w:pPr>
          </w:p>
        </w:tc>
      </w:tr>
      <w:tr w:rsidR="003A2ADB">
        <w:tc>
          <w:tcPr>
            <w:tcW w:w="3960" w:type="dxa"/>
            <w:vMerge/>
          </w:tcPr>
          <w:p w:rsidR="003A2ADB" w:rsidRDefault="003A2ADB">
            <w:pPr>
              <w:rPr>
                <w:noProof/>
                <w:sz w:val="20"/>
              </w:rPr>
            </w:pPr>
          </w:p>
        </w:tc>
        <w:tc>
          <w:tcPr>
            <w:tcW w:w="1440" w:type="dxa"/>
            <w:vAlign w:val="center"/>
          </w:tcPr>
          <w:p w:rsidR="003A2ADB" w:rsidRDefault="008A783E">
            <w:pPr>
              <w:rPr>
                <w:noProof/>
                <w:sz w:val="18"/>
              </w:rPr>
            </w:pPr>
            <w:r>
              <w:rPr>
                <w:noProof/>
                <w:sz w:val="18"/>
              </w:rPr>
              <w:t>Payments</w:t>
            </w:r>
          </w:p>
        </w:tc>
        <w:tc>
          <w:tcPr>
            <w:tcW w:w="654" w:type="dxa"/>
            <w:gridSpan w:val="2"/>
            <w:vAlign w:val="center"/>
          </w:tcPr>
          <w:p w:rsidR="003A2ADB" w:rsidRDefault="008A783E">
            <w:pPr>
              <w:jc w:val="center"/>
              <w:rPr>
                <w:noProof/>
                <w:sz w:val="14"/>
              </w:rPr>
            </w:pPr>
            <w:r>
              <w:rPr>
                <w:noProof/>
                <w:sz w:val="14"/>
              </w:rPr>
              <w:t>=2a+2b</w:t>
            </w:r>
          </w:p>
          <w:p w:rsidR="003A2ADB" w:rsidRDefault="008A783E">
            <w:pPr>
              <w:jc w:val="center"/>
              <w:rPr>
                <w:noProof/>
                <w:sz w:val="14"/>
              </w:rPr>
            </w:pPr>
            <w:r>
              <w:rPr>
                <w:noProof/>
                <w:sz w:val="14"/>
              </w:rPr>
              <w:t>+3</w:t>
            </w:r>
          </w:p>
        </w:tc>
        <w:tc>
          <w:tcPr>
            <w:tcW w:w="1252" w:type="dxa"/>
            <w:shd w:val="clear" w:color="auto" w:fill="FFFFFF" w:themeFill="background1"/>
            <w:vAlign w:val="center"/>
          </w:tcPr>
          <w:p w:rsidR="003A2ADB" w:rsidRDefault="003A2ADB">
            <w:pPr>
              <w:spacing w:before="20" w:after="20"/>
              <w:jc w:val="right"/>
              <w:rPr>
                <w:noProof/>
                <w:sz w:val="18"/>
                <w:szCs w:val="18"/>
                <w:highlight w:val="yellow"/>
              </w:rPr>
            </w:pPr>
          </w:p>
        </w:tc>
        <w:tc>
          <w:tcPr>
            <w:tcW w:w="1116" w:type="dxa"/>
            <w:shd w:val="clear" w:color="auto" w:fill="FFFFFF" w:themeFill="background1"/>
            <w:vAlign w:val="center"/>
          </w:tcPr>
          <w:p w:rsidR="003A2ADB" w:rsidRDefault="003A2ADB">
            <w:pPr>
              <w:spacing w:before="20" w:after="20"/>
              <w:jc w:val="right"/>
              <w:rPr>
                <w:noProof/>
                <w:sz w:val="18"/>
                <w:szCs w:val="18"/>
                <w:highlight w:val="yellow"/>
              </w:rPr>
            </w:pPr>
          </w:p>
        </w:tc>
        <w:tc>
          <w:tcPr>
            <w:tcW w:w="1010" w:type="dxa"/>
            <w:shd w:val="clear" w:color="auto" w:fill="FFFFFF" w:themeFill="background1"/>
            <w:vAlign w:val="center"/>
          </w:tcPr>
          <w:p w:rsidR="003A2ADB" w:rsidRDefault="003A2ADB">
            <w:pPr>
              <w:spacing w:before="20" w:after="20"/>
              <w:jc w:val="right"/>
              <w:rPr>
                <w:noProof/>
                <w:sz w:val="18"/>
                <w:szCs w:val="18"/>
                <w:highlight w:val="yellow"/>
              </w:rPr>
            </w:pPr>
          </w:p>
        </w:tc>
        <w:tc>
          <w:tcPr>
            <w:tcW w:w="1134" w:type="dxa"/>
            <w:shd w:val="clear" w:color="auto" w:fill="FFFFFF" w:themeFill="background1"/>
            <w:vAlign w:val="center"/>
          </w:tcPr>
          <w:p w:rsidR="003A2ADB" w:rsidRDefault="003A2ADB">
            <w:pPr>
              <w:spacing w:before="20" w:after="20"/>
              <w:jc w:val="right"/>
              <w:rPr>
                <w:noProof/>
                <w:sz w:val="18"/>
                <w:szCs w:val="18"/>
                <w:highlight w:val="yellow"/>
              </w:rPr>
            </w:pPr>
          </w:p>
        </w:tc>
        <w:tc>
          <w:tcPr>
            <w:tcW w:w="1418" w:type="dxa"/>
            <w:shd w:val="clear" w:color="auto" w:fill="FFFFFF" w:themeFill="background1"/>
          </w:tcPr>
          <w:p w:rsidR="003A2ADB" w:rsidRDefault="003A2ADB">
            <w:pPr>
              <w:spacing w:before="20" w:after="20"/>
              <w:jc w:val="right"/>
              <w:rPr>
                <w:noProof/>
                <w:sz w:val="18"/>
                <w:szCs w:val="18"/>
                <w:highlight w:val="yellow"/>
              </w:rPr>
            </w:pPr>
          </w:p>
        </w:tc>
        <w:tc>
          <w:tcPr>
            <w:tcW w:w="1559" w:type="dxa"/>
            <w:shd w:val="clear" w:color="auto" w:fill="FFFFFF" w:themeFill="background1"/>
          </w:tcPr>
          <w:p w:rsidR="003A2ADB" w:rsidRDefault="003A2ADB">
            <w:pPr>
              <w:spacing w:before="20" w:after="20"/>
              <w:jc w:val="right"/>
              <w:rPr>
                <w:noProof/>
                <w:sz w:val="18"/>
                <w:szCs w:val="18"/>
                <w:highlight w:val="yellow"/>
              </w:rPr>
            </w:pPr>
          </w:p>
        </w:tc>
        <w:tc>
          <w:tcPr>
            <w:tcW w:w="2409" w:type="dxa"/>
            <w:shd w:val="clear" w:color="auto" w:fill="FFFFFF" w:themeFill="background1"/>
            <w:vAlign w:val="center"/>
          </w:tcPr>
          <w:p w:rsidR="003A2ADB" w:rsidRDefault="003A2ADB">
            <w:pPr>
              <w:spacing w:before="20" w:after="20"/>
              <w:jc w:val="right"/>
              <w:rPr>
                <w:noProof/>
                <w:sz w:val="18"/>
                <w:szCs w:val="18"/>
                <w:highlight w:val="yellow"/>
              </w:rPr>
            </w:pPr>
          </w:p>
        </w:tc>
      </w:tr>
    </w:tbl>
    <w:p w:rsidR="003A2ADB" w:rsidRDefault="008A783E">
      <w:pPr>
        <w:rPr>
          <w:noProof/>
        </w:rPr>
      </w:pPr>
      <w:r>
        <w:rPr>
          <w:noProof/>
        </w:rPr>
        <w:br/>
      </w: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1440"/>
        <w:gridCol w:w="654"/>
        <w:gridCol w:w="1252"/>
        <w:gridCol w:w="1116"/>
        <w:gridCol w:w="1152"/>
        <w:gridCol w:w="1134"/>
        <w:gridCol w:w="1134"/>
        <w:gridCol w:w="1134"/>
        <w:gridCol w:w="2268"/>
      </w:tblGrid>
      <w:tr w:rsidR="003A2ADB">
        <w:trPr>
          <w:trHeight w:val="277"/>
        </w:trPr>
        <w:tc>
          <w:tcPr>
            <w:tcW w:w="4593" w:type="dxa"/>
            <w:vMerge w:val="restart"/>
            <w:vAlign w:val="center"/>
          </w:tcPr>
          <w:p w:rsidR="003A2ADB" w:rsidRDefault="008A783E">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rsidR="003A2ADB" w:rsidRDefault="008A783E">
            <w:pPr>
              <w:spacing w:beforeLines="20" w:before="48" w:afterLines="20" w:after="48"/>
              <w:rPr>
                <w:noProof/>
                <w:sz w:val="18"/>
              </w:rPr>
            </w:pPr>
            <w:r>
              <w:rPr>
                <w:noProof/>
                <w:sz w:val="18"/>
              </w:rPr>
              <w:t>Commitments</w:t>
            </w:r>
          </w:p>
        </w:tc>
        <w:tc>
          <w:tcPr>
            <w:tcW w:w="654" w:type="dxa"/>
            <w:vAlign w:val="center"/>
          </w:tcPr>
          <w:p w:rsidR="003A2ADB" w:rsidRDefault="008A783E">
            <w:pPr>
              <w:spacing w:beforeLines="20" w:before="48" w:afterLines="20" w:after="48"/>
              <w:jc w:val="center"/>
              <w:rPr>
                <w:noProof/>
                <w:sz w:val="14"/>
              </w:rPr>
            </w:pPr>
            <w:r>
              <w:rPr>
                <w:noProof/>
                <w:sz w:val="14"/>
              </w:rPr>
              <w:t>(4)</w:t>
            </w:r>
          </w:p>
        </w:tc>
        <w:tc>
          <w:tcPr>
            <w:tcW w:w="1252" w:type="dxa"/>
            <w:shd w:val="clear" w:color="auto" w:fill="FFFFFF" w:themeFill="background1"/>
            <w:vAlign w:val="center"/>
          </w:tcPr>
          <w:p w:rsidR="003A2ADB" w:rsidRDefault="003A2ADB">
            <w:pPr>
              <w:spacing w:before="20" w:after="20"/>
              <w:rPr>
                <w:noProof/>
                <w:sz w:val="18"/>
                <w:szCs w:val="18"/>
              </w:rPr>
            </w:pPr>
          </w:p>
        </w:tc>
        <w:tc>
          <w:tcPr>
            <w:tcW w:w="1116" w:type="dxa"/>
            <w:shd w:val="clear" w:color="auto" w:fill="FFFFFF" w:themeFill="background1"/>
            <w:vAlign w:val="center"/>
          </w:tcPr>
          <w:p w:rsidR="003A2ADB" w:rsidRDefault="003A2ADB">
            <w:pPr>
              <w:spacing w:before="20" w:after="20"/>
              <w:jc w:val="right"/>
              <w:rPr>
                <w:noProof/>
                <w:sz w:val="18"/>
                <w:szCs w:val="18"/>
              </w:rPr>
            </w:pPr>
          </w:p>
        </w:tc>
        <w:tc>
          <w:tcPr>
            <w:tcW w:w="1152" w:type="dxa"/>
            <w:shd w:val="clear" w:color="auto" w:fill="FFFFFF" w:themeFill="background1"/>
            <w:vAlign w:val="center"/>
          </w:tcPr>
          <w:p w:rsidR="003A2ADB" w:rsidRDefault="003A2ADB">
            <w:pPr>
              <w:spacing w:before="20" w:after="20"/>
              <w:jc w:val="right"/>
              <w:rPr>
                <w:noProof/>
                <w:sz w:val="20"/>
              </w:rPr>
            </w:pPr>
          </w:p>
        </w:tc>
        <w:tc>
          <w:tcPr>
            <w:tcW w:w="1134" w:type="dxa"/>
            <w:shd w:val="clear" w:color="auto" w:fill="FFFFFF" w:themeFill="background1"/>
            <w:vAlign w:val="center"/>
          </w:tcPr>
          <w:p w:rsidR="003A2ADB" w:rsidRDefault="003A2ADB">
            <w:pPr>
              <w:spacing w:before="20" w:after="20"/>
              <w:jc w:val="right"/>
              <w:rPr>
                <w:noProof/>
                <w:sz w:val="20"/>
              </w:rPr>
            </w:pPr>
          </w:p>
        </w:tc>
        <w:tc>
          <w:tcPr>
            <w:tcW w:w="1134" w:type="dxa"/>
            <w:shd w:val="clear" w:color="auto" w:fill="FFFFFF" w:themeFill="background1"/>
            <w:vAlign w:val="center"/>
          </w:tcPr>
          <w:p w:rsidR="003A2ADB" w:rsidRDefault="003A2ADB">
            <w:pPr>
              <w:spacing w:before="20" w:after="20"/>
              <w:jc w:val="right"/>
              <w:rPr>
                <w:noProof/>
                <w:sz w:val="20"/>
              </w:rPr>
            </w:pPr>
          </w:p>
        </w:tc>
        <w:tc>
          <w:tcPr>
            <w:tcW w:w="1134" w:type="dxa"/>
            <w:shd w:val="clear" w:color="auto" w:fill="FFFFFF" w:themeFill="background1"/>
            <w:vAlign w:val="center"/>
          </w:tcPr>
          <w:p w:rsidR="003A2ADB" w:rsidRDefault="003A2ADB">
            <w:pPr>
              <w:spacing w:before="20" w:after="20"/>
              <w:jc w:val="right"/>
              <w:rPr>
                <w:noProof/>
                <w:sz w:val="20"/>
              </w:rPr>
            </w:pPr>
          </w:p>
        </w:tc>
        <w:tc>
          <w:tcPr>
            <w:tcW w:w="2268" w:type="dxa"/>
            <w:shd w:val="clear" w:color="auto" w:fill="FFFFFF" w:themeFill="background1"/>
            <w:vAlign w:val="center"/>
          </w:tcPr>
          <w:p w:rsidR="003A2ADB" w:rsidRDefault="003A2ADB">
            <w:pPr>
              <w:spacing w:before="20" w:after="20"/>
              <w:jc w:val="right"/>
              <w:rPr>
                <w:noProof/>
                <w:sz w:val="18"/>
                <w:szCs w:val="18"/>
              </w:rPr>
            </w:pPr>
          </w:p>
        </w:tc>
      </w:tr>
      <w:tr w:rsidR="003A2ADB">
        <w:tc>
          <w:tcPr>
            <w:tcW w:w="4593" w:type="dxa"/>
            <w:vMerge/>
          </w:tcPr>
          <w:p w:rsidR="003A2ADB" w:rsidRDefault="003A2ADB">
            <w:pPr>
              <w:jc w:val="center"/>
              <w:rPr>
                <w:noProof/>
                <w:sz w:val="20"/>
              </w:rPr>
            </w:pPr>
          </w:p>
        </w:tc>
        <w:tc>
          <w:tcPr>
            <w:tcW w:w="1440" w:type="dxa"/>
            <w:vAlign w:val="center"/>
          </w:tcPr>
          <w:p w:rsidR="003A2ADB" w:rsidRDefault="008A783E">
            <w:pPr>
              <w:spacing w:beforeLines="20" w:before="48" w:afterLines="20" w:after="48"/>
              <w:rPr>
                <w:noProof/>
                <w:sz w:val="18"/>
              </w:rPr>
            </w:pPr>
            <w:r>
              <w:rPr>
                <w:noProof/>
                <w:sz w:val="18"/>
              </w:rPr>
              <w:t>Payments</w:t>
            </w:r>
          </w:p>
        </w:tc>
        <w:tc>
          <w:tcPr>
            <w:tcW w:w="654" w:type="dxa"/>
            <w:vAlign w:val="center"/>
          </w:tcPr>
          <w:p w:rsidR="003A2ADB" w:rsidRDefault="008A783E">
            <w:pPr>
              <w:spacing w:beforeLines="20" w:before="48" w:afterLines="20" w:after="48"/>
              <w:jc w:val="center"/>
              <w:rPr>
                <w:noProof/>
                <w:sz w:val="14"/>
              </w:rPr>
            </w:pPr>
            <w:r>
              <w:rPr>
                <w:noProof/>
                <w:sz w:val="14"/>
              </w:rPr>
              <w:t>(5)</w:t>
            </w:r>
          </w:p>
        </w:tc>
        <w:tc>
          <w:tcPr>
            <w:tcW w:w="1252" w:type="dxa"/>
            <w:shd w:val="clear" w:color="auto" w:fill="FFFFFF" w:themeFill="background1"/>
            <w:vAlign w:val="center"/>
          </w:tcPr>
          <w:p w:rsidR="003A2ADB" w:rsidRDefault="003A2ADB">
            <w:pPr>
              <w:spacing w:before="20" w:after="20"/>
              <w:jc w:val="center"/>
              <w:rPr>
                <w:noProof/>
                <w:sz w:val="18"/>
                <w:szCs w:val="18"/>
              </w:rPr>
            </w:pPr>
          </w:p>
        </w:tc>
        <w:tc>
          <w:tcPr>
            <w:tcW w:w="1116" w:type="dxa"/>
            <w:shd w:val="clear" w:color="auto" w:fill="FFFFFF" w:themeFill="background1"/>
            <w:vAlign w:val="center"/>
          </w:tcPr>
          <w:p w:rsidR="003A2ADB" w:rsidRDefault="003A2ADB">
            <w:pPr>
              <w:spacing w:before="20" w:after="20"/>
              <w:jc w:val="right"/>
              <w:rPr>
                <w:noProof/>
                <w:sz w:val="18"/>
                <w:szCs w:val="18"/>
              </w:rPr>
            </w:pPr>
          </w:p>
        </w:tc>
        <w:tc>
          <w:tcPr>
            <w:tcW w:w="1152" w:type="dxa"/>
            <w:shd w:val="clear" w:color="auto" w:fill="FFFFFF" w:themeFill="background1"/>
            <w:vAlign w:val="center"/>
          </w:tcPr>
          <w:p w:rsidR="003A2ADB" w:rsidRDefault="003A2ADB">
            <w:pPr>
              <w:spacing w:before="20" w:after="20"/>
              <w:jc w:val="right"/>
              <w:rPr>
                <w:noProof/>
                <w:sz w:val="20"/>
              </w:rPr>
            </w:pPr>
          </w:p>
        </w:tc>
        <w:tc>
          <w:tcPr>
            <w:tcW w:w="1134" w:type="dxa"/>
            <w:shd w:val="clear" w:color="auto" w:fill="FFFFFF" w:themeFill="background1"/>
            <w:vAlign w:val="center"/>
          </w:tcPr>
          <w:p w:rsidR="003A2ADB" w:rsidRDefault="003A2ADB">
            <w:pPr>
              <w:spacing w:before="20" w:after="20"/>
              <w:jc w:val="right"/>
              <w:rPr>
                <w:noProof/>
                <w:sz w:val="20"/>
              </w:rPr>
            </w:pPr>
          </w:p>
        </w:tc>
        <w:tc>
          <w:tcPr>
            <w:tcW w:w="1134" w:type="dxa"/>
            <w:shd w:val="clear" w:color="auto" w:fill="FFFFFF" w:themeFill="background1"/>
            <w:vAlign w:val="center"/>
          </w:tcPr>
          <w:p w:rsidR="003A2ADB" w:rsidRDefault="003A2ADB">
            <w:pPr>
              <w:spacing w:before="20" w:after="20"/>
              <w:jc w:val="right"/>
              <w:rPr>
                <w:noProof/>
                <w:sz w:val="20"/>
              </w:rPr>
            </w:pPr>
          </w:p>
        </w:tc>
        <w:tc>
          <w:tcPr>
            <w:tcW w:w="1134" w:type="dxa"/>
            <w:shd w:val="clear" w:color="auto" w:fill="FFFFFF" w:themeFill="background1"/>
            <w:vAlign w:val="center"/>
          </w:tcPr>
          <w:p w:rsidR="003A2ADB" w:rsidRDefault="003A2ADB">
            <w:pPr>
              <w:spacing w:before="20" w:after="20"/>
              <w:jc w:val="right"/>
              <w:rPr>
                <w:noProof/>
                <w:sz w:val="20"/>
              </w:rPr>
            </w:pPr>
          </w:p>
        </w:tc>
        <w:tc>
          <w:tcPr>
            <w:tcW w:w="2268" w:type="dxa"/>
            <w:shd w:val="clear" w:color="auto" w:fill="FFFFFF" w:themeFill="background1"/>
            <w:vAlign w:val="center"/>
          </w:tcPr>
          <w:p w:rsidR="003A2ADB" w:rsidRDefault="003A2ADB">
            <w:pPr>
              <w:spacing w:before="20" w:after="20"/>
              <w:jc w:val="right"/>
              <w:rPr>
                <w:noProof/>
                <w:sz w:val="18"/>
                <w:szCs w:val="18"/>
              </w:rPr>
            </w:pPr>
          </w:p>
        </w:tc>
      </w:tr>
      <w:tr w:rsidR="003A2ADB">
        <w:trPr>
          <w:trHeight w:val="533"/>
        </w:trPr>
        <w:tc>
          <w:tcPr>
            <w:tcW w:w="6033" w:type="dxa"/>
            <w:gridSpan w:val="2"/>
            <w:vAlign w:val="center"/>
          </w:tcPr>
          <w:p w:rsidR="003A2ADB" w:rsidRDefault="008A783E">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3A2ADB" w:rsidRDefault="008A783E">
            <w:pPr>
              <w:spacing w:beforeLines="20" w:before="48" w:afterLines="20" w:after="48"/>
              <w:jc w:val="center"/>
              <w:rPr>
                <w:noProof/>
                <w:sz w:val="14"/>
              </w:rPr>
            </w:pPr>
            <w:r>
              <w:rPr>
                <w:noProof/>
                <w:sz w:val="14"/>
              </w:rPr>
              <w:t>(6)</w:t>
            </w:r>
          </w:p>
        </w:tc>
        <w:tc>
          <w:tcPr>
            <w:tcW w:w="1252" w:type="dxa"/>
            <w:shd w:val="clear" w:color="auto" w:fill="FFFFFF" w:themeFill="background1"/>
            <w:vAlign w:val="center"/>
          </w:tcPr>
          <w:p w:rsidR="003A2ADB" w:rsidRDefault="003A2ADB">
            <w:pPr>
              <w:spacing w:before="20" w:after="20"/>
              <w:jc w:val="right"/>
              <w:rPr>
                <w:b/>
                <w:noProof/>
                <w:sz w:val="20"/>
              </w:rPr>
            </w:pPr>
          </w:p>
        </w:tc>
        <w:tc>
          <w:tcPr>
            <w:tcW w:w="1116" w:type="dxa"/>
            <w:shd w:val="clear" w:color="auto" w:fill="FFFFFF" w:themeFill="background1"/>
            <w:vAlign w:val="center"/>
          </w:tcPr>
          <w:p w:rsidR="003A2ADB" w:rsidRDefault="003A2ADB">
            <w:pPr>
              <w:spacing w:before="20" w:after="20"/>
              <w:jc w:val="right"/>
              <w:rPr>
                <w:b/>
                <w:noProof/>
                <w:sz w:val="20"/>
              </w:rPr>
            </w:pPr>
          </w:p>
        </w:tc>
        <w:tc>
          <w:tcPr>
            <w:tcW w:w="1152" w:type="dxa"/>
            <w:shd w:val="clear" w:color="auto" w:fill="FFFFFF" w:themeFill="background1"/>
            <w:vAlign w:val="center"/>
          </w:tcPr>
          <w:p w:rsidR="003A2ADB" w:rsidRDefault="003A2ADB">
            <w:pPr>
              <w:spacing w:before="20" w:after="20"/>
              <w:jc w:val="right"/>
              <w:rPr>
                <w:b/>
                <w:noProof/>
                <w:sz w:val="20"/>
              </w:rPr>
            </w:pPr>
          </w:p>
        </w:tc>
        <w:tc>
          <w:tcPr>
            <w:tcW w:w="1134" w:type="dxa"/>
            <w:shd w:val="clear" w:color="auto" w:fill="FFFFFF" w:themeFill="background1"/>
            <w:vAlign w:val="center"/>
          </w:tcPr>
          <w:p w:rsidR="003A2ADB" w:rsidRDefault="003A2ADB">
            <w:pPr>
              <w:spacing w:before="20" w:after="20"/>
              <w:jc w:val="right"/>
              <w:rPr>
                <w:b/>
                <w:noProof/>
                <w:sz w:val="20"/>
              </w:rPr>
            </w:pPr>
          </w:p>
        </w:tc>
        <w:tc>
          <w:tcPr>
            <w:tcW w:w="1134" w:type="dxa"/>
            <w:shd w:val="clear" w:color="auto" w:fill="FFFFFF" w:themeFill="background1"/>
            <w:vAlign w:val="center"/>
          </w:tcPr>
          <w:p w:rsidR="003A2ADB" w:rsidRDefault="003A2ADB">
            <w:pPr>
              <w:spacing w:before="20" w:after="20"/>
              <w:jc w:val="right"/>
              <w:rPr>
                <w:b/>
                <w:noProof/>
                <w:sz w:val="20"/>
              </w:rPr>
            </w:pPr>
          </w:p>
        </w:tc>
        <w:tc>
          <w:tcPr>
            <w:tcW w:w="1134" w:type="dxa"/>
            <w:shd w:val="clear" w:color="auto" w:fill="FFFFFF" w:themeFill="background1"/>
            <w:vAlign w:val="center"/>
          </w:tcPr>
          <w:p w:rsidR="003A2ADB" w:rsidRDefault="003A2ADB">
            <w:pPr>
              <w:spacing w:before="20" w:after="20"/>
              <w:jc w:val="right"/>
              <w:rPr>
                <w:b/>
                <w:noProof/>
                <w:sz w:val="20"/>
              </w:rPr>
            </w:pPr>
          </w:p>
        </w:tc>
        <w:tc>
          <w:tcPr>
            <w:tcW w:w="2268" w:type="dxa"/>
            <w:shd w:val="clear" w:color="auto" w:fill="FFFFFF" w:themeFill="background1"/>
            <w:vAlign w:val="center"/>
          </w:tcPr>
          <w:p w:rsidR="003A2ADB" w:rsidRDefault="003A2ADB">
            <w:pPr>
              <w:spacing w:before="20" w:after="20"/>
              <w:jc w:val="right"/>
              <w:rPr>
                <w:b/>
                <w:noProof/>
                <w:sz w:val="20"/>
              </w:rPr>
            </w:pPr>
          </w:p>
        </w:tc>
      </w:tr>
      <w:tr w:rsidR="003A2ADB">
        <w:tc>
          <w:tcPr>
            <w:tcW w:w="4593" w:type="dxa"/>
            <w:vMerge w:val="restart"/>
            <w:shd w:val="thinDiagStripe" w:color="C0C0C0" w:fill="auto"/>
            <w:vAlign w:val="center"/>
          </w:tcPr>
          <w:p w:rsidR="003A2ADB" w:rsidRDefault="008A783E">
            <w:pPr>
              <w:jc w:val="center"/>
              <w:rPr>
                <w:b/>
                <w:noProof/>
              </w:rPr>
            </w:pPr>
            <w:r>
              <w:rPr>
                <w:b/>
                <w:noProof/>
                <w:sz w:val="22"/>
              </w:rPr>
              <w:t xml:space="preserve">TOTAL appropriations </w:t>
            </w:r>
            <w:r>
              <w:rPr>
                <w:noProof/>
                <w:sz w:val="22"/>
              </w:rPr>
              <w:br/>
            </w:r>
            <w:r>
              <w:rPr>
                <w:b/>
                <w:noProof/>
                <w:sz w:val="22"/>
              </w:rPr>
              <w:t>under HEADING 9</w:t>
            </w:r>
            <w:r>
              <w:rPr>
                <w:noProof/>
                <w:sz w:val="22"/>
              </w:rPr>
              <w:br/>
              <w:t>of the multiannual financial framework</w:t>
            </w:r>
          </w:p>
        </w:tc>
        <w:tc>
          <w:tcPr>
            <w:tcW w:w="1440" w:type="dxa"/>
            <w:vAlign w:val="center"/>
          </w:tcPr>
          <w:p w:rsidR="003A2ADB" w:rsidRDefault="008A783E">
            <w:pPr>
              <w:rPr>
                <w:noProof/>
                <w:sz w:val="18"/>
              </w:rPr>
            </w:pPr>
            <w:r>
              <w:rPr>
                <w:noProof/>
                <w:sz w:val="18"/>
              </w:rPr>
              <w:t>Commitments</w:t>
            </w:r>
          </w:p>
        </w:tc>
        <w:tc>
          <w:tcPr>
            <w:tcW w:w="654" w:type="dxa"/>
            <w:vAlign w:val="center"/>
          </w:tcPr>
          <w:p w:rsidR="003A2ADB" w:rsidRDefault="008A783E">
            <w:pPr>
              <w:jc w:val="center"/>
              <w:rPr>
                <w:noProof/>
                <w:sz w:val="14"/>
              </w:rPr>
            </w:pPr>
            <w:r>
              <w:rPr>
                <w:noProof/>
                <w:sz w:val="14"/>
              </w:rPr>
              <w:t>=4+ 6</w:t>
            </w:r>
          </w:p>
        </w:tc>
        <w:tc>
          <w:tcPr>
            <w:tcW w:w="1252" w:type="dxa"/>
            <w:shd w:val="clear" w:color="auto" w:fill="FFFFFF" w:themeFill="background1"/>
            <w:vAlign w:val="center"/>
          </w:tcPr>
          <w:p w:rsidR="003A2ADB" w:rsidRDefault="008A783E">
            <w:pPr>
              <w:spacing w:before="20" w:after="20"/>
              <w:rPr>
                <w:noProof/>
                <w:sz w:val="18"/>
                <w:szCs w:val="18"/>
              </w:rPr>
            </w:pPr>
            <w:r>
              <w:rPr>
                <w:noProof/>
                <w:sz w:val="18"/>
                <w:szCs w:val="18"/>
              </w:rPr>
              <w:t xml:space="preserve">   </w:t>
            </w:r>
          </w:p>
        </w:tc>
        <w:tc>
          <w:tcPr>
            <w:tcW w:w="1116" w:type="dxa"/>
            <w:shd w:val="clear" w:color="auto" w:fill="FFFFFF" w:themeFill="background1"/>
            <w:vAlign w:val="center"/>
          </w:tcPr>
          <w:p w:rsidR="003A2ADB" w:rsidRDefault="003A2ADB">
            <w:pPr>
              <w:spacing w:before="20" w:after="20"/>
              <w:jc w:val="right"/>
              <w:rPr>
                <w:noProof/>
                <w:sz w:val="18"/>
                <w:szCs w:val="18"/>
              </w:rPr>
            </w:pPr>
          </w:p>
        </w:tc>
        <w:tc>
          <w:tcPr>
            <w:tcW w:w="1152" w:type="dxa"/>
            <w:shd w:val="clear" w:color="auto" w:fill="FFFFFF" w:themeFill="background1"/>
            <w:vAlign w:val="center"/>
          </w:tcPr>
          <w:p w:rsidR="003A2ADB" w:rsidRDefault="003A2ADB">
            <w:pPr>
              <w:spacing w:before="20" w:after="20"/>
              <w:jc w:val="right"/>
              <w:rPr>
                <w:noProof/>
                <w:sz w:val="18"/>
                <w:szCs w:val="18"/>
              </w:rPr>
            </w:pPr>
          </w:p>
        </w:tc>
        <w:tc>
          <w:tcPr>
            <w:tcW w:w="1134" w:type="dxa"/>
            <w:shd w:val="clear" w:color="auto" w:fill="FFFFFF" w:themeFill="background1"/>
            <w:vAlign w:val="center"/>
          </w:tcPr>
          <w:p w:rsidR="003A2ADB" w:rsidRDefault="003A2ADB">
            <w:pPr>
              <w:spacing w:before="20" w:after="20"/>
              <w:jc w:val="right"/>
              <w:rPr>
                <w:noProof/>
                <w:sz w:val="18"/>
                <w:szCs w:val="18"/>
              </w:rPr>
            </w:pPr>
          </w:p>
        </w:tc>
        <w:tc>
          <w:tcPr>
            <w:tcW w:w="1134" w:type="dxa"/>
            <w:shd w:val="clear" w:color="auto" w:fill="FFFFFF" w:themeFill="background1"/>
          </w:tcPr>
          <w:p w:rsidR="003A2ADB" w:rsidRDefault="003A2ADB">
            <w:pPr>
              <w:spacing w:before="20" w:after="20"/>
              <w:jc w:val="right"/>
              <w:rPr>
                <w:noProof/>
                <w:sz w:val="18"/>
                <w:szCs w:val="18"/>
              </w:rPr>
            </w:pPr>
          </w:p>
        </w:tc>
        <w:tc>
          <w:tcPr>
            <w:tcW w:w="1134" w:type="dxa"/>
            <w:shd w:val="clear" w:color="auto" w:fill="FFFFFF" w:themeFill="background1"/>
          </w:tcPr>
          <w:p w:rsidR="003A2ADB" w:rsidRDefault="003A2ADB">
            <w:pPr>
              <w:spacing w:before="20" w:after="20"/>
              <w:jc w:val="right"/>
              <w:rPr>
                <w:noProof/>
                <w:sz w:val="18"/>
                <w:szCs w:val="18"/>
              </w:rPr>
            </w:pPr>
          </w:p>
        </w:tc>
        <w:tc>
          <w:tcPr>
            <w:tcW w:w="2268" w:type="dxa"/>
            <w:shd w:val="clear" w:color="auto" w:fill="FFFFFF" w:themeFill="background1"/>
            <w:vAlign w:val="center"/>
          </w:tcPr>
          <w:p w:rsidR="003A2ADB" w:rsidRDefault="003A2ADB">
            <w:pPr>
              <w:spacing w:before="20" w:after="20"/>
              <w:jc w:val="right"/>
              <w:rPr>
                <w:noProof/>
                <w:sz w:val="18"/>
                <w:szCs w:val="18"/>
              </w:rPr>
            </w:pPr>
          </w:p>
        </w:tc>
      </w:tr>
      <w:tr w:rsidR="003A2ADB">
        <w:tc>
          <w:tcPr>
            <w:tcW w:w="4593" w:type="dxa"/>
            <w:vMerge/>
            <w:shd w:val="thinDiagStripe" w:color="C0C0C0" w:fill="auto"/>
          </w:tcPr>
          <w:p w:rsidR="003A2ADB" w:rsidRDefault="003A2ADB">
            <w:pPr>
              <w:rPr>
                <w:noProof/>
                <w:sz w:val="20"/>
              </w:rPr>
            </w:pPr>
          </w:p>
        </w:tc>
        <w:tc>
          <w:tcPr>
            <w:tcW w:w="1440" w:type="dxa"/>
            <w:vAlign w:val="center"/>
          </w:tcPr>
          <w:p w:rsidR="003A2ADB" w:rsidRDefault="008A783E">
            <w:pPr>
              <w:rPr>
                <w:noProof/>
                <w:sz w:val="18"/>
              </w:rPr>
            </w:pPr>
            <w:r>
              <w:rPr>
                <w:noProof/>
                <w:sz w:val="18"/>
              </w:rPr>
              <w:t>Payments</w:t>
            </w:r>
          </w:p>
        </w:tc>
        <w:tc>
          <w:tcPr>
            <w:tcW w:w="654" w:type="dxa"/>
            <w:vAlign w:val="center"/>
          </w:tcPr>
          <w:p w:rsidR="003A2ADB" w:rsidRDefault="008A783E">
            <w:pPr>
              <w:jc w:val="center"/>
              <w:rPr>
                <w:noProof/>
                <w:sz w:val="14"/>
              </w:rPr>
            </w:pPr>
            <w:r>
              <w:rPr>
                <w:noProof/>
                <w:sz w:val="14"/>
              </w:rPr>
              <w:t>=5+ 6</w:t>
            </w:r>
          </w:p>
        </w:tc>
        <w:tc>
          <w:tcPr>
            <w:tcW w:w="1252" w:type="dxa"/>
            <w:shd w:val="clear" w:color="auto" w:fill="FFFFFF" w:themeFill="background1"/>
            <w:vAlign w:val="center"/>
          </w:tcPr>
          <w:p w:rsidR="003A2ADB" w:rsidRDefault="003A2ADB">
            <w:pPr>
              <w:spacing w:before="20" w:after="20"/>
              <w:jc w:val="center"/>
              <w:rPr>
                <w:noProof/>
                <w:sz w:val="18"/>
                <w:szCs w:val="18"/>
              </w:rPr>
            </w:pPr>
          </w:p>
        </w:tc>
        <w:tc>
          <w:tcPr>
            <w:tcW w:w="1116" w:type="dxa"/>
            <w:shd w:val="clear" w:color="auto" w:fill="FFFFFF" w:themeFill="background1"/>
            <w:vAlign w:val="center"/>
          </w:tcPr>
          <w:p w:rsidR="003A2ADB" w:rsidRDefault="003A2ADB">
            <w:pPr>
              <w:spacing w:before="20" w:after="20"/>
              <w:jc w:val="right"/>
              <w:rPr>
                <w:noProof/>
                <w:sz w:val="18"/>
                <w:szCs w:val="18"/>
              </w:rPr>
            </w:pPr>
          </w:p>
        </w:tc>
        <w:tc>
          <w:tcPr>
            <w:tcW w:w="1152" w:type="dxa"/>
            <w:shd w:val="clear" w:color="auto" w:fill="FFFFFF" w:themeFill="background1"/>
            <w:vAlign w:val="center"/>
          </w:tcPr>
          <w:p w:rsidR="003A2ADB" w:rsidRDefault="003A2ADB">
            <w:pPr>
              <w:spacing w:before="20" w:after="20"/>
              <w:jc w:val="right"/>
              <w:rPr>
                <w:noProof/>
                <w:sz w:val="18"/>
                <w:szCs w:val="18"/>
              </w:rPr>
            </w:pPr>
          </w:p>
        </w:tc>
        <w:tc>
          <w:tcPr>
            <w:tcW w:w="1134" w:type="dxa"/>
            <w:shd w:val="clear" w:color="auto" w:fill="FFFFFF" w:themeFill="background1"/>
            <w:vAlign w:val="center"/>
          </w:tcPr>
          <w:p w:rsidR="003A2ADB" w:rsidRDefault="003A2ADB">
            <w:pPr>
              <w:spacing w:before="20" w:after="20"/>
              <w:jc w:val="right"/>
              <w:rPr>
                <w:noProof/>
                <w:sz w:val="18"/>
                <w:szCs w:val="18"/>
              </w:rPr>
            </w:pPr>
          </w:p>
        </w:tc>
        <w:tc>
          <w:tcPr>
            <w:tcW w:w="1134" w:type="dxa"/>
            <w:shd w:val="clear" w:color="auto" w:fill="FFFFFF" w:themeFill="background1"/>
          </w:tcPr>
          <w:p w:rsidR="003A2ADB" w:rsidRDefault="003A2ADB">
            <w:pPr>
              <w:spacing w:before="20" w:after="20"/>
              <w:jc w:val="right"/>
              <w:rPr>
                <w:noProof/>
                <w:sz w:val="18"/>
                <w:szCs w:val="18"/>
              </w:rPr>
            </w:pPr>
          </w:p>
        </w:tc>
        <w:tc>
          <w:tcPr>
            <w:tcW w:w="1134" w:type="dxa"/>
            <w:shd w:val="clear" w:color="auto" w:fill="FFFFFF" w:themeFill="background1"/>
          </w:tcPr>
          <w:p w:rsidR="003A2ADB" w:rsidRDefault="003A2ADB">
            <w:pPr>
              <w:spacing w:before="20" w:after="20"/>
              <w:jc w:val="right"/>
              <w:rPr>
                <w:noProof/>
                <w:sz w:val="18"/>
                <w:szCs w:val="18"/>
              </w:rPr>
            </w:pPr>
          </w:p>
        </w:tc>
        <w:tc>
          <w:tcPr>
            <w:tcW w:w="2268" w:type="dxa"/>
            <w:shd w:val="clear" w:color="auto" w:fill="FFFFFF" w:themeFill="background1"/>
            <w:vAlign w:val="center"/>
          </w:tcPr>
          <w:p w:rsidR="003A2ADB" w:rsidRDefault="003A2ADB">
            <w:pPr>
              <w:spacing w:before="20" w:after="20"/>
              <w:jc w:val="right"/>
              <w:rPr>
                <w:noProof/>
                <w:sz w:val="18"/>
                <w:szCs w:val="18"/>
              </w:rPr>
            </w:pPr>
          </w:p>
        </w:tc>
      </w:tr>
    </w:tbl>
    <w:p w:rsidR="003A2ADB" w:rsidRDefault="003A2ADB">
      <w:pPr>
        <w:spacing w:after="40"/>
        <w:rPr>
          <w:b/>
          <w:noProof/>
          <w:sz w:val="22"/>
          <w:u w:val="single"/>
        </w:rPr>
      </w:pPr>
    </w:p>
    <w:p w:rsidR="003A2ADB" w:rsidRDefault="008A783E">
      <w:pPr>
        <w:spacing w:after="40"/>
        <w:rPr>
          <w:b/>
          <w:noProof/>
          <w:sz w:val="22"/>
          <w:u w:val="single"/>
        </w:rPr>
      </w:pPr>
      <w:r>
        <w:rPr>
          <w:b/>
          <w:noProof/>
          <w:sz w:val="22"/>
          <w:u w:val="single"/>
        </w:rPr>
        <w:t xml:space="preserve">If more </w:t>
      </w:r>
      <w:r>
        <w:rPr>
          <w:b/>
          <w:noProof/>
          <w:sz w:val="22"/>
          <w:u w:val="single"/>
        </w:rPr>
        <w:t>than one operational heading is affected by the proposal / initiative, repeat the section above:</w:t>
      </w:r>
    </w:p>
    <w:p w:rsidR="003A2ADB" w:rsidRDefault="003A2ADB">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A2ADB">
        <w:trPr>
          <w:jc w:val="center"/>
        </w:trPr>
        <w:tc>
          <w:tcPr>
            <w:tcW w:w="4744" w:type="dxa"/>
            <w:shd w:val="thinDiagStripe" w:color="C0C0C0" w:fill="auto"/>
            <w:vAlign w:val="center"/>
          </w:tcPr>
          <w:p w:rsidR="003A2ADB" w:rsidRDefault="008A783E">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clear" w:color="auto" w:fill="FFFFFF" w:themeFill="background1"/>
            <w:vAlign w:val="center"/>
          </w:tcPr>
          <w:p w:rsidR="003A2ADB" w:rsidRDefault="003A2ADB">
            <w:pPr>
              <w:spacing w:before="60" w:after="60"/>
              <w:jc w:val="center"/>
              <w:rPr>
                <w:noProof/>
              </w:rPr>
            </w:pPr>
          </w:p>
        </w:tc>
        <w:tc>
          <w:tcPr>
            <w:tcW w:w="7817" w:type="dxa"/>
            <w:vAlign w:val="center"/>
          </w:tcPr>
          <w:p w:rsidR="003A2ADB" w:rsidRDefault="003A2ADB">
            <w:pPr>
              <w:spacing w:before="60" w:after="60"/>
              <w:rPr>
                <w:noProof/>
              </w:rPr>
            </w:pPr>
          </w:p>
        </w:tc>
      </w:tr>
    </w:tbl>
    <w:p w:rsidR="003A2ADB" w:rsidRDefault="008A783E">
      <w:pPr>
        <w:jc w:val="left"/>
        <w:rPr>
          <w:noProof/>
          <w:sz w:val="20"/>
        </w:rPr>
      </w:pPr>
      <w:r>
        <w:rPr>
          <w:noProof/>
        </w:rPr>
        <w:t xml:space="preserve">This section should be filled in using the 'budget data of an administrative nature' to be firstly introduced in the </w:t>
      </w:r>
      <w:hyperlink r:id="rId12" w:history="1">
        <w:r>
          <w:rPr>
            <w:rStyle w:val="Hyperlink"/>
            <w:noProof/>
          </w:rPr>
          <w:t>Annex</w:t>
        </w:r>
        <w:r>
          <w:rPr>
            <w:rStyle w:val="Hyperlink"/>
            <w:noProof/>
          </w:rPr>
          <w:t xml:space="preserve"> to the Legislative Financial Statement</w:t>
        </w:r>
      </w:hyperlink>
      <w:r>
        <w:rPr>
          <w:noProof/>
        </w:rPr>
        <w:t xml:space="preserve"> (Annex V to the internal rules), which is uploaded to DECIDE for interservice consultation purposes.</w:t>
      </w:r>
    </w:p>
    <w:p w:rsidR="003A2ADB" w:rsidRDefault="008A783E">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A2ADB">
        <w:tc>
          <w:tcPr>
            <w:tcW w:w="3960" w:type="dxa"/>
            <w:tcBorders>
              <w:top w:val="nil"/>
              <w:left w:val="nil"/>
              <w:right w:val="nil"/>
            </w:tcBorders>
            <w:vAlign w:val="center"/>
          </w:tcPr>
          <w:p w:rsidR="003A2ADB" w:rsidRDefault="003A2ADB">
            <w:pPr>
              <w:jc w:val="center"/>
              <w:rPr>
                <w:noProof/>
              </w:rPr>
            </w:pPr>
          </w:p>
        </w:tc>
        <w:tc>
          <w:tcPr>
            <w:tcW w:w="1560" w:type="dxa"/>
            <w:tcBorders>
              <w:top w:val="nil"/>
              <w:left w:val="nil"/>
              <w:right w:val="nil"/>
            </w:tcBorders>
          </w:tcPr>
          <w:p w:rsidR="003A2ADB" w:rsidRDefault="003A2ADB">
            <w:pPr>
              <w:rPr>
                <w:noProof/>
                <w:sz w:val="20"/>
              </w:rPr>
            </w:pPr>
          </w:p>
        </w:tc>
        <w:tc>
          <w:tcPr>
            <w:tcW w:w="534" w:type="dxa"/>
            <w:tcBorders>
              <w:top w:val="nil"/>
              <w:left w:val="nil"/>
            </w:tcBorders>
          </w:tcPr>
          <w:p w:rsidR="003A2ADB" w:rsidRDefault="003A2ADB">
            <w:pPr>
              <w:jc w:val="center"/>
              <w:rPr>
                <w:noProof/>
                <w:sz w:val="20"/>
              </w:rPr>
            </w:pPr>
          </w:p>
        </w:tc>
        <w:tc>
          <w:tcPr>
            <w:tcW w:w="868" w:type="dxa"/>
            <w:vAlign w:val="center"/>
          </w:tcPr>
          <w:p w:rsidR="003A2ADB" w:rsidRDefault="008A783E">
            <w:pPr>
              <w:jc w:val="center"/>
              <w:rPr>
                <w:noProof/>
                <w:sz w:val="20"/>
              </w:rPr>
            </w:pPr>
            <w:r>
              <w:rPr>
                <w:noProof/>
                <w:sz w:val="20"/>
              </w:rPr>
              <w:t>Year</w:t>
            </w:r>
            <w:r>
              <w:rPr>
                <w:noProof/>
                <w:sz w:val="22"/>
              </w:rPr>
              <w:br/>
            </w:r>
            <w:r>
              <w:rPr>
                <w:b/>
                <w:noProof/>
                <w:sz w:val="20"/>
              </w:rPr>
              <w:t>N</w:t>
            </w:r>
          </w:p>
        </w:tc>
        <w:tc>
          <w:tcPr>
            <w:tcW w:w="868" w:type="dxa"/>
            <w:vAlign w:val="center"/>
          </w:tcPr>
          <w:p w:rsidR="003A2ADB" w:rsidRDefault="008A783E">
            <w:pPr>
              <w:jc w:val="center"/>
              <w:rPr>
                <w:noProof/>
                <w:sz w:val="20"/>
              </w:rPr>
            </w:pPr>
            <w:r>
              <w:rPr>
                <w:noProof/>
                <w:sz w:val="20"/>
              </w:rPr>
              <w:t>Year</w:t>
            </w:r>
            <w:r>
              <w:rPr>
                <w:noProof/>
                <w:sz w:val="22"/>
              </w:rPr>
              <w:br/>
            </w:r>
            <w:r>
              <w:rPr>
                <w:b/>
                <w:noProof/>
                <w:sz w:val="20"/>
              </w:rPr>
              <w:t>N+1</w:t>
            </w:r>
          </w:p>
        </w:tc>
        <w:tc>
          <w:tcPr>
            <w:tcW w:w="868" w:type="dxa"/>
            <w:vAlign w:val="center"/>
          </w:tcPr>
          <w:p w:rsidR="003A2ADB" w:rsidRDefault="008A783E">
            <w:pPr>
              <w:jc w:val="center"/>
              <w:rPr>
                <w:noProof/>
                <w:sz w:val="20"/>
              </w:rPr>
            </w:pPr>
            <w:r>
              <w:rPr>
                <w:noProof/>
                <w:sz w:val="20"/>
              </w:rPr>
              <w:t>Year</w:t>
            </w:r>
            <w:r>
              <w:rPr>
                <w:noProof/>
                <w:sz w:val="22"/>
              </w:rPr>
              <w:br/>
            </w:r>
            <w:r>
              <w:rPr>
                <w:b/>
                <w:noProof/>
                <w:sz w:val="20"/>
              </w:rPr>
              <w:t>N+2</w:t>
            </w:r>
          </w:p>
        </w:tc>
        <w:tc>
          <w:tcPr>
            <w:tcW w:w="868" w:type="dxa"/>
            <w:vAlign w:val="center"/>
          </w:tcPr>
          <w:p w:rsidR="003A2ADB" w:rsidRDefault="008A783E">
            <w:pPr>
              <w:jc w:val="center"/>
              <w:rPr>
                <w:noProof/>
                <w:sz w:val="20"/>
              </w:rPr>
            </w:pPr>
            <w:r>
              <w:rPr>
                <w:noProof/>
                <w:sz w:val="20"/>
              </w:rPr>
              <w:t>Year</w:t>
            </w:r>
            <w:r>
              <w:rPr>
                <w:noProof/>
                <w:sz w:val="22"/>
              </w:rPr>
              <w:br/>
            </w:r>
            <w:r>
              <w:rPr>
                <w:b/>
                <w:noProof/>
                <w:sz w:val="20"/>
              </w:rPr>
              <w:t>N+3</w:t>
            </w:r>
          </w:p>
        </w:tc>
        <w:tc>
          <w:tcPr>
            <w:tcW w:w="2604" w:type="dxa"/>
            <w:gridSpan w:val="3"/>
            <w:vAlign w:val="center"/>
          </w:tcPr>
          <w:p w:rsidR="003A2ADB" w:rsidRDefault="008A783E">
            <w:pPr>
              <w:jc w:val="center"/>
              <w:rPr>
                <w:b/>
                <w:noProof/>
                <w:sz w:val="18"/>
              </w:rPr>
            </w:pPr>
            <w:r>
              <w:rPr>
                <w:noProof/>
                <w:sz w:val="18"/>
              </w:rPr>
              <w:t xml:space="preserve">Enter as many years as necessary to show the duration of the impact (see point 1.6) </w:t>
            </w:r>
          </w:p>
        </w:tc>
        <w:tc>
          <w:tcPr>
            <w:tcW w:w="1777" w:type="dxa"/>
            <w:vAlign w:val="center"/>
          </w:tcPr>
          <w:p w:rsidR="003A2ADB" w:rsidRDefault="008A783E">
            <w:pPr>
              <w:jc w:val="center"/>
              <w:rPr>
                <w:b/>
                <w:noProof/>
                <w:sz w:val="20"/>
              </w:rPr>
            </w:pPr>
            <w:r>
              <w:rPr>
                <w:b/>
                <w:noProof/>
                <w:sz w:val="20"/>
              </w:rPr>
              <w:t>TOTAL</w:t>
            </w:r>
          </w:p>
        </w:tc>
      </w:tr>
      <w:tr w:rsidR="003A2ADB">
        <w:trPr>
          <w:gridAfter w:val="10"/>
          <w:wAfter w:w="9947" w:type="dxa"/>
        </w:trPr>
        <w:tc>
          <w:tcPr>
            <w:tcW w:w="3960" w:type="dxa"/>
            <w:vAlign w:val="center"/>
          </w:tcPr>
          <w:p w:rsidR="003A2ADB" w:rsidRDefault="008A783E">
            <w:pPr>
              <w:spacing w:before="60" w:after="60"/>
              <w:jc w:val="center"/>
              <w:rPr>
                <w:noProof/>
              </w:rPr>
            </w:pPr>
            <w:r>
              <w:rPr>
                <w:noProof/>
                <w:sz w:val="22"/>
              </w:rPr>
              <w:t>DG: &lt;…….&gt;</w:t>
            </w:r>
          </w:p>
        </w:tc>
      </w:tr>
      <w:tr w:rsidR="003A2ADB">
        <w:trPr>
          <w:trHeight w:val="313"/>
        </w:trPr>
        <w:tc>
          <w:tcPr>
            <w:tcW w:w="6054" w:type="dxa"/>
            <w:gridSpan w:val="3"/>
            <w:vAlign w:val="center"/>
          </w:tcPr>
          <w:p w:rsidR="003A2ADB" w:rsidRDefault="008A783E">
            <w:pPr>
              <w:spacing w:before="20" w:after="20"/>
              <w:rPr>
                <w:noProof/>
              </w:rPr>
            </w:pPr>
            <w:r>
              <w:rPr>
                <w:noProof/>
                <w:sz w:val="22"/>
              </w:rPr>
              <w:sym w:font="Wingdings" w:char="F09F"/>
            </w:r>
            <w:r>
              <w:rPr>
                <w:noProof/>
                <w:sz w:val="22"/>
              </w:rPr>
              <w:t xml:space="preserve"> Human resources </w:t>
            </w: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b/>
                <w:noProof/>
                <w:sz w:val="20"/>
              </w:rPr>
            </w:pPr>
          </w:p>
        </w:tc>
        <w:tc>
          <w:tcPr>
            <w:tcW w:w="1777" w:type="dxa"/>
            <w:vAlign w:val="center"/>
          </w:tcPr>
          <w:p w:rsidR="003A2ADB" w:rsidRDefault="003A2ADB">
            <w:pPr>
              <w:spacing w:before="20" w:after="20"/>
              <w:jc w:val="right"/>
              <w:rPr>
                <w:b/>
                <w:noProof/>
                <w:sz w:val="20"/>
              </w:rPr>
            </w:pPr>
          </w:p>
        </w:tc>
      </w:tr>
      <w:tr w:rsidR="003A2ADB">
        <w:trPr>
          <w:trHeight w:val="351"/>
        </w:trPr>
        <w:tc>
          <w:tcPr>
            <w:tcW w:w="6054" w:type="dxa"/>
            <w:gridSpan w:val="3"/>
            <w:vAlign w:val="center"/>
          </w:tcPr>
          <w:p w:rsidR="003A2ADB" w:rsidRDefault="008A783E">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3A2ADB" w:rsidRDefault="003A2ADB">
            <w:pPr>
              <w:spacing w:before="20" w:after="20"/>
              <w:jc w:val="right"/>
              <w:rPr>
                <w:b/>
                <w:noProof/>
                <w:sz w:val="20"/>
              </w:rPr>
            </w:pPr>
          </w:p>
        </w:tc>
        <w:tc>
          <w:tcPr>
            <w:tcW w:w="868" w:type="dxa"/>
            <w:vAlign w:val="center"/>
          </w:tcPr>
          <w:p w:rsidR="003A2ADB" w:rsidRDefault="003A2ADB">
            <w:pPr>
              <w:spacing w:before="20" w:after="20"/>
              <w:jc w:val="right"/>
              <w:rPr>
                <w:b/>
                <w:noProof/>
                <w:sz w:val="20"/>
              </w:rPr>
            </w:pPr>
          </w:p>
        </w:tc>
        <w:tc>
          <w:tcPr>
            <w:tcW w:w="868" w:type="dxa"/>
            <w:vAlign w:val="center"/>
          </w:tcPr>
          <w:p w:rsidR="003A2ADB" w:rsidRDefault="003A2ADB">
            <w:pPr>
              <w:spacing w:before="20" w:after="20"/>
              <w:jc w:val="right"/>
              <w:rPr>
                <w:b/>
                <w:noProof/>
                <w:sz w:val="20"/>
              </w:rPr>
            </w:pPr>
          </w:p>
        </w:tc>
        <w:tc>
          <w:tcPr>
            <w:tcW w:w="868" w:type="dxa"/>
            <w:vAlign w:val="center"/>
          </w:tcPr>
          <w:p w:rsidR="003A2ADB" w:rsidRDefault="003A2ADB">
            <w:pPr>
              <w:spacing w:before="20" w:after="20"/>
              <w:jc w:val="right"/>
              <w:rPr>
                <w:b/>
                <w:noProof/>
                <w:sz w:val="20"/>
              </w:rPr>
            </w:pPr>
          </w:p>
        </w:tc>
        <w:tc>
          <w:tcPr>
            <w:tcW w:w="868" w:type="dxa"/>
            <w:vAlign w:val="center"/>
          </w:tcPr>
          <w:p w:rsidR="003A2ADB" w:rsidRDefault="003A2ADB">
            <w:pPr>
              <w:spacing w:before="20" w:after="20"/>
              <w:jc w:val="right"/>
              <w:rPr>
                <w:b/>
                <w:noProof/>
                <w:sz w:val="20"/>
              </w:rPr>
            </w:pPr>
          </w:p>
        </w:tc>
        <w:tc>
          <w:tcPr>
            <w:tcW w:w="868" w:type="dxa"/>
            <w:vAlign w:val="center"/>
          </w:tcPr>
          <w:p w:rsidR="003A2ADB" w:rsidRDefault="003A2ADB">
            <w:pPr>
              <w:spacing w:before="20" w:after="20"/>
              <w:jc w:val="right"/>
              <w:rPr>
                <w:b/>
                <w:noProof/>
                <w:sz w:val="20"/>
              </w:rPr>
            </w:pPr>
          </w:p>
        </w:tc>
        <w:tc>
          <w:tcPr>
            <w:tcW w:w="868" w:type="dxa"/>
            <w:vAlign w:val="center"/>
          </w:tcPr>
          <w:p w:rsidR="003A2ADB" w:rsidRDefault="003A2ADB">
            <w:pPr>
              <w:spacing w:before="20" w:after="20"/>
              <w:jc w:val="right"/>
              <w:rPr>
                <w:b/>
                <w:noProof/>
                <w:sz w:val="20"/>
              </w:rPr>
            </w:pPr>
          </w:p>
        </w:tc>
        <w:tc>
          <w:tcPr>
            <w:tcW w:w="1777" w:type="dxa"/>
            <w:vAlign w:val="center"/>
          </w:tcPr>
          <w:p w:rsidR="003A2ADB" w:rsidRDefault="003A2ADB">
            <w:pPr>
              <w:spacing w:before="20" w:after="20"/>
              <w:jc w:val="right"/>
              <w:rPr>
                <w:b/>
                <w:noProof/>
                <w:sz w:val="20"/>
              </w:rPr>
            </w:pPr>
          </w:p>
        </w:tc>
      </w:tr>
      <w:tr w:rsidR="003A2ADB">
        <w:tc>
          <w:tcPr>
            <w:tcW w:w="3960" w:type="dxa"/>
            <w:vAlign w:val="center"/>
          </w:tcPr>
          <w:p w:rsidR="003A2ADB" w:rsidRDefault="008A783E">
            <w:pPr>
              <w:jc w:val="center"/>
              <w:rPr>
                <w:b/>
                <w:noProof/>
              </w:rPr>
            </w:pPr>
            <w:r>
              <w:rPr>
                <w:b/>
                <w:noProof/>
                <w:sz w:val="22"/>
              </w:rPr>
              <w:t xml:space="preserve">TOTAL DG </w:t>
            </w:r>
            <w:r>
              <w:rPr>
                <w:noProof/>
                <w:sz w:val="22"/>
              </w:rPr>
              <w:t>&lt;…….&gt;</w:t>
            </w:r>
          </w:p>
        </w:tc>
        <w:tc>
          <w:tcPr>
            <w:tcW w:w="2094" w:type="dxa"/>
            <w:gridSpan w:val="2"/>
            <w:vAlign w:val="center"/>
          </w:tcPr>
          <w:p w:rsidR="003A2ADB" w:rsidRDefault="008A783E">
            <w:pPr>
              <w:rPr>
                <w:noProof/>
                <w:sz w:val="14"/>
              </w:rPr>
            </w:pPr>
            <w:r>
              <w:rPr>
                <w:noProof/>
                <w:sz w:val="18"/>
              </w:rPr>
              <w:t xml:space="preserve">Appropriations </w:t>
            </w:r>
          </w:p>
        </w:tc>
        <w:tc>
          <w:tcPr>
            <w:tcW w:w="868" w:type="dxa"/>
            <w:vAlign w:val="center"/>
          </w:tcPr>
          <w:p w:rsidR="003A2ADB" w:rsidRDefault="003A2ADB">
            <w:pPr>
              <w:spacing w:before="60" w:after="60"/>
              <w:jc w:val="right"/>
              <w:rPr>
                <w:noProof/>
                <w:sz w:val="20"/>
              </w:rPr>
            </w:pP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b/>
                <w:noProof/>
                <w:sz w:val="20"/>
              </w:rPr>
            </w:pPr>
          </w:p>
        </w:tc>
        <w:tc>
          <w:tcPr>
            <w:tcW w:w="1777" w:type="dxa"/>
            <w:vAlign w:val="center"/>
          </w:tcPr>
          <w:p w:rsidR="003A2ADB" w:rsidRDefault="003A2ADB">
            <w:pPr>
              <w:spacing w:before="20" w:after="20"/>
              <w:jc w:val="right"/>
              <w:rPr>
                <w:b/>
                <w:noProof/>
                <w:sz w:val="20"/>
              </w:rPr>
            </w:pPr>
          </w:p>
        </w:tc>
      </w:tr>
    </w:tbl>
    <w:p w:rsidR="003A2ADB" w:rsidRDefault="003A2AD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3A2ADB">
        <w:tc>
          <w:tcPr>
            <w:tcW w:w="3960" w:type="dxa"/>
            <w:shd w:val="thinDiagStripe" w:color="C0C0C0" w:fill="auto"/>
            <w:vAlign w:val="center"/>
          </w:tcPr>
          <w:p w:rsidR="003A2ADB" w:rsidRDefault="008A783E">
            <w:pPr>
              <w:jc w:val="center"/>
              <w:rPr>
                <w:b/>
                <w:noProof/>
              </w:rPr>
            </w:pPr>
            <w:r>
              <w:rPr>
                <w:b/>
                <w:noProof/>
                <w:sz w:val="22"/>
              </w:rPr>
              <w:t>TOTAL appropriations</w:t>
            </w:r>
            <w:r>
              <w:rPr>
                <w:noProof/>
                <w:sz w:val="22"/>
              </w:rPr>
              <w:br/>
            </w:r>
            <w:r>
              <w:rPr>
                <w:b/>
                <w:noProof/>
                <w:sz w:val="22"/>
              </w:rPr>
              <w:t>under HEADING 5</w:t>
            </w:r>
            <w:r>
              <w:rPr>
                <w:noProof/>
                <w:sz w:val="22"/>
              </w:rPr>
              <w:br/>
              <w:t>of</w:t>
            </w:r>
            <w:r>
              <w:rPr>
                <w:noProof/>
                <w:sz w:val="22"/>
              </w:rPr>
              <w:t xml:space="preserve"> the multiannual financial framework</w:t>
            </w:r>
            <w:r>
              <w:rPr>
                <w:b/>
                <w:noProof/>
                <w:sz w:val="22"/>
              </w:rPr>
              <w:t xml:space="preserve"> </w:t>
            </w:r>
          </w:p>
        </w:tc>
        <w:tc>
          <w:tcPr>
            <w:tcW w:w="2094" w:type="dxa"/>
            <w:vAlign w:val="center"/>
          </w:tcPr>
          <w:p w:rsidR="003A2ADB" w:rsidRDefault="008A783E">
            <w:pPr>
              <w:spacing w:before="40" w:after="40"/>
              <w:rPr>
                <w:noProof/>
              </w:rPr>
            </w:pPr>
            <w:r>
              <w:rPr>
                <w:noProof/>
                <w:sz w:val="18"/>
              </w:rPr>
              <w:t>(Total commitments = Total payments)</w:t>
            </w: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noProof/>
                <w:sz w:val="20"/>
              </w:rPr>
            </w:pPr>
          </w:p>
        </w:tc>
        <w:tc>
          <w:tcPr>
            <w:tcW w:w="868" w:type="dxa"/>
            <w:vAlign w:val="center"/>
          </w:tcPr>
          <w:p w:rsidR="003A2ADB" w:rsidRDefault="003A2ADB">
            <w:pPr>
              <w:spacing w:before="20" w:after="20"/>
              <w:jc w:val="right"/>
              <w:rPr>
                <w:b/>
                <w:noProof/>
                <w:sz w:val="20"/>
              </w:rPr>
            </w:pPr>
          </w:p>
        </w:tc>
        <w:tc>
          <w:tcPr>
            <w:tcW w:w="1777" w:type="dxa"/>
            <w:vAlign w:val="center"/>
          </w:tcPr>
          <w:p w:rsidR="003A2ADB" w:rsidRDefault="003A2ADB">
            <w:pPr>
              <w:spacing w:before="20" w:after="20"/>
              <w:jc w:val="right"/>
              <w:rPr>
                <w:b/>
                <w:noProof/>
                <w:sz w:val="20"/>
              </w:rPr>
            </w:pPr>
          </w:p>
        </w:tc>
      </w:tr>
    </w:tbl>
    <w:p w:rsidR="003A2ADB" w:rsidRDefault="008A783E">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A2ADB">
        <w:tc>
          <w:tcPr>
            <w:tcW w:w="3960" w:type="dxa"/>
            <w:tcBorders>
              <w:top w:val="nil"/>
              <w:left w:val="nil"/>
              <w:right w:val="nil"/>
            </w:tcBorders>
            <w:vAlign w:val="center"/>
          </w:tcPr>
          <w:p w:rsidR="003A2ADB" w:rsidRDefault="003A2ADB">
            <w:pPr>
              <w:jc w:val="center"/>
              <w:rPr>
                <w:noProof/>
              </w:rPr>
            </w:pPr>
          </w:p>
        </w:tc>
        <w:tc>
          <w:tcPr>
            <w:tcW w:w="1560" w:type="dxa"/>
            <w:tcBorders>
              <w:top w:val="nil"/>
              <w:left w:val="nil"/>
              <w:right w:val="nil"/>
            </w:tcBorders>
          </w:tcPr>
          <w:p w:rsidR="003A2ADB" w:rsidRDefault="003A2ADB">
            <w:pPr>
              <w:rPr>
                <w:noProof/>
                <w:sz w:val="20"/>
              </w:rPr>
            </w:pPr>
          </w:p>
        </w:tc>
        <w:tc>
          <w:tcPr>
            <w:tcW w:w="534" w:type="dxa"/>
            <w:tcBorders>
              <w:top w:val="nil"/>
              <w:left w:val="nil"/>
            </w:tcBorders>
          </w:tcPr>
          <w:p w:rsidR="003A2ADB" w:rsidRDefault="003A2ADB">
            <w:pPr>
              <w:jc w:val="center"/>
              <w:rPr>
                <w:noProof/>
                <w:sz w:val="20"/>
              </w:rPr>
            </w:pPr>
          </w:p>
        </w:tc>
        <w:tc>
          <w:tcPr>
            <w:tcW w:w="868" w:type="dxa"/>
            <w:vAlign w:val="center"/>
          </w:tcPr>
          <w:p w:rsidR="003A2ADB" w:rsidRDefault="008A783E">
            <w:pPr>
              <w:jc w:val="center"/>
              <w:rPr>
                <w:noProof/>
                <w:sz w:val="20"/>
              </w:rPr>
            </w:pPr>
            <w:r>
              <w:rPr>
                <w:noProof/>
                <w:sz w:val="20"/>
              </w:rPr>
              <w:t>Year</w:t>
            </w:r>
            <w:r>
              <w:rPr>
                <w:noProof/>
                <w:sz w:val="22"/>
              </w:rPr>
              <w:br/>
            </w:r>
            <w:r>
              <w:rPr>
                <w:b/>
                <w:noProof/>
                <w:sz w:val="20"/>
              </w:rPr>
              <w:t>N</w:t>
            </w:r>
            <w:r>
              <w:rPr>
                <w:rStyle w:val="FootnoteReference"/>
                <w:b/>
                <w:noProof/>
                <w:sz w:val="20"/>
              </w:rPr>
              <w:footnoteReference w:id="19"/>
            </w:r>
          </w:p>
        </w:tc>
        <w:tc>
          <w:tcPr>
            <w:tcW w:w="868" w:type="dxa"/>
            <w:vAlign w:val="center"/>
          </w:tcPr>
          <w:p w:rsidR="003A2ADB" w:rsidRDefault="008A783E">
            <w:pPr>
              <w:jc w:val="center"/>
              <w:rPr>
                <w:noProof/>
                <w:sz w:val="20"/>
              </w:rPr>
            </w:pPr>
            <w:r>
              <w:rPr>
                <w:noProof/>
                <w:sz w:val="20"/>
              </w:rPr>
              <w:t>Year</w:t>
            </w:r>
            <w:r>
              <w:rPr>
                <w:noProof/>
                <w:sz w:val="22"/>
              </w:rPr>
              <w:br/>
            </w:r>
            <w:r>
              <w:rPr>
                <w:b/>
                <w:noProof/>
                <w:sz w:val="20"/>
              </w:rPr>
              <w:t>N+1</w:t>
            </w:r>
          </w:p>
        </w:tc>
        <w:tc>
          <w:tcPr>
            <w:tcW w:w="868" w:type="dxa"/>
            <w:vAlign w:val="center"/>
          </w:tcPr>
          <w:p w:rsidR="003A2ADB" w:rsidRDefault="008A783E">
            <w:pPr>
              <w:jc w:val="center"/>
              <w:rPr>
                <w:noProof/>
                <w:sz w:val="20"/>
              </w:rPr>
            </w:pPr>
            <w:r>
              <w:rPr>
                <w:noProof/>
                <w:sz w:val="20"/>
              </w:rPr>
              <w:t>Year</w:t>
            </w:r>
            <w:r>
              <w:rPr>
                <w:noProof/>
                <w:sz w:val="22"/>
              </w:rPr>
              <w:br/>
            </w:r>
            <w:r>
              <w:rPr>
                <w:b/>
                <w:noProof/>
                <w:sz w:val="20"/>
              </w:rPr>
              <w:t>N+2</w:t>
            </w:r>
          </w:p>
        </w:tc>
        <w:tc>
          <w:tcPr>
            <w:tcW w:w="868" w:type="dxa"/>
            <w:vAlign w:val="center"/>
          </w:tcPr>
          <w:p w:rsidR="003A2ADB" w:rsidRDefault="008A783E">
            <w:pPr>
              <w:jc w:val="center"/>
              <w:rPr>
                <w:noProof/>
                <w:sz w:val="20"/>
              </w:rPr>
            </w:pPr>
            <w:r>
              <w:rPr>
                <w:noProof/>
                <w:sz w:val="20"/>
              </w:rPr>
              <w:t>Year</w:t>
            </w:r>
            <w:r>
              <w:rPr>
                <w:noProof/>
                <w:sz w:val="22"/>
              </w:rPr>
              <w:br/>
            </w:r>
            <w:r>
              <w:rPr>
                <w:b/>
                <w:noProof/>
                <w:sz w:val="20"/>
              </w:rPr>
              <w:t>N+3</w:t>
            </w:r>
          </w:p>
        </w:tc>
        <w:tc>
          <w:tcPr>
            <w:tcW w:w="2604" w:type="dxa"/>
            <w:gridSpan w:val="3"/>
            <w:vAlign w:val="center"/>
          </w:tcPr>
          <w:p w:rsidR="003A2ADB" w:rsidRDefault="008A783E">
            <w:pPr>
              <w:jc w:val="center"/>
              <w:rPr>
                <w:b/>
                <w:noProof/>
                <w:sz w:val="18"/>
              </w:rPr>
            </w:pPr>
            <w:r>
              <w:rPr>
                <w:noProof/>
                <w:sz w:val="18"/>
              </w:rPr>
              <w:t>Enter as many years as necessary to show the duration of the impact (see point 1.6)</w:t>
            </w:r>
          </w:p>
        </w:tc>
        <w:tc>
          <w:tcPr>
            <w:tcW w:w="1777" w:type="dxa"/>
            <w:vAlign w:val="center"/>
          </w:tcPr>
          <w:p w:rsidR="003A2ADB" w:rsidRDefault="008A783E">
            <w:pPr>
              <w:jc w:val="center"/>
              <w:rPr>
                <w:b/>
                <w:noProof/>
                <w:sz w:val="20"/>
              </w:rPr>
            </w:pPr>
            <w:r>
              <w:rPr>
                <w:b/>
                <w:noProof/>
                <w:sz w:val="20"/>
              </w:rPr>
              <w:t>TOTAL</w:t>
            </w:r>
          </w:p>
        </w:tc>
      </w:tr>
      <w:tr w:rsidR="003A2ADB">
        <w:tc>
          <w:tcPr>
            <w:tcW w:w="3960" w:type="dxa"/>
            <w:vMerge w:val="restart"/>
            <w:shd w:val="clear" w:color="auto" w:fill="C0C0C0"/>
            <w:vAlign w:val="center"/>
          </w:tcPr>
          <w:p w:rsidR="003A2ADB" w:rsidRDefault="008A783E">
            <w:pPr>
              <w:jc w:val="center"/>
              <w:rPr>
                <w:b/>
                <w:noProof/>
                <w:sz w:val="22"/>
              </w:rPr>
            </w:pPr>
            <w:r>
              <w:rPr>
                <w:b/>
                <w:noProof/>
                <w:sz w:val="22"/>
              </w:rPr>
              <w:t xml:space="preserve">TOTAL appropriations </w:t>
            </w:r>
            <w:r>
              <w:rPr>
                <w:b/>
                <w:noProof/>
                <w:sz w:val="22"/>
              </w:rPr>
              <w:br/>
              <w:t>under HEADINGS 1 to 5</w:t>
            </w:r>
            <w:r>
              <w:rPr>
                <w:b/>
                <w:noProof/>
                <w:sz w:val="22"/>
              </w:rPr>
              <w:br/>
              <w:t xml:space="preserve">of the multiannual financial framework </w:t>
            </w:r>
          </w:p>
        </w:tc>
        <w:tc>
          <w:tcPr>
            <w:tcW w:w="2094" w:type="dxa"/>
            <w:gridSpan w:val="2"/>
            <w:vAlign w:val="center"/>
          </w:tcPr>
          <w:p w:rsidR="003A2ADB" w:rsidRDefault="008A783E">
            <w:pPr>
              <w:rPr>
                <w:noProof/>
                <w:sz w:val="14"/>
              </w:rPr>
            </w:pPr>
            <w:r>
              <w:rPr>
                <w:noProof/>
                <w:sz w:val="18"/>
              </w:rPr>
              <w:t>Commitments</w:t>
            </w:r>
          </w:p>
        </w:tc>
        <w:tc>
          <w:tcPr>
            <w:tcW w:w="868" w:type="dxa"/>
            <w:vAlign w:val="center"/>
          </w:tcPr>
          <w:p w:rsidR="003A2ADB" w:rsidRDefault="003A2ADB">
            <w:pPr>
              <w:spacing w:before="60" w:after="60"/>
              <w:jc w:val="right"/>
              <w:rPr>
                <w:noProof/>
                <w:sz w:val="20"/>
              </w:rPr>
            </w:pPr>
          </w:p>
        </w:tc>
        <w:tc>
          <w:tcPr>
            <w:tcW w:w="868" w:type="dxa"/>
            <w:vAlign w:val="center"/>
          </w:tcPr>
          <w:p w:rsidR="003A2ADB" w:rsidRDefault="003A2ADB">
            <w:pPr>
              <w:spacing w:before="60" w:after="60"/>
              <w:jc w:val="right"/>
              <w:rPr>
                <w:noProof/>
                <w:sz w:val="20"/>
              </w:rPr>
            </w:pPr>
          </w:p>
        </w:tc>
        <w:tc>
          <w:tcPr>
            <w:tcW w:w="868" w:type="dxa"/>
            <w:vAlign w:val="center"/>
          </w:tcPr>
          <w:p w:rsidR="003A2ADB" w:rsidRDefault="003A2ADB">
            <w:pPr>
              <w:spacing w:before="60" w:after="60"/>
              <w:jc w:val="right"/>
              <w:rPr>
                <w:noProof/>
                <w:sz w:val="20"/>
              </w:rPr>
            </w:pPr>
          </w:p>
        </w:tc>
        <w:tc>
          <w:tcPr>
            <w:tcW w:w="868" w:type="dxa"/>
            <w:vAlign w:val="center"/>
          </w:tcPr>
          <w:p w:rsidR="003A2ADB" w:rsidRDefault="003A2ADB">
            <w:pPr>
              <w:spacing w:before="60" w:after="60"/>
              <w:jc w:val="right"/>
              <w:rPr>
                <w:noProof/>
                <w:sz w:val="20"/>
              </w:rPr>
            </w:pPr>
          </w:p>
        </w:tc>
        <w:tc>
          <w:tcPr>
            <w:tcW w:w="868" w:type="dxa"/>
            <w:vAlign w:val="center"/>
          </w:tcPr>
          <w:p w:rsidR="003A2ADB" w:rsidRDefault="003A2ADB">
            <w:pPr>
              <w:spacing w:before="60" w:after="60"/>
              <w:jc w:val="right"/>
              <w:rPr>
                <w:noProof/>
                <w:sz w:val="20"/>
              </w:rPr>
            </w:pPr>
          </w:p>
        </w:tc>
        <w:tc>
          <w:tcPr>
            <w:tcW w:w="868" w:type="dxa"/>
            <w:vAlign w:val="center"/>
          </w:tcPr>
          <w:p w:rsidR="003A2ADB" w:rsidRDefault="003A2ADB">
            <w:pPr>
              <w:spacing w:before="60" w:after="60"/>
              <w:jc w:val="right"/>
              <w:rPr>
                <w:noProof/>
                <w:sz w:val="20"/>
              </w:rPr>
            </w:pPr>
          </w:p>
        </w:tc>
        <w:tc>
          <w:tcPr>
            <w:tcW w:w="868" w:type="dxa"/>
            <w:vAlign w:val="center"/>
          </w:tcPr>
          <w:p w:rsidR="003A2ADB" w:rsidRDefault="003A2ADB">
            <w:pPr>
              <w:spacing w:before="60" w:after="60"/>
              <w:jc w:val="right"/>
              <w:rPr>
                <w:b/>
                <w:noProof/>
                <w:sz w:val="20"/>
              </w:rPr>
            </w:pPr>
          </w:p>
        </w:tc>
        <w:tc>
          <w:tcPr>
            <w:tcW w:w="1777" w:type="dxa"/>
            <w:vAlign w:val="center"/>
          </w:tcPr>
          <w:p w:rsidR="003A2ADB" w:rsidRDefault="003A2ADB">
            <w:pPr>
              <w:spacing w:before="60" w:after="60"/>
              <w:jc w:val="right"/>
              <w:rPr>
                <w:b/>
                <w:noProof/>
                <w:sz w:val="20"/>
              </w:rPr>
            </w:pPr>
          </w:p>
        </w:tc>
      </w:tr>
      <w:tr w:rsidR="003A2ADB">
        <w:tc>
          <w:tcPr>
            <w:tcW w:w="3960" w:type="dxa"/>
            <w:vMerge/>
            <w:shd w:val="clear" w:color="auto" w:fill="C0C0C0"/>
          </w:tcPr>
          <w:p w:rsidR="003A2ADB" w:rsidRDefault="003A2ADB">
            <w:pPr>
              <w:rPr>
                <w:noProof/>
                <w:sz w:val="20"/>
              </w:rPr>
            </w:pPr>
          </w:p>
        </w:tc>
        <w:tc>
          <w:tcPr>
            <w:tcW w:w="2094" w:type="dxa"/>
            <w:gridSpan w:val="2"/>
            <w:vAlign w:val="center"/>
          </w:tcPr>
          <w:p w:rsidR="003A2ADB" w:rsidRDefault="008A783E">
            <w:pPr>
              <w:rPr>
                <w:noProof/>
                <w:sz w:val="14"/>
              </w:rPr>
            </w:pPr>
            <w:r>
              <w:rPr>
                <w:noProof/>
                <w:sz w:val="18"/>
              </w:rPr>
              <w:t>Payments</w:t>
            </w:r>
          </w:p>
        </w:tc>
        <w:tc>
          <w:tcPr>
            <w:tcW w:w="868" w:type="dxa"/>
            <w:vAlign w:val="center"/>
          </w:tcPr>
          <w:p w:rsidR="003A2ADB" w:rsidRDefault="003A2ADB">
            <w:pPr>
              <w:spacing w:before="60" w:after="60"/>
              <w:jc w:val="right"/>
              <w:rPr>
                <w:noProof/>
                <w:sz w:val="20"/>
              </w:rPr>
            </w:pPr>
          </w:p>
        </w:tc>
        <w:tc>
          <w:tcPr>
            <w:tcW w:w="868" w:type="dxa"/>
            <w:vAlign w:val="center"/>
          </w:tcPr>
          <w:p w:rsidR="003A2ADB" w:rsidRDefault="003A2ADB">
            <w:pPr>
              <w:spacing w:before="60" w:after="60"/>
              <w:jc w:val="right"/>
              <w:rPr>
                <w:noProof/>
                <w:sz w:val="20"/>
              </w:rPr>
            </w:pPr>
          </w:p>
        </w:tc>
        <w:tc>
          <w:tcPr>
            <w:tcW w:w="868" w:type="dxa"/>
            <w:vAlign w:val="center"/>
          </w:tcPr>
          <w:p w:rsidR="003A2ADB" w:rsidRDefault="003A2ADB">
            <w:pPr>
              <w:spacing w:before="60" w:after="60"/>
              <w:jc w:val="right"/>
              <w:rPr>
                <w:noProof/>
                <w:sz w:val="20"/>
              </w:rPr>
            </w:pPr>
          </w:p>
        </w:tc>
        <w:tc>
          <w:tcPr>
            <w:tcW w:w="868" w:type="dxa"/>
            <w:vAlign w:val="center"/>
          </w:tcPr>
          <w:p w:rsidR="003A2ADB" w:rsidRDefault="003A2ADB">
            <w:pPr>
              <w:spacing w:before="60" w:after="60"/>
              <w:jc w:val="right"/>
              <w:rPr>
                <w:noProof/>
                <w:sz w:val="20"/>
              </w:rPr>
            </w:pPr>
          </w:p>
        </w:tc>
        <w:tc>
          <w:tcPr>
            <w:tcW w:w="868" w:type="dxa"/>
            <w:vAlign w:val="center"/>
          </w:tcPr>
          <w:p w:rsidR="003A2ADB" w:rsidRDefault="003A2ADB">
            <w:pPr>
              <w:spacing w:before="60" w:after="60"/>
              <w:jc w:val="right"/>
              <w:rPr>
                <w:noProof/>
                <w:sz w:val="20"/>
              </w:rPr>
            </w:pPr>
          </w:p>
        </w:tc>
        <w:tc>
          <w:tcPr>
            <w:tcW w:w="868" w:type="dxa"/>
            <w:vAlign w:val="center"/>
          </w:tcPr>
          <w:p w:rsidR="003A2ADB" w:rsidRDefault="003A2ADB">
            <w:pPr>
              <w:spacing w:before="60" w:after="60"/>
              <w:jc w:val="right"/>
              <w:rPr>
                <w:noProof/>
                <w:sz w:val="20"/>
              </w:rPr>
            </w:pPr>
          </w:p>
        </w:tc>
        <w:tc>
          <w:tcPr>
            <w:tcW w:w="868" w:type="dxa"/>
            <w:vAlign w:val="center"/>
          </w:tcPr>
          <w:p w:rsidR="003A2ADB" w:rsidRDefault="003A2ADB">
            <w:pPr>
              <w:spacing w:before="60" w:after="60"/>
              <w:jc w:val="right"/>
              <w:rPr>
                <w:b/>
                <w:noProof/>
                <w:sz w:val="20"/>
              </w:rPr>
            </w:pPr>
          </w:p>
        </w:tc>
        <w:tc>
          <w:tcPr>
            <w:tcW w:w="1777" w:type="dxa"/>
            <w:vAlign w:val="center"/>
          </w:tcPr>
          <w:p w:rsidR="003A2ADB" w:rsidRDefault="003A2ADB">
            <w:pPr>
              <w:spacing w:before="60" w:after="60"/>
              <w:jc w:val="right"/>
              <w:rPr>
                <w:b/>
                <w:noProof/>
                <w:sz w:val="20"/>
              </w:rPr>
            </w:pPr>
          </w:p>
        </w:tc>
      </w:tr>
    </w:tbl>
    <w:p w:rsidR="003A2ADB" w:rsidRDefault="003A2ADB">
      <w:pPr>
        <w:rPr>
          <w:noProof/>
        </w:rPr>
      </w:pPr>
    </w:p>
    <w:p w:rsidR="003A2ADB" w:rsidRDefault="008A783E">
      <w:pPr>
        <w:pStyle w:val="ManualHeading3"/>
        <w:rPr>
          <w:bCs/>
          <w:noProof/>
          <w:szCs w:val="24"/>
        </w:rPr>
      </w:pPr>
      <w:bookmarkStart w:id="45" w:name="_Toc514938054"/>
      <w:bookmarkStart w:id="46" w:name="_Toc520485053"/>
      <w:r>
        <w:rPr>
          <w:noProof/>
        </w:rPr>
        <w:t>3.2.2.</w:t>
      </w:r>
      <w:r>
        <w:rPr>
          <w:noProof/>
        </w:rPr>
        <w:tab/>
        <w:t>Estimated output funded with operational appropriations</w:t>
      </w:r>
      <w:bookmarkEnd w:id="45"/>
      <w:bookmarkEnd w:id="46"/>
      <w:r>
        <w:rPr>
          <w:noProof/>
        </w:rPr>
        <w:t xml:space="preserve"> </w:t>
      </w:r>
    </w:p>
    <w:p w:rsidR="003A2ADB" w:rsidRDefault="008A783E">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3A2ADB">
        <w:trPr>
          <w:jc w:val="center"/>
        </w:trPr>
        <w:tc>
          <w:tcPr>
            <w:tcW w:w="1423" w:type="dxa"/>
            <w:vMerge w:val="restart"/>
            <w:vAlign w:val="center"/>
          </w:tcPr>
          <w:p w:rsidR="003A2ADB" w:rsidRDefault="008A783E">
            <w:pPr>
              <w:ind w:right="-29"/>
              <w:jc w:val="center"/>
              <w:rPr>
                <w:b/>
                <w:noProof/>
                <w:sz w:val="18"/>
                <w:szCs w:val="18"/>
              </w:rPr>
            </w:pPr>
            <w:r>
              <w:rPr>
                <w:b/>
                <w:noProof/>
                <w:sz w:val="18"/>
              </w:rPr>
              <w:t xml:space="preserve">Indicate objectives and outputs </w:t>
            </w:r>
          </w:p>
          <w:p w:rsidR="003A2ADB" w:rsidRDefault="003A2ADB">
            <w:pPr>
              <w:ind w:right="-29"/>
              <w:jc w:val="center"/>
              <w:rPr>
                <w:b/>
                <w:noProof/>
                <w:sz w:val="18"/>
                <w:szCs w:val="18"/>
              </w:rPr>
            </w:pPr>
          </w:p>
          <w:p w:rsidR="003A2ADB" w:rsidRDefault="008A783E">
            <w:pPr>
              <w:ind w:right="-29"/>
              <w:jc w:val="center"/>
              <w:rPr>
                <w:noProof/>
                <w:sz w:val="18"/>
                <w:szCs w:val="18"/>
              </w:rPr>
            </w:pPr>
            <w:r>
              <w:rPr>
                <w:noProof/>
                <w:sz w:val="18"/>
              </w:rPr>
              <w:sym w:font="Wingdings" w:char="F0F2"/>
            </w:r>
          </w:p>
        </w:tc>
        <w:tc>
          <w:tcPr>
            <w:tcW w:w="720" w:type="dxa"/>
            <w:vAlign w:val="center"/>
          </w:tcPr>
          <w:p w:rsidR="003A2ADB" w:rsidRDefault="003A2ADB">
            <w:pPr>
              <w:ind w:right="-29"/>
              <w:jc w:val="center"/>
              <w:rPr>
                <w:noProof/>
                <w:sz w:val="18"/>
                <w:szCs w:val="18"/>
              </w:rPr>
            </w:pPr>
          </w:p>
        </w:tc>
        <w:tc>
          <w:tcPr>
            <w:tcW w:w="701" w:type="dxa"/>
            <w:vAlign w:val="center"/>
          </w:tcPr>
          <w:p w:rsidR="003A2ADB" w:rsidRDefault="003A2ADB">
            <w:pPr>
              <w:ind w:right="-29"/>
              <w:jc w:val="center"/>
              <w:rPr>
                <w:noProof/>
                <w:sz w:val="18"/>
                <w:szCs w:val="18"/>
              </w:rPr>
            </w:pPr>
          </w:p>
        </w:tc>
        <w:tc>
          <w:tcPr>
            <w:tcW w:w="1224" w:type="dxa"/>
            <w:gridSpan w:val="2"/>
            <w:tcBorders>
              <w:left w:val="nil"/>
            </w:tcBorders>
            <w:vAlign w:val="center"/>
          </w:tcPr>
          <w:p w:rsidR="003A2ADB" w:rsidRDefault="008A783E">
            <w:pPr>
              <w:ind w:right="-29"/>
              <w:jc w:val="center"/>
              <w:rPr>
                <w:noProof/>
                <w:sz w:val="18"/>
                <w:szCs w:val="18"/>
              </w:rPr>
            </w:pPr>
            <w:r>
              <w:rPr>
                <w:noProof/>
                <w:sz w:val="18"/>
              </w:rPr>
              <w:t>Year</w:t>
            </w:r>
            <w:r>
              <w:rPr>
                <w:noProof/>
                <w:sz w:val="22"/>
              </w:rPr>
              <w:br/>
            </w:r>
            <w:r>
              <w:rPr>
                <w:b/>
                <w:noProof/>
                <w:sz w:val="18"/>
              </w:rPr>
              <w:t>2020</w:t>
            </w:r>
          </w:p>
        </w:tc>
        <w:tc>
          <w:tcPr>
            <w:tcW w:w="1260" w:type="dxa"/>
            <w:gridSpan w:val="2"/>
            <w:vAlign w:val="center"/>
          </w:tcPr>
          <w:p w:rsidR="003A2ADB" w:rsidRDefault="003A2ADB">
            <w:pPr>
              <w:ind w:right="-29"/>
              <w:jc w:val="center"/>
              <w:rPr>
                <w:noProof/>
                <w:sz w:val="18"/>
                <w:szCs w:val="18"/>
              </w:rPr>
            </w:pPr>
          </w:p>
        </w:tc>
        <w:tc>
          <w:tcPr>
            <w:tcW w:w="1440" w:type="dxa"/>
            <w:gridSpan w:val="2"/>
            <w:vAlign w:val="center"/>
          </w:tcPr>
          <w:p w:rsidR="003A2ADB" w:rsidRDefault="008A783E">
            <w:pPr>
              <w:ind w:right="-29"/>
              <w:jc w:val="center"/>
              <w:rPr>
                <w:noProof/>
                <w:sz w:val="18"/>
                <w:szCs w:val="18"/>
              </w:rPr>
            </w:pPr>
            <w:r>
              <w:rPr>
                <w:noProof/>
                <w:sz w:val="18"/>
              </w:rPr>
              <w:t>Year</w:t>
            </w:r>
            <w:r>
              <w:rPr>
                <w:noProof/>
                <w:sz w:val="22"/>
              </w:rPr>
              <w:br/>
            </w:r>
          </w:p>
        </w:tc>
        <w:tc>
          <w:tcPr>
            <w:tcW w:w="1620" w:type="dxa"/>
            <w:gridSpan w:val="3"/>
            <w:vAlign w:val="center"/>
          </w:tcPr>
          <w:p w:rsidR="003A2ADB" w:rsidRDefault="008A783E">
            <w:pPr>
              <w:ind w:right="-29"/>
              <w:jc w:val="center"/>
              <w:rPr>
                <w:noProof/>
                <w:sz w:val="18"/>
                <w:szCs w:val="18"/>
              </w:rPr>
            </w:pPr>
            <w:r>
              <w:rPr>
                <w:noProof/>
                <w:sz w:val="18"/>
              </w:rPr>
              <w:t>Year</w:t>
            </w:r>
            <w:r>
              <w:rPr>
                <w:noProof/>
                <w:sz w:val="22"/>
              </w:rPr>
              <w:br/>
            </w:r>
          </w:p>
        </w:tc>
        <w:tc>
          <w:tcPr>
            <w:tcW w:w="3600" w:type="dxa"/>
            <w:gridSpan w:val="6"/>
            <w:vAlign w:val="center"/>
          </w:tcPr>
          <w:p w:rsidR="003A2ADB" w:rsidRDefault="008A783E">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rsidR="003A2ADB" w:rsidRDefault="008A783E">
            <w:pPr>
              <w:ind w:right="-29"/>
              <w:jc w:val="center"/>
              <w:rPr>
                <w:noProof/>
                <w:sz w:val="18"/>
                <w:szCs w:val="18"/>
              </w:rPr>
            </w:pPr>
            <w:r>
              <w:rPr>
                <w:b/>
                <w:noProof/>
                <w:sz w:val="18"/>
              </w:rPr>
              <w:t>TOTAL</w:t>
            </w:r>
          </w:p>
        </w:tc>
      </w:tr>
      <w:tr w:rsidR="003A2ADB">
        <w:trPr>
          <w:jc w:val="center"/>
        </w:trPr>
        <w:tc>
          <w:tcPr>
            <w:tcW w:w="1423" w:type="dxa"/>
            <w:vMerge/>
            <w:vAlign w:val="center"/>
          </w:tcPr>
          <w:p w:rsidR="003A2ADB" w:rsidRDefault="003A2ADB">
            <w:pPr>
              <w:ind w:right="-29"/>
              <w:jc w:val="center"/>
              <w:rPr>
                <w:noProof/>
                <w:sz w:val="18"/>
                <w:szCs w:val="18"/>
              </w:rPr>
            </w:pPr>
          </w:p>
        </w:tc>
        <w:tc>
          <w:tcPr>
            <w:tcW w:w="12185" w:type="dxa"/>
            <w:gridSpan w:val="19"/>
            <w:vAlign w:val="center"/>
          </w:tcPr>
          <w:p w:rsidR="003A2ADB" w:rsidRDefault="008A783E">
            <w:pPr>
              <w:spacing w:before="60" w:after="60"/>
              <w:ind w:right="-29"/>
              <w:jc w:val="center"/>
              <w:rPr>
                <w:noProof/>
                <w:sz w:val="18"/>
                <w:szCs w:val="18"/>
              </w:rPr>
            </w:pPr>
            <w:r>
              <w:rPr>
                <w:b/>
                <w:noProof/>
                <w:sz w:val="18"/>
              </w:rPr>
              <w:t>OUTPUTS</w:t>
            </w:r>
          </w:p>
        </w:tc>
      </w:tr>
      <w:tr w:rsidR="003A2ADB">
        <w:trPr>
          <w:cantSplit/>
          <w:trHeight w:val="1134"/>
          <w:jc w:val="center"/>
        </w:trPr>
        <w:tc>
          <w:tcPr>
            <w:tcW w:w="1423" w:type="dxa"/>
            <w:vMerge/>
            <w:vAlign w:val="center"/>
          </w:tcPr>
          <w:p w:rsidR="003A2ADB" w:rsidRDefault="003A2ADB">
            <w:pPr>
              <w:rPr>
                <w:noProof/>
                <w:sz w:val="18"/>
                <w:szCs w:val="18"/>
              </w:rPr>
            </w:pPr>
          </w:p>
        </w:tc>
        <w:tc>
          <w:tcPr>
            <w:tcW w:w="720" w:type="dxa"/>
            <w:vAlign w:val="center"/>
          </w:tcPr>
          <w:p w:rsidR="003A2ADB" w:rsidRDefault="008A783E">
            <w:pPr>
              <w:jc w:val="center"/>
              <w:rPr>
                <w:noProof/>
                <w:sz w:val="18"/>
                <w:szCs w:val="18"/>
              </w:rPr>
            </w:pPr>
            <w:r>
              <w:rPr>
                <w:noProof/>
                <w:sz w:val="18"/>
              </w:rPr>
              <w:t>Type</w:t>
            </w:r>
            <w:r>
              <w:rPr>
                <w:rStyle w:val="FootnoteReference"/>
                <w:noProof/>
                <w:sz w:val="18"/>
              </w:rPr>
              <w:footnoteReference w:id="20"/>
            </w:r>
          </w:p>
          <w:p w:rsidR="003A2ADB" w:rsidRDefault="003A2ADB">
            <w:pPr>
              <w:spacing w:before="0" w:after="0"/>
              <w:jc w:val="center"/>
              <w:rPr>
                <w:noProof/>
                <w:sz w:val="18"/>
                <w:szCs w:val="18"/>
              </w:rPr>
            </w:pPr>
          </w:p>
        </w:tc>
        <w:tc>
          <w:tcPr>
            <w:tcW w:w="701" w:type="dxa"/>
            <w:vAlign w:val="center"/>
          </w:tcPr>
          <w:p w:rsidR="003A2ADB" w:rsidRDefault="008A783E">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3A2ADB" w:rsidRDefault="008A783E">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3A2ADB" w:rsidRDefault="008A783E">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3A2ADB" w:rsidRDefault="008A783E">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3A2ADB" w:rsidRDefault="008A783E">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3A2ADB" w:rsidRDefault="008A783E">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3A2ADB" w:rsidRDefault="008A783E">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3A2ADB" w:rsidRDefault="008A783E">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3A2ADB" w:rsidRDefault="008A783E">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3A2ADB" w:rsidRDefault="008A783E">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3A2ADB" w:rsidRDefault="008A783E">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3A2ADB" w:rsidRDefault="008A783E">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3A2ADB" w:rsidRDefault="008A783E">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3A2ADB" w:rsidRDefault="008A783E">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3A2ADB" w:rsidRDefault="008A783E">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3A2ADB" w:rsidRDefault="008A783E">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3A2ADB" w:rsidRDefault="008A783E">
            <w:pPr>
              <w:jc w:val="center"/>
              <w:rPr>
                <w:noProof/>
                <w:sz w:val="18"/>
                <w:szCs w:val="18"/>
              </w:rPr>
            </w:pPr>
            <w:r>
              <w:rPr>
                <w:noProof/>
                <w:sz w:val="18"/>
              </w:rPr>
              <w:t xml:space="preserve">Total </w:t>
            </w:r>
            <w:r>
              <w:rPr>
                <w:noProof/>
                <w:sz w:val="18"/>
              </w:rPr>
              <w:t>cost</w:t>
            </w:r>
          </w:p>
        </w:tc>
      </w:tr>
      <w:tr w:rsidR="003A2ADB">
        <w:trPr>
          <w:jc w:val="center"/>
        </w:trPr>
        <w:tc>
          <w:tcPr>
            <w:tcW w:w="2844" w:type="dxa"/>
            <w:gridSpan w:val="3"/>
            <w:vAlign w:val="center"/>
          </w:tcPr>
          <w:p w:rsidR="003A2ADB" w:rsidRDefault="008A783E">
            <w:pPr>
              <w:spacing w:before="60" w:after="60"/>
              <w:ind w:right="-29"/>
              <w:jc w:val="center"/>
              <w:rPr>
                <w:noProof/>
                <w:sz w:val="18"/>
                <w:szCs w:val="18"/>
              </w:rPr>
            </w:pPr>
            <w:r>
              <w:rPr>
                <w:noProof/>
                <w:sz w:val="18"/>
              </w:rPr>
              <w:t>SPECIFIC OBJECTIVE No 1</w:t>
            </w:r>
            <w:r>
              <w:rPr>
                <w:rStyle w:val="FootnoteReference"/>
                <w:noProof/>
                <w:sz w:val="18"/>
              </w:rPr>
              <w:footnoteReference w:id="21"/>
            </w:r>
            <w:r>
              <w:rPr>
                <w:noProof/>
                <w:sz w:val="18"/>
              </w:rPr>
              <w:t>…</w:t>
            </w:r>
          </w:p>
        </w:tc>
        <w:tc>
          <w:tcPr>
            <w:tcW w:w="504" w:type="dxa"/>
            <w:tcBorders>
              <w:top w:val="nil"/>
              <w:left w:val="nil"/>
              <w:bottom w:val="nil"/>
              <w:right w:val="nil"/>
            </w:tcBorders>
          </w:tcPr>
          <w:p w:rsidR="003A2ADB" w:rsidRDefault="003A2ADB">
            <w:pPr>
              <w:spacing w:before="60" w:after="60"/>
              <w:ind w:right="-29"/>
              <w:jc w:val="center"/>
              <w:rPr>
                <w:noProof/>
                <w:sz w:val="18"/>
                <w:szCs w:val="18"/>
              </w:rPr>
            </w:pPr>
          </w:p>
        </w:tc>
        <w:tc>
          <w:tcPr>
            <w:tcW w:w="720" w:type="dxa"/>
            <w:tcBorders>
              <w:top w:val="nil"/>
              <w:left w:val="nil"/>
              <w:bottom w:val="nil"/>
              <w:right w:val="nil"/>
            </w:tcBorders>
          </w:tcPr>
          <w:p w:rsidR="003A2ADB" w:rsidRDefault="003A2ADB">
            <w:pPr>
              <w:spacing w:before="60" w:after="60"/>
              <w:ind w:right="-29"/>
              <w:jc w:val="center"/>
              <w:rPr>
                <w:noProof/>
                <w:sz w:val="18"/>
                <w:szCs w:val="18"/>
              </w:rPr>
            </w:pPr>
          </w:p>
        </w:tc>
        <w:tc>
          <w:tcPr>
            <w:tcW w:w="540" w:type="dxa"/>
            <w:tcBorders>
              <w:top w:val="nil"/>
              <w:left w:val="nil"/>
              <w:bottom w:val="nil"/>
              <w:right w:val="nil"/>
            </w:tcBorders>
          </w:tcPr>
          <w:p w:rsidR="003A2ADB" w:rsidRDefault="003A2ADB">
            <w:pPr>
              <w:spacing w:before="60" w:after="60"/>
              <w:ind w:right="-29"/>
              <w:jc w:val="center"/>
              <w:rPr>
                <w:noProof/>
                <w:sz w:val="18"/>
                <w:szCs w:val="18"/>
              </w:rPr>
            </w:pPr>
          </w:p>
        </w:tc>
        <w:tc>
          <w:tcPr>
            <w:tcW w:w="720" w:type="dxa"/>
            <w:tcBorders>
              <w:top w:val="nil"/>
              <w:left w:val="nil"/>
              <w:bottom w:val="nil"/>
              <w:right w:val="nil"/>
            </w:tcBorders>
          </w:tcPr>
          <w:p w:rsidR="003A2ADB" w:rsidRDefault="003A2ADB">
            <w:pPr>
              <w:spacing w:before="60" w:after="60"/>
              <w:ind w:right="-29"/>
              <w:jc w:val="center"/>
              <w:rPr>
                <w:noProof/>
                <w:sz w:val="18"/>
                <w:szCs w:val="18"/>
              </w:rPr>
            </w:pPr>
          </w:p>
        </w:tc>
        <w:tc>
          <w:tcPr>
            <w:tcW w:w="720" w:type="dxa"/>
            <w:tcBorders>
              <w:top w:val="nil"/>
              <w:left w:val="nil"/>
              <w:bottom w:val="nil"/>
              <w:right w:val="nil"/>
            </w:tcBorders>
          </w:tcPr>
          <w:p w:rsidR="003A2ADB" w:rsidRDefault="003A2ADB">
            <w:pPr>
              <w:spacing w:before="60" w:after="60"/>
              <w:ind w:right="-29"/>
              <w:jc w:val="center"/>
              <w:rPr>
                <w:noProof/>
                <w:sz w:val="18"/>
                <w:szCs w:val="18"/>
              </w:rPr>
            </w:pPr>
          </w:p>
        </w:tc>
        <w:tc>
          <w:tcPr>
            <w:tcW w:w="720" w:type="dxa"/>
            <w:tcBorders>
              <w:top w:val="nil"/>
              <w:left w:val="nil"/>
              <w:bottom w:val="nil"/>
              <w:right w:val="nil"/>
            </w:tcBorders>
          </w:tcPr>
          <w:p w:rsidR="003A2ADB" w:rsidRDefault="003A2ADB">
            <w:pPr>
              <w:spacing w:before="60" w:after="60"/>
              <w:ind w:right="-29"/>
              <w:jc w:val="center"/>
              <w:rPr>
                <w:noProof/>
                <w:sz w:val="18"/>
                <w:szCs w:val="18"/>
              </w:rPr>
            </w:pPr>
          </w:p>
        </w:tc>
        <w:tc>
          <w:tcPr>
            <w:tcW w:w="900" w:type="dxa"/>
            <w:tcBorders>
              <w:top w:val="nil"/>
              <w:left w:val="nil"/>
              <w:bottom w:val="nil"/>
              <w:right w:val="nil"/>
            </w:tcBorders>
          </w:tcPr>
          <w:p w:rsidR="003A2ADB" w:rsidRDefault="003A2ADB">
            <w:pPr>
              <w:spacing w:before="60" w:after="60"/>
              <w:ind w:right="-29"/>
              <w:jc w:val="center"/>
              <w:rPr>
                <w:noProof/>
                <w:sz w:val="18"/>
                <w:szCs w:val="18"/>
              </w:rPr>
            </w:pPr>
          </w:p>
        </w:tc>
        <w:tc>
          <w:tcPr>
            <w:tcW w:w="720" w:type="dxa"/>
            <w:gridSpan w:val="2"/>
            <w:tcBorders>
              <w:top w:val="nil"/>
              <w:left w:val="nil"/>
              <w:bottom w:val="nil"/>
              <w:right w:val="nil"/>
            </w:tcBorders>
          </w:tcPr>
          <w:p w:rsidR="003A2ADB" w:rsidRDefault="003A2ADB">
            <w:pPr>
              <w:spacing w:before="60" w:after="60"/>
              <w:ind w:right="-29"/>
              <w:jc w:val="center"/>
              <w:rPr>
                <w:noProof/>
                <w:sz w:val="18"/>
                <w:szCs w:val="18"/>
              </w:rPr>
            </w:pPr>
          </w:p>
        </w:tc>
        <w:tc>
          <w:tcPr>
            <w:tcW w:w="540" w:type="dxa"/>
            <w:tcBorders>
              <w:top w:val="nil"/>
              <w:left w:val="nil"/>
              <w:bottom w:val="nil"/>
              <w:right w:val="nil"/>
            </w:tcBorders>
          </w:tcPr>
          <w:p w:rsidR="003A2ADB" w:rsidRDefault="003A2ADB">
            <w:pPr>
              <w:spacing w:before="60" w:after="60"/>
              <w:ind w:right="-29"/>
              <w:jc w:val="center"/>
              <w:rPr>
                <w:noProof/>
                <w:sz w:val="18"/>
                <w:szCs w:val="18"/>
              </w:rPr>
            </w:pPr>
          </w:p>
        </w:tc>
        <w:tc>
          <w:tcPr>
            <w:tcW w:w="648" w:type="dxa"/>
            <w:tcBorders>
              <w:top w:val="nil"/>
              <w:left w:val="nil"/>
              <w:bottom w:val="nil"/>
              <w:right w:val="nil"/>
            </w:tcBorders>
          </w:tcPr>
          <w:p w:rsidR="003A2ADB" w:rsidRDefault="003A2ADB">
            <w:pPr>
              <w:spacing w:before="60" w:after="60"/>
              <w:ind w:right="-29"/>
              <w:jc w:val="center"/>
              <w:rPr>
                <w:noProof/>
                <w:sz w:val="18"/>
                <w:szCs w:val="18"/>
              </w:rPr>
            </w:pPr>
          </w:p>
        </w:tc>
        <w:tc>
          <w:tcPr>
            <w:tcW w:w="432" w:type="dxa"/>
            <w:tcBorders>
              <w:top w:val="nil"/>
              <w:left w:val="nil"/>
              <w:bottom w:val="nil"/>
              <w:right w:val="nil"/>
            </w:tcBorders>
          </w:tcPr>
          <w:p w:rsidR="003A2ADB" w:rsidRDefault="003A2ADB">
            <w:pPr>
              <w:spacing w:before="60" w:after="60"/>
              <w:ind w:right="-29"/>
              <w:jc w:val="center"/>
              <w:rPr>
                <w:noProof/>
                <w:sz w:val="18"/>
                <w:szCs w:val="18"/>
              </w:rPr>
            </w:pPr>
          </w:p>
        </w:tc>
        <w:tc>
          <w:tcPr>
            <w:tcW w:w="720" w:type="dxa"/>
            <w:tcBorders>
              <w:top w:val="nil"/>
              <w:left w:val="nil"/>
              <w:bottom w:val="nil"/>
              <w:right w:val="nil"/>
            </w:tcBorders>
          </w:tcPr>
          <w:p w:rsidR="003A2ADB" w:rsidRDefault="003A2ADB">
            <w:pPr>
              <w:spacing w:before="60" w:after="60"/>
              <w:ind w:right="-29"/>
              <w:jc w:val="center"/>
              <w:rPr>
                <w:noProof/>
                <w:sz w:val="18"/>
                <w:szCs w:val="18"/>
              </w:rPr>
            </w:pPr>
          </w:p>
        </w:tc>
        <w:tc>
          <w:tcPr>
            <w:tcW w:w="540" w:type="dxa"/>
            <w:tcBorders>
              <w:top w:val="nil"/>
              <w:left w:val="nil"/>
              <w:bottom w:val="nil"/>
              <w:right w:val="nil"/>
            </w:tcBorders>
          </w:tcPr>
          <w:p w:rsidR="003A2ADB" w:rsidRDefault="003A2ADB">
            <w:pPr>
              <w:spacing w:before="60" w:after="60"/>
              <w:ind w:right="-29"/>
              <w:jc w:val="center"/>
              <w:rPr>
                <w:noProof/>
                <w:sz w:val="18"/>
                <w:szCs w:val="18"/>
              </w:rPr>
            </w:pPr>
          </w:p>
        </w:tc>
        <w:tc>
          <w:tcPr>
            <w:tcW w:w="720" w:type="dxa"/>
            <w:tcBorders>
              <w:top w:val="nil"/>
              <w:left w:val="nil"/>
              <w:bottom w:val="nil"/>
              <w:right w:val="nil"/>
            </w:tcBorders>
          </w:tcPr>
          <w:p w:rsidR="003A2ADB" w:rsidRDefault="003A2ADB">
            <w:pPr>
              <w:spacing w:before="60" w:after="60"/>
              <w:ind w:right="-29"/>
              <w:jc w:val="center"/>
              <w:rPr>
                <w:noProof/>
                <w:sz w:val="18"/>
                <w:szCs w:val="18"/>
              </w:rPr>
            </w:pPr>
          </w:p>
        </w:tc>
        <w:tc>
          <w:tcPr>
            <w:tcW w:w="720" w:type="dxa"/>
            <w:tcBorders>
              <w:top w:val="nil"/>
              <w:left w:val="nil"/>
              <w:bottom w:val="nil"/>
              <w:right w:val="nil"/>
            </w:tcBorders>
          </w:tcPr>
          <w:p w:rsidR="003A2ADB" w:rsidRDefault="003A2ADB">
            <w:pPr>
              <w:spacing w:before="60" w:after="60"/>
              <w:ind w:right="-29"/>
              <w:jc w:val="center"/>
              <w:rPr>
                <w:noProof/>
                <w:sz w:val="18"/>
                <w:szCs w:val="18"/>
              </w:rPr>
            </w:pPr>
          </w:p>
        </w:tc>
        <w:tc>
          <w:tcPr>
            <w:tcW w:w="900" w:type="dxa"/>
            <w:tcBorders>
              <w:top w:val="nil"/>
              <w:left w:val="nil"/>
              <w:bottom w:val="nil"/>
              <w:right w:val="nil"/>
            </w:tcBorders>
          </w:tcPr>
          <w:p w:rsidR="003A2ADB" w:rsidRDefault="003A2ADB">
            <w:pPr>
              <w:spacing w:before="60" w:after="60"/>
              <w:ind w:right="-29"/>
              <w:jc w:val="center"/>
              <w:rPr>
                <w:noProof/>
                <w:sz w:val="18"/>
                <w:szCs w:val="18"/>
              </w:rPr>
            </w:pPr>
          </w:p>
        </w:tc>
      </w:tr>
      <w:tr w:rsidR="003A2ADB">
        <w:trPr>
          <w:trHeight w:hRule="exact" w:val="369"/>
          <w:jc w:val="center"/>
        </w:trPr>
        <w:tc>
          <w:tcPr>
            <w:tcW w:w="1423" w:type="dxa"/>
          </w:tcPr>
          <w:p w:rsidR="003A2ADB" w:rsidRDefault="008A783E">
            <w:pPr>
              <w:ind w:right="-29"/>
              <w:jc w:val="center"/>
              <w:rPr>
                <w:noProof/>
                <w:sz w:val="18"/>
                <w:szCs w:val="18"/>
              </w:rPr>
            </w:pPr>
            <w:r>
              <w:rPr>
                <w:noProof/>
                <w:sz w:val="18"/>
              </w:rPr>
              <w:t>- Output</w:t>
            </w:r>
          </w:p>
        </w:tc>
        <w:tc>
          <w:tcPr>
            <w:tcW w:w="720" w:type="dxa"/>
          </w:tcPr>
          <w:p w:rsidR="003A2ADB" w:rsidRDefault="003A2ADB">
            <w:pPr>
              <w:ind w:right="-29"/>
              <w:jc w:val="center"/>
              <w:rPr>
                <w:noProof/>
                <w:sz w:val="18"/>
                <w:szCs w:val="18"/>
              </w:rPr>
            </w:pPr>
          </w:p>
        </w:tc>
        <w:tc>
          <w:tcPr>
            <w:tcW w:w="701" w:type="dxa"/>
          </w:tcPr>
          <w:p w:rsidR="003A2ADB" w:rsidRDefault="003A2ADB">
            <w:pPr>
              <w:ind w:right="-29"/>
              <w:jc w:val="center"/>
              <w:rPr>
                <w:noProof/>
                <w:sz w:val="18"/>
                <w:szCs w:val="18"/>
              </w:rPr>
            </w:pPr>
          </w:p>
        </w:tc>
        <w:tc>
          <w:tcPr>
            <w:tcW w:w="504" w:type="dxa"/>
            <w:tcBorders>
              <w:right w:val="dashSmallGap" w:sz="4" w:space="0" w:color="auto"/>
            </w:tcBorders>
          </w:tcPr>
          <w:p w:rsidR="003A2ADB" w:rsidRDefault="003A2ADB">
            <w:pPr>
              <w:ind w:right="-29"/>
              <w:jc w:val="center"/>
              <w:rPr>
                <w:noProof/>
                <w:sz w:val="18"/>
                <w:szCs w:val="18"/>
              </w:rPr>
            </w:pPr>
          </w:p>
        </w:tc>
        <w:tc>
          <w:tcPr>
            <w:tcW w:w="720" w:type="dxa"/>
            <w:tcBorders>
              <w:left w:val="dashSmallGap" w:sz="4" w:space="0" w:color="auto"/>
            </w:tcBorders>
          </w:tcPr>
          <w:p w:rsidR="003A2ADB" w:rsidRDefault="003A2ADB">
            <w:pPr>
              <w:ind w:right="-29"/>
              <w:jc w:val="center"/>
              <w:rPr>
                <w:noProof/>
                <w:sz w:val="18"/>
                <w:szCs w:val="18"/>
              </w:rPr>
            </w:pPr>
          </w:p>
        </w:tc>
        <w:tc>
          <w:tcPr>
            <w:tcW w:w="540" w:type="dxa"/>
            <w:tcBorders>
              <w:right w:val="dashSmallGap" w:sz="4" w:space="0" w:color="auto"/>
            </w:tcBorders>
          </w:tcPr>
          <w:p w:rsidR="003A2ADB" w:rsidRDefault="003A2ADB">
            <w:pPr>
              <w:ind w:right="-29"/>
              <w:jc w:val="center"/>
              <w:rPr>
                <w:noProof/>
                <w:sz w:val="18"/>
                <w:szCs w:val="18"/>
              </w:rPr>
            </w:pPr>
          </w:p>
        </w:tc>
        <w:tc>
          <w:tcPr>
            <w:tcW w:w="720" w:type="dxa"/>
            <w:tcBorders>
              <w:left w:val="dashSmallGap" w:sz="4" w:space="0" w:color="auto"/>
            </w:tcBorders>
          </w:tcPr>
          <w:p w:rsidR="003A2ADB" w:rsidRDefault="003A2ADB">
            <w:pPr>
              <w:ind w:right="-29"/>
              <w:jc w:val="center"/>
              <w:rPr>
                <w:noProof/>
                <w:sz w:val="18"/>
                <w:szCs w:val="18"/>
              </w:rPr>
            </w:pPr>
          </w:p>
        </w:tc>
        <w:tc>
          <w:tcPr>
            <w:tcW w:w="720" w:type="dxa"/>
            <w:tcBorders>
              <w:right w:val="dashSmallGap" w:sz="4" w:space="0" w:color="auto"/>
            </w:tcBorders>
          </w:tcPr>
          <w:p w:rsidR="003A2ADB" w:rsidRDefault="003A2ADB">
            <w:pPr>
              <w:ind w:right="-29"/>
              <w:jc w:val="center"/>
              <w:rPr>
                <w:noProof/>
                <w:sz w:val="18"/>
                <w:szCs w:val="18"/>
              </w:rPr>
            </w:pPr>
          </w:p>
        </w:tc>
        <w:tc>
          <w:tcPr>
            <w:tcW w:w="720" w:type="dxa"/>
            <w:tcBorders>
              <w:left w:val="dashSmallGap" w:sz="4" w:space="0" w:color="auto"/>
            </w:tcBorders>
          </w:tcPr>
          <w:p w:rsidR="003A2ADB" w:rsidRDefault="003A2ADB">
            <w:pPr>
              <w:ind w:right="-29"/>
              <w:jc w:val="center"/>
              <w:rPr>
                <w:noProof/>
                <w:sz w:val="18"/>
                <w:szCs w:val="18"/>
              </w:rPr>
            </w:pPr>
          </w:p>
        </w:tc>
        <w:tc>
          <w:tcPr>
            <w:tcW w:w="900" w:type="dxa"/>
            <w:tcBorders>
              <w:right w:val="dashSmallGap" w:sz="4" w:space="0" w:color="auto"/>
            </w:tcBorders>
          </w:tcPr>
          <w:p w:rsidR="003A2ADB" w:rsidRDefault="003A2ADB">
            <w:pPr>
              <w:ind w:right="-29"/>
              <w:jc w:val="center"/>
              <w:rPr>
                <w:noProof/>
                <w:sz w:val="18"/>
                <w:szCs w:val="18"/>
              </w:rPr>
            </w:pPr>
          </w:p>
        </w:tc>
        <w:tc>
          <w:tcPr>
            <w:tcW w:w="720" w:type="dxa"/>
            <w:gridSpan w:val="2"/>
            <w:tcBorders>
              <w:left w:val="dashSmallGap" w:sz="4" w:space="0" w:color="auto"/>
            </w:tcBorders>
          </w:tcPr>
          <w:p w:rsidR="003A2ADB" w:rsidRDefault="003A2ADB">
            <w:pPr>
              <w:ind w:right="-29"/>
              <w:jc w:val="center"/>
              <w:rPr>
                <w:noProof/>
                <w:sz w:val="18"/>
                <w:szCs w:val="18"/>
              </w:rPr>
            </w:pPr>
          </w:p>
        </w:tc>
        <w:tc>
          <w:tcPr>
            <w:tcW w:w="540" w:type="dxa"/>
            <w:tcBorders>
              <w:right w:val="dashSmallGap" w:sz="4" w:space="0" w:color="auto"/>
            </w:tcBorders>
          </w:tcPr>
          <w:p w:rsidR="003A2ADB" w:rsidRDefault="003A2ADB">
            <w:pPr>
              <w:ind w:right="-29"/>
              <w:jc w:val="center"/>
              <w:rPr>
                <w:noProof/>
                <w:sz w:val="18"/>
                <w:szCs w:val="18"/>
              </w:rPr>
            </w:pPr>
          </w:p>
        </w:tc>
        <w:tc>
          <w:tcPr>
            <w:tcW w:w="648" w:type="dxa"/>
            <w:tcBorders>
              <w:left w:val="dashSmallGap" w:sz="4" w:space="0" w:color="auto"/>
            </w:tcBorders>
          </w:tcPr>
          <w:p w:rsidR="003A2ADB" w:rsidRDefault="003A2ADB">
            <w:pPr>
              <w:ind w:right="-29"/>
              <w:jc w:val="center"/>
              <w:rPr>
                <w:noProof/>
                <w:sz w:val="18"/>
                <w:szCs w:val="18"/>
              </w:rPr>
            </w:pPr>
          </w:p>
        </w:tc>
        <w:tc>
          <w:tcPr>
            <w:tcW w:w="432" w:type="dxa"/>
            <w:tcBorders>
              <w:right w:val="dashSmallGap" w:sz="4" w:space="0" w:color="auto"/>
            </w:tcBorders>
          </w:tcPr>
          <w:p w:rsidR="003A2ADB" w:rsidRDefault="003A2ADB">
            <w:pPr>
              <w:ind w:right="-29"/>
              <w:jc w:val="center"/>
              <w:rPr>
                <w:noProof/>
                <w:sz w:val="18"/>
                <w:szCs w:val="18"/>
              </w:rPr>
            </w:pPr>
          </w:p>
        </w:tc>
        <w:tc>
          <w:tcPr>
            <w:tcW w:w="720" w:type="dxa"/>
            <w:tcBorders>
              <w:left w:val="dashSmallGap" w:sz="4" w:space="0" w:color="auto"/>
            </w:tcBorders>
          </w:tcPr>
          <w:p w:rsidR="003A2ADB" w:rsidRDefault="003A2ADB">
            <w:pPr>
              <w:ind w:right="-29"/>
              <w:jc w:val="center"/>
              <w:rPr>
                <w:noProof/>
                <w:sz w:val="18"/>
                <w:szCs w:val="18"/>
              </w:rPr>
            </w:pPr>
          </w:p>
        </w:tc>
        <w:tc>
          <w:tcPr>
            <w:tcW w:w="540" w:type="dxa"/>
            <w:tcBorders>
              <w:right w:val="dashSmallGap" w:sz="4" w:space="0" w:color="auto"/>
            </w:tcBorders>
          </w:tcPr>
          <w:p w:rsidR="003A2ADB" w:rsidRDefault="003A2ADB">
            <w:pPr>
              <w:ind w:right="-29"/>
              <w:jc w:val="center"/>
              <w:rPr>
                <w:noProof/>
                <w:sz w:val="18"/>
                <w:szCs w:val="18"/>
              </w:rPr>
            </w:pPr>
          </w:p>
        </w:tc>
        <w:tc>
          <w:tcPr>
            <w:tcW w:w="720" w:type="dxa"/>
            <w:tcBorders>
              <w:left w:val="dashSmallGap" w:sz="4" w:space="0" w:color="auto"/>
            </w:tcBorders>
          </w:tcPr>
          <w:p w:rsidR="003A2ADB" w:rsidRDefault="003A2ADB">
            <w:pPr>
              <w:ind w:right="-29"/>
              <w:jc w:val="center"/>
              <w:rPr>
                <w:noProof/>
                <w:sz w:val="18"/>
                <w:szCs w:val="18"/>
              </w:rPr>
            </w:pPr>
          </w:p>
        </w:tc>
        <w:tc>
          <w:tcPr>
            <w:tcW w:w="720" w:type="dxa"/>
          </w:tcPr>
          <w:p w:rsidR="003A2ADB" w:rsidRDefault="003A2ADB">
            <w:pPr>
              <w:ind w:right="-29"/>
              <w:jc w:val="center"/>
              <w:rPr>
                <w:noProof/>
                <w:sz w:val="18"/>
                <w:szCs w:val="18"/>
              </w:rPr>
            </w:pPr>
          </w:p>
        </w:tc>
        <w:tc>
          <w:tcPr>
            <w:tcW w:w="900" w:type="dxa"/>
          </w:tcPr>
          <w:p w:rsidR="003A2ADB" w:rsidRDefault="003A2ADB">
            <w:pPr>
              <w:ind w:right="-29"/>
              <w:jc w:val="center"/>
              <w:rPr>
                <w:noProof/>
                <w:sz w:val="18"/>
                <w:szCs w:val="18"/>
              </w:rPr>
            </w:pPr>
          </w:p>
        </w:tc>
      </w:tr>
      <w:tr w:rsidR="003A2ADB">
        <w:trPr>
          <w:trHeight w:hRule="exact" w:val="369"/>
          <w:jc w:val="center"/>
        </w:trPr>
        <w:tc>
          <w:tcPr>
            <w:tcW w:w="1423" w:type="dxa"/>
          </w:tcPr>
          <w:p w:rsidR="003A2ADB" w:rsidRDefault="008A783E">
            <w:pPr>
              <w:ind w:right="-29"/>
              <w:jc w:val="center"/>
              <w:rPr>
                <w:noProof/>
                <w:sz w:val="18"/>
                <w:szCs w:val="18"/>
              </w:rPr>
            </w:pPr>
            <w:r>
              <w:rPr>
                <w:noProof/>
                <w:sz w:val="18"/>
              </w:rPr>
              <w:t>- Output</w:t>
            </w:r>
          </w:p>
        </w:tc>
        <w:tc>
          <w:tcPr>
            <w:tcW w:w="720" w:type="dxa"/>
          </w:tcPr>
          <w:p w:rsidR="003A2ADB" w:rsidRDefault="003A2ADB">
            <w:pPr>
              <w:ind w:right="-29"/>
              <w:jc w:val="center"/>
              <w:rPr>
                <w:noProof/>
                <w:sz w:val="18"/>
                <w:szCs w:val="18"/>
              </w:rPr>
            </w:pPr>
          </w:p>
        </w:tc>
        <w:tc>
          <w:tcPr>
            <w:tcW w:w="701" w:type="dxa"/>
          </w:tcPr>
          <w:p w:rsidR="003A2ADB" w:rsidRDefault="003A2ADB">
            <w:pPr>
              <w:ind w:right="-29"/>
              <w:jc w:val="center"/>
              <w:rPr>
                <w:noProof/>
                <w:sz w:val="18"/>
                <w:szCs w:val="18"/>
              </w:rPr>
            </w:pPr>
          </w:p>
        </w:tc>
        <w:tc>
          <w:tcPr>
            <w:tcW w:w="504" w:type="dxa"/>
            <w:tcBorders>
              <w:right w:val="dashSmallGap" w:sz="4" w:space="0" w:color="auto"/>
            </w:tcBorders>
          </w:tcPr>
          <w:p w:rsidR="003A2ADB" w:rsidRDefault="003A2ADB">
            <w:pPr>
              <w:ind w:right="-29"/>
              <w:jc w:val="center"/>
              <w:rPr>
                <w:noProof/>
                <w:sz w:val="18"/>
                <w:szCs w:val="18"/>
              </w:rPr>
            </w:pPr>
          </w:p>
        </w:tc>
        <w:tc>
          <w:tcPr>
            <w:tcW w:w="720" w:type="dxa"/>
            <w:tcBorders>
              <w:left w:val="dashSmallGap" w:sz="4" w:space="0" w:color="auto"/>
            </w:tcBorders>
          </w:tcPr>
          <w:p w:rsidR="003A2ADB" w:rsidRDefault="003A2ADB">
            <w:pPr>
              <w:ind w:right="-29"/>
              <w:jc w:val="center"/>
              <w:rPr>
                <w:noProof/>
                <w:sz w:val="18"/>
                <w:szCs w:val="18"/>
              </w:rPr>
            </w:pPr>
          </w:p>
        </w:tc>
        <w:tc>
          <w:tcPr>
            <w:tcW w:w="540" w:type="dxa"/>
            <w:tcBorders>
              <w:right w:val="dashSmallGap" w:sz="4" w:space="0" w:color="auto"/>
            </w:tcBorders>
          </w:tcPr>
          <w:p w:rsidR="003A2ADB" w:rsidRDefault="003A2ADB">
            <w:pPr>
              <w:ind w:right="-29"/>
              <w:jc w:val="center"/>
              <w:rPr>
                <w:noProof/>
                <w:sz w:val="18"/>
                <w:szCs w:val="18"/>
              </w:rPr>
            </w:pPr>
          </w:p>
        </w:tc>
        <w:tc>
          <w:tcPr>
            <w:tcW w:w="720" w:type="dxa"/>
            <w:tcBorders>
              <w:left w:val="dashSmallGap" w:sz="4" w:space="0" w:color="auto"/>
            </w:tcBorders>
          </w:tcPr>
          <w:p w:rsidR="003A2ADB" w:rsidRDefault="003A2ADB">
            <w:pPr>
              <w:ind w:right="-29"/>
              <w:jc w:val="center"/>
              <w:rPr>
                <w:noProof/>
                <w:sz w:val="18"/>
                <w:szCs w:val="18"/>
              </w:rPr>
            </w:pPr>
          </w:p>
        </w:tc>
        <w:tc>
          <w:tcPr>
            <w:tcW w:w="720" w:type="dxa"/>
            <w:tcBorders>
              <w:right w:val="dashSmallGap" w:sz="4" w:space="0" w:color="auto"/>
            </w:tcBorders>
          </w:tcPr>
          <w:p w:rsidR="003A2ADB" w:rsidRDefault="003A2ADB">
            <w:pPr>
              <w:ind w:right="-29"/>
              <w:jc w:val="center"/>
              <w:rPr>
                <w:noProof/>
                <w:sz w:val="18"/>
                <w:szCs w:val="18"/>
              </w:rPr>
            </w:pPr>
          </w:p>
        </w:tc>
        <w:tc>
          <w:tcPr>
            <w:tcW w:w="720" w:type="dxa"/>
            <w:tcBorders>
              <w:left w:val="dashSmallGap" w:sz="4" w:space="0" w:color="auto"/>
            </w:tcBorders>
          </w:tcPr>
          <w:p w:rsidR="003A2ADB" w:rsidRDefault="003A2ADB">
            <w:pPr>
              <w:ind w:right="-29"/>
              <w:jc w:val="center"/>
              <w:rPr>
                <w:noProof/>
                <w:sz w:val="18"/>
                <w:szCs w:val="18"/>
              </w:rPr>
            </w:pPr>
          </w:p>
        </w:tc>
        <w:tc>
          <w:tcPr>
            <w:tcW w:w="900" w:type="dxa"/>
            <w:tcBorders>
              <w:right w:val="dashSmallGap" w:sz="4" w:space="0" w:color="auto"/>
            </w:tcBorders>
          </w:tcPr>
          <w:p w:rsidR="003A2ADB" w:rsidRDefault="003A2ADB">
            <w:pPr>
              <w:ind w:right="-29"/>
              <w:jc w:val="center"/>
              <w:rPr>
                <w:noProof/>
                <w:sz w:val="18"/>
                <w:szCs w:val="18"/>
              </w:rPr>
            </w:pPr>
          </w:p>
        </w:tc>
        <w:tc>
          <w:tcPr>
            <w:tcW w:w="720" w:type="dxa"/>
            <w:gridSpan w:val="2"/>
            <w:tcBorders>
              <w:left w:val="dashSmallGap" w:sz="4" w:space="0" w:color="auto"/>
            </w:tcBorders>
          </w:tcPr>
          <w:p w:rsidR="003A2ADB" w:rsidRDefault="003A2ADB">
            <w:pPr>
              <w:ind w:right="-29"/>
              <w:jc w:val="center"/>
              <w:rPr>
                <w:noProof/>
                <w:sz w:val="18"/>
                <w:szCs w:val="18"/>
              </w:rPr>
            </w:pPr>
          </w:p>
        </w:tc>
        <w:tc>
          <w:tcPr>
            <w:tcW w:w="540" w:type="dxa"/>
            <w:tcBorders>
              <w:right w:val="dashSmallGap" w:sz="4" w:space="0" w:color="auto"/>
            </w:tcBorders>
          </w:tcPr>
          <w:p w:rsidR="003A2ADB" w:rsidRDefault="003A2ADB">
            <w:pPr>
              <w:ind w:right="-29"/>
              <w:jc w:val="center"/>
              <w:rPr>
                <w:noProof/>
                <w:sz w:val="18"/>
                <w:szCs w:val="18"/>
              </w:rPr>
            </w:pPr>
          </w:p>
        </w:tc>
        <w:tc>
          <w:tcPr>
            <w:tcW w:w="648" w:type="dxa"/>
            <w:tcBorders>
              <w:left w:val="dashSmallGap" w:sz="4" w:space="0" w:color="auto"/>
            </w:tcBorders>
          </w:tcPr>
          <w:p w:rsidR="003A2ADB" w:rsidRDefault="003A2ADB">
            <w:pPr>
              <w:ind w:right="-29"/>
              <w:jc w:val="center"/>
              <w:rPr>
                <w:noProof/>
                <w:sz w:val="18"/>
                <w:szCs w:val="18"/>
              </w:rPr>
            </w:pPr>
          </w:p>
        </w:tc>
        <w:tc>
          <w:tcPr>
            <w:tcW w:w="432" w:type="dxa"/>
            <w:tcBorders>
              <w:right w:val="dashSmallGap" w:sz="4" w:space="0" w:color="auto"/>
            </w:tcBorders>
          </w:tcPr>
          <w:p w:rsidR="003A2ADB" w:rsidRDefault="003A2ADB">
            <w:pPr>
              <w:ind w:right="-29"/>
              <w:jc w:val="center"/>
              <w:rPr>
                <w:noProof/>
                <w:sz w:val="18"/>
                <w:szCs w:val="18"/>
              </w:rPr>
            </w:pPr>
          </w:p>
        </w:tc>
        <w:tc>
          <w:tcPr>
            <w:tcW w:w="720" w:type="dxa"/>
            <w:tcBorders>
              <w:left w:val="dashSmallGap" w:sz="4" w:space="0" w:color="auto"/>
            </w:tcBorders>
          </w:tcPr>
          <w:p w:rsidR="003A2ADB" w:rsidRDefault="003A2ADB">
            <w:pPr>
              <w:ind w:right="-29"/>
              <w:jc w:val="center"/>
              <w:rPr>
                <w:noProof/>
                <w:sz w:val="18"/>
                <w:szCs w:val="18"/>
              </w:rPr>
            </w:pPr>
          </w:p>
        </w:tc>
        <w:tc>
          <w:tcPr>
            <w:tcW w:w="540" w:type="dxa"/>
            <w:tcBorders>
              <w:right w:val="dashSmallGap" w:sz="4" w:space="0" w:color="auto"/>
            </w:tcBorders>
          </w:tcPr>
          <w:p w:rsidR="003A2ADB" w:rsidRDefault="003A2ADB">
            <w:pPr>
              <w:ind w:right="-29"/>
              <w:jc w:val="center"/>
              <w:rPr>
                <w:noProof/>
                <w:sz w:val="18"/>
                <w:szCs w:val="18"/>
              </w:rPr>
            </w:pPr>
          </w:p>
        </w:tc>
        <w:tc>
          <w:tcPr>
            <w:tcW w:w="720" w:type="dxa"/>
            <w:tcBorders>
              <w:left w:val="dashSmallGap" w:sz="4" w:space="0" w:color="auto"/>
            </w:tcBorders>
          </w:tcPr>
          <w:p w:rsidR="003A2ADB" w:rsidRDefault="003A2ADB">
            <w:pPr>
              <w:ind w:right="-29"/>
              <w:jc w:val="center"/>
              <w:rPr>
                <w:noProof/>
                <w:sz w:val="18"/>
                <w:szCs w:val="18"/>
              </w:rPr>
            </w:pPr>
          </w:p>
        </w:tc>
        <w:tc>
          <w:tcPr>
            <w:tcW w:w="720" w:type="dxa"/>
          </w:tcPr>
          <w:p w:rsidR="003A2ADB" w:rsidRDefault="003A2ADB">
            <w:pPr>
              <w:ind w:right="-29"/>
              <w:jc w:val="center"/>
              <w:rPr>
                <w:noProof/>
                <w:sz w:val="18"/>
                <w:szCs w:val="18"/>
              </w:rPr>
            </w:pPr>
          </w:p>
        </w:tc>
        <w:tc>
          <w:tcPr>
            <w:tcW w:w="900" w:type="dxa"/>
          </w:tcPr>
          <w:p w:rsidR="003A2ADB" w:rsidRDefault="003A2ADB">
            <w:pPr>
              <w:ind w:right="-29"/>
              <w:jc w:val="center"/>
              <w:rPr>
                <w:noProof/>
                <w:sz w:val="18"/>
                <w:szCs w:val="18"/>
              </w:rPr>
            </w:pPr>
          </w:p>
        </w:tc>
      </w:tr>
      <w:tr w:rsidR="003A2ADB">
        <w:trPr>
          <w:trHeight w:hRule="exact" w:val="369"/>
          <w:jc w:val="center"/>
        </w:trPr>
        <w:tc>
          <w:tcPr>
            <w:tcW w:w="1423" w:type="dxa"/>
          </w:tcPr>
          <w:p w:rsidR="003A2ADB" w:rsidRDefault="008A783E">
            <w:pPr>
              <w:ind w:right="-29"/>
              <w:jc w:val="center"/>
              <w:rPr>
                <w:noProof/>
                <w:sz w:val="18"/>
                <w:szCs w:val="18"/>
              </w:rPr>
            </w:pPr>
            <w:r>
              <w:rPr>
                <w:noProof/>
                <w:sz w:val="18"/>
              </w:rPr>
              <w:t>- Output</w:t>
            </w:r>
          </w:p>
        </w:tc>
        <w:tc>
          <w:tcPr>
            <w:tcW w:w="720" w:type="dxa"/>
          </w:tcPr>
          <w:p w:rsidR="003A2ADB" w:rsidRDefault="003A2ADB">
            <w:pPr>
              <w:ind w:right="-29"/>
              <w:jc w:val="center"/>
              <w:rPr>
                <w:noProof/>
                <w:sz w:val="18"/>
                <w:szCs w:val="18"/>
              </w:rPr>
            </w:pPr>
          </w:p>
        </w:tc>
        <w:tc>
          <w:tcPr>
            <w:tcW w:w="701" w:type="dxa"/>
          </w:tcPr>
          <w:p w:rsidR="003A2ADB" w:rsidRDefault="003A2ADB">
            <w:pPr>
              <w:ind w:right="-29"/>
              <w:jc w:val="center"/>
              <w:rPr>
                <w:noProof/>
                <w:sz w:val="18"/>
                <w:szCs w:val="18"/>
              </w:rPr>
            </w:pPr>
          </w:p>
        </w:tc>
        <w:tc>
          <w:tcPr>
            <w:tcW w:w="504" w:type="dxa"/>
          </w:tcPr>
          <w:p w:rsidR="003A2ADB" w:rsidRDefault="003A2ADB">
            <w:pPr>
              <w:ind w:right="-29"/>
              <w:jc w:val="center"/>
              <w:rPr>
                <w:noProof/>
                <w:sz w:val="18"/>
                <w:szCs w:val="18"/>
              </w:rPr>
            </w:pPr>
          </w:p>
        </w:tc>
        <w:tc>
          <w:tcPr>
            <w:tcW w:w="720" w:type="dxa"/>
          </w:tcPr>
          <w:p w:rsidR="003A2ADB" w:rsidRDefault="003A2ADB">
            <w:pPr>
              <w:ind w:right="-29"/>
              <w:jc w:val="center"/>
              <w:rPr>
                <w:noProof/>
                <w:sz w:val="18"/>
                <w:szCs w:val="18"/>
              </w:rPr>
            </w:pPr>
          </w:p>
        </w:tc>
        <w:tc>
          <w:tcPr>
            <w:tcW w:w="540" w:type="dxa"/>
          </w:tcPr>
          <w:p w:rsidR="003A2ADB" w:rsidRDefault="003A2ADB">
            <w:pPr>
              <w:ind w:right="-29"/>
              <w:jc w:val="center"/>
              <w:rPr>
                <w:noProof/>
                <w:sz w:val="18"/>
                <w:szCs w:val="18"/>
              </w:rPr>
            </w:pPr>
          </w:p>
        </w:tc>
        <w:tc>
          <w:tcPr>
            <w:tcW w:w="720" w:type="dxa"/>
          </w:tcPr>
          <w:p w:rsidR="003A2ADB" w:rsidRDefault="003A2ADB">
            <w:pPr>
              <w:ind w:right="-29"/>
              <w:jc w:val="center"/>
              <w:rPr>
                <w:noProof/>
                <w:sz w:val="18"/>
                <w:szCs w:val="18"/>
              </w:rPr>
            </w:pPr>
          </w:p>
        </w:tc>
        <w:tc>
          <w:tcPr>
            <w:tcW w:w="720" w:type="dxa"/>
          </w:tcPr>
          <w:p w:rsidR="003A2ADB" w:rsidRDefault="003A2ADB">
            <w:pPr>
              <w:ind w:right="-29"/>
              <w:jc w:val="center"/>
              <w:rPr>
                <w:noProof/>
                <w:sz w:val="18"/>
                <w:szCs w:val="18"/>
              </w:rPr>
            </w:pPr>
          </w:p>
        </w:tc>
        <w:tc>
          <w:tcPr>
            <w:tcW w:w="720" w:type="dxa"/>
          </w:tcPr>
          <w:p w:rsidR="003A2ADB" w:rsidRDefault="003A2ADB">
            <w:pPr>
              <w:ind w:right="-29"/>
              <w:jc w:val="center"/>
              <w:rPr>
                <w:noProof/>
                <w:sz w:val="18"/>
                <w:szCs w:val="18"/>
              </w:rPr>
            </w:pPr>
          </w:p>
        </w:tc>
        <w:tc>
          <w:tcPr>
            <w:tcW w:w="900" w:type="dxa"/>
          </w:tcPr>
          <w:p w:rsidR="003A2ADB" w:rsidRDefault="003A2ADB">
            <w:pPr>
              <w:ind w:right="-29"/>
              <w:jc w:val="center"/>
              <w:rPr>
                <w:noProof/>
                <w:sz w:val="18"/>
                <w:szCs w:val="18"/>
              </w:rPr>
            </w:pPr>
          </w:p>
        </w:tc>
        <w:tc>
          <w:tcPr>
            <w:tcW w:w="720" w:type="dxa"/>
            <w:gridSpan w:val="2"/>
          </w:tcPr>
          <w:p w:rsidR="003A2ADB" w:rsidRDefault="003A2ADB">
            <w:pPr>
              <w:ind w:right="-29"/>
              <w:jc w:val="center"/>
              <w:rPr>
                <w:noProof/>
                <w:sz w:val="18"/>
                <w:szCs w:val="18"/>
              </w:rPr>
            </w:pPr>
          </w:p>
        </w:tc>
        <w:tc>
          <w:tcPr>
            <w:tcW w:w="540" w:type="dxa"/>
          </w:tcPr>
          <w:p w:rsidR="003A2ADB" w:rsidRDefault="003A2ADB">
            <w:pPr>
              <w:ind w:right="-29"/>
              <w:jc w:val="center"/>
              <w:rPr>
                <w:noProof/>
                <w:sz w:val="18"/>
                <w:szCs w:val="18"/>
              </w:rPr>
            </w:pPr>
          </w:p>
        </w:tc>
        <w:tc>
          <w:tcPr>
            <w:tcW w:w="648" w:type="dxa"/>
          </w:tcPr>
          <w:p w:rsidR="003A2ADB" w:rsidRDefault="003A2ADB">
            <w:pPr>
              <w:ind w:right="-29"/>
              <w:jc w:val="center"/>
              <w:rPr>
                <w:noProof/>
                <w:sz w:val="18"/>
                <w:szCs w:val="18"/>
              </w:rPr>
            </w:pPr>
          </w:p>
        </w:tc>
        <w:tc>
          <w:tcPr>
            <w:tcW w:w="432" w:type="dxa"/>
          </w:tcPr>
          <w:p w:rsidR="003A2ADB" w:rsidRDefault="003A2ADB">
            <w:pPr>
              <w:ind w:right="-29"/>
              <w:jc w:val="center"/>
              <w:rPr>
                <w:noProof/>
                <w:sz w:val="18"/>
                <w:szCs w:val="18"/>
              </w:rPr>
            </w:pPr>
          </w:p>
        </w:tc>
        <w:tc>
          <w:tcPr>
            <w:tcW w:w="720" w:type="dxa"/>
          </w:tcPr>
          <w:p w:rsidR="003A2ADB" w:rsidRDefault="003A2ADB">
            <w:pPr>
              <w:ind w:right="-29"/>
              <w:jc w:val="center"/>
              <w:rPr>
                <w:noProof/>
                <w:sz w:val="18"/>
                <w:szCs w:val="18"/>
              </w:rPr>
            </w:pPr>
          </w:p>
        </w:tc>
        <w:tc>
          <w:tcPr>
            <w:tcW w:w="540" w:type="dxa"/>
          </w:tcPr>
          <w:p w:rsidR="003A2ADB" w:rsidRDefault="003A2ADB">
            <w:pPr>
              <w:ind w:right="-29"/>
              <w:jc w:val="center"/>
              <w:rPr>
                <w:noProof/>
                <w:sz w:val="18"/>
                <w:szCs w:val="18"/>
              </w:rPr>
            </w:pPr>
          </w:p>
        </w:tc>
        <w:tc>
          <w:tcPr>
            <w:tcW w:w="720" w:type="dxa"/>
          </w:tcPr>
          <w:p w:rsidR="003A2ADB" w:rsidRDefault="003A2ADB">
            <w:pPr>
              <w:ind w:right="-29"/>
              <w:jc w:val="center"/>
              <w:rPr>
                <w:noProof/>
                <w:sz w:val="18"/>
                <w:szCs w:val="18"/>
              </w:rPr>
            </w:pPr>
          </w:p>
        </w:tc>
        <w:tc>
          <w:tcPr>
            <w:tcW w:w="720" w:type="dxa"/>
          </w:tcPr>
          <w:p w:rsidR="003A2ADB" w:rsidRDefault="003A2ADB">
            <w:pPr>
              <w:ind w:right="-29"/>
              <w:jc w:val="center"/>
              <w:rPr>
                <w:noProof/>
                <w:sz w:val="18"/>
                <w:szCs w:val="18"/>
              </w:rPr>
            </w:pPr>
          </w:p>
        </w:tc>
        <w:tc>
          <w:tcPr>
            <w:tcW w:w="900" w:type="dxa"/>
          </w:tcPr>
          <w:p w:rsidR="003A2ADB" w:rsidRDefault="003A2ADB">
            <w:pPr>
              <w:ind w:right="-29"/>
              <w:jc w:val="center"/>
              <w:rPr>
                <w:noProof/>
                <w:sz w:val="18"/>
                <w:szCs w:val="18"/>
              </w:rPr>
            </w:pPr>
          </w:p>
        </w:tc>
      </w:tr>
      <w:tr w:rsidR="003A2ADB">
        <w:trPr>
          <w:trHeight w:val="77"/>
          <w:jc w:val="center"/>
        </w:trPr>
        <w:tc>
          <w:tcPr>
            <w:tcW w:w="2844" w:type="dxa"/>
            <w:gridSpan w:val="3"/>
            <w:tcBorders>
              <w:bottom w:val="single" w:sz="12" w:space="0" w:color="auto"/>
            </w:tcBorders>
            <w:vAlign w:val="center"/>
          </w:tcPr>
          <w:p w:rsidR="003A2ADB" w:rsidRDefault="008A783E">
            <w:pPr>
              <w:ind w:right="-29"/>
              <w:jc w:val="center"/>
              <w:rPr>
                <w:noProof/>
                <w:sz w:val="18"/>
                <w:szCs w:val="18"/>
              </w:rPr>
            </w:pPr>
            <w:r>
              <w:rPr>
                <w:noProof/>
                <w:sz w:val="18"/>
              </w:rPr>
              <w:t>Subtotal for specific objective No 1</w:t>
            </w:r>
          </w:p>
        </w:tc>
        <w:tc>
          <w:tcPr>
            <w:tcW w:w="504" w:type="dxa"/>
            <w:tcBorders>
              <w:bottom w:val="single" w:sz="12" w:space="0" w:color="auto"/>
            </w:tcBorders>
          </w:tcPr>
          <w:p w:rsidR="003A2ADB" w:rsidRDefault="003A2ADB">
            <w:pPr>
              <w:ind w:right="-29"/>
              <w:jc w:val="center"/>
              <w:rPr>
                <w:noProof/>
                <w:sz w:val="18"/>
                <w:szCs w:val="18"/>
              </w:rPr>
            </w:pPr>
          </w:p>
        </w:tc>
        <w:tc>
          <w:tcPr>
            <w:tcW w:w="720" w:type="dxa"/>
            <w:tcBorders>
              <w:bottom w:val="single" w:sz="12" w:space="0" w:color="auto"/>
            </w:tcBorders>
          </w:tcPr>
          <w:p w:rsidR="003A2ADB" w:rsidRDefault="003A2ADB">
            <w:pPr>
              <w:ind w:right="-29"/>
              <w:jc w:val="center"/>
              <w:rPr>
                <w:noProof/>
                <w:sz w:val="18"/>
                <w:szCs w:val="18"/>
              </w:rPr>
            </w:pPr>
          </w:p>
        </w:tc>
        <w:tc>
          <w:tcPr>
            <w:tcW w:w="540" w:type="dxa"/>
            <w:tcBorders>
              <w:bottom w:val="single" w:sz="12" w:space="0" w:color="auto"/>
            </w:tcBorders>
          </w:tcPr>
          <w:p w:rsidR="003A2ADB" w:rsidRDefault="003A2ADB">
            <w:pPr>
              <w:ind w:right="-29"/>
              <w:jc w:val="center"/>
              <w:rPr>
                <w:noProof/>
                <w:sz w:val="18"/>
                <w:szCs w:val="18"/>
              </w:rPr>
            </w:pPr>
          </w:p>
        </w:tc>
        <w:tc>
          <w:tcPr>
            <w:tcW w:w="720" w:type="dxa"/>
            <w:tcBorders>
              <w:bottom w:val="single" w:sz="12" w:space="0" w:color="auto"/>
            </w:tcBorders>
          </w:tcPr>
          <w:p w:rsidR="003A2ADB" w:rsidRDefault="003A2ADB">
            <w:pPr>
              <w:ind w:right="-29"/>
              <w:jc w:val="center"/>
              <w:rPr>
                <w:noProof/>
                <w:sz w:val="18"/>
                <w:szCs w:val="18"/>
              </w:rPr>
            </w:pPr>
          </w:p>
        </w:tc>
        <w:tc>
          <w:tcPr>
            <w:tcW w:w="720" w:type="dxa"/>
            <w:tcBorders>
              <w:bottom w:val="single" w:sz="12" w:space="0" w:color="auto"/>
            </w:tcBorders>
          </w:tcPr>
          <w:p w:rsidR="003A2ADB" w:rsidRDefault="003A2ADB">
            <w:pPr>
              <w:ind w:right="-29"/>
              <w:jc w:val="center"/>
              <w:rPr>
                <w:noProof/>
                <w:sz w:val="18"/>
                <w:szCs w:val="18"/>
              </w:rPr>
            </w:pPr>
          </w:p>
        </w:tc>
        <w:tc>
          <w:tcPr>
            <w:tcW w:w="720" w:type="dxa"/>
            <w:tcBorders>
              <w:bottom w:val="single" w:sz="12" w:space="0" w:color="auto"/>
            </w:tcBorders>
          </w:tcPr>
          <w:p w:rsidR="003A2ADB" w:rsidRDefault="003A2ADB">
            <w:pPr>
              <w:ind w:right="-29"/>
              <w:jc w:val="center"/>
              <w:rPr>
                <w:noProof/>
                <w:sz w:val="18"/>
                <w:szCs w:val="18"/>
              </w:rPr>
            </w:pPr>
          </w:p>
        </w:tc>
        <w:tc>
          <w:tcPr>
            <w:tcW w:w="900" w:type="dxa"/>
            <w:tcBorders>
              <w:bottom w:val="single" w:sz="12" w:space="0" w:color="auto"/>
            </w:tcBorders>
          </w:tcPr>
          <w:p w:rsidR="003A2ADB" w:rsidRDefault="003A2ADB">
            <w:pPr>
              <w:ind w:right="-29"/>
              <w:jc w:val="center"/>
              <w:rPr>
                <w:noProof/>
                <w:sz w:val="18"/>
                <w:szCs w:val="18"/>
              </w:rPr>
            </w:pPr>
          </w:p>
        </w:tc>
        <w:tc>
          <w:tcPr>
            <w:tcW w:w="720" w:type="dxa"/>
            <w:gridSpan w:val="2"/>
            <w:tcBorders>
              <w:bottom w:val="single" w:sz="12" w:space="0" w:color="auto"/>
            </w:tcBorders>
          </w:tcPr>
          <w:p w:rsidR="003A2ADB" w:rsidRDefault="003A2ADB">
            <w:pPr>
              <w:ind w:right="-29"/>
              <w:jc w:val="center"/>
              <w:rPr>
                <w:noProof/>
                <w:sz w:val="18"/>
                <w:szCs w:val="18"/>
              </w:rPr>
            </w:pPr>
          </w:p>
        </w:tc>
        <w:tc>
          <w:tcPr>
            <w:tcW w:w="540" w:type="dxa"/>
            <w:tcBorders>
              <w:bottom w:val="single" w:sz="12" w:space="0" w:color="auto"/>
            </w:tcBorders>
          </w:tcPr>
          <w:p w:rsidR="003A2ADB" w:rsidRDefault="003A2ADB">
            <w:pPr>
              <w:ind w:right="-29"/>
              <w:jc w:val="center"/>
              <w:rPr>
                <w:noProof/>
                <w:sz w:val="18"/>
                <w:szCs w:val="18"/>
              </w:rPr>
            </w:pPr>
          </w:p>
        </w:tc>
        <w:tc>
          <w:tcPr>
            <w:tcW w:w="648" w:type="dxa"/>
            <w:tcBorders>
              <w:bottom w:val="single" w:sz="12" w:space="0" w:color="auto"/>
            </w:tcBorders>
          </w:tcPr>
          <w:p w:rsidR="003A2ADB" w:rsidRDefault="003A2ADB">
            <w:pPr>
              <w:ind w:right="-29"/>
              <w:jc w:val="center"/>
              <w:rPr>
                <w:noProof/>
                <w:sz w:val="18"/>
                <w:szCs w:val="18"/>
              </w:rPr>
            </w:pPr>
          </w:p>
        </w:tc>
        <w:tc>
          <w:tcPr>
            <w:tcW w:w="432" w:type="dxa"/>
            <w:tcBorders>
              <w:bottom w:val="single" w:sz="12" w:space="0" w:color="auto"/>
            </w:tcBorders>
          </w:tcPr>
          <w:p w:rsidR="003A2ADB" w:rsidRDefault="003A2ADB">
            <w:pPr>
              <w:ind w:right="-29"/>
              <w:jc w:val="center"/>
              <w:rPr>
                <w:noProof/>
                <w:sz w:val="18"/>
                <w:szCs w:val="18"/>
              </w:rPr>
            </w:pPr>
          </w:p>
        </w:tc>
        <w:tc>
          <w:tcPr>
            <w:tcW w:w="720" w:type="dxa"/>
            <w:tcBorders>
              <w:bottom w:val="single" w:sz="12" w:space="0" w:color="auto"/>
            </w:tcBorders>
          </w:tcPr>
          <w:p w:rsidR="003A2ADB" w:rsidRDefault="003A2ADB">
            <w:pPr>
              <w:ind w:right="-29"/>
              <w:jc w:val="center"/>
              <w:rPr>
                <w:noProof/>
                <w:sz w:val="18"/>
                <w:szCs w:val="18"/>
              </w:rPr>
            </w:pPr>
          </w:p>
        </w:tc>
        <w:tc>
          <w:tcPr>
            <w:tcW w:w="540" w:type="dxa"/>
            <w:tcBorders>
              <w:bottom w:val="single" w:sz="12" w:space="0" w:color="auto"/>
            </w:tcBorders>
          </w:tcPr>
          <w:p w:rsidR="003A2ADB" w:rsidRDefault="003A2ADB">
            <w:pPr>
              <w:ind w:right="-29"/>
              <w:jc w:val="center"/>
              <w:rPr>
                <w:noProof/>
                <w:sz w:val="18"/>
                <w:szCs w:val="18"/>
              </w:rPr>
            </w:pPr>
          </w:p>
        </w:tc>
        <w:tc>
          <w:tcPr>
            <w:tcW w:w="720" w:type="dxa"/>
            <w:tcBorders>
              <w:bottom w:val="single" w:sz="12" w:space="0" w:color="auto"/>
            </w:tcBorders>
          </w:tcPr>
          <w:p w:rsidR="003A2ADB" w:rsidRDefault="003A2ADB">
            <w:pPr>
              <w:ind w:right="-29"/>
              <w:jc w:val="center"/>
              <w:rPr>
                <w:noProof/>
                <w:sz w:val="18"/>
                <w:szCs w:val="18"/>
              </w:rPr>
            </w:pPr>
          </w:p>
        </w:tc>
        <w:tc>
          <w:tcPr>
            <w:tcW w:w="720" w:type="dxa"/>
            <w:tcBorders>
              <w:bottom w:val="single" w:sz="12" w:space="0" w:color="auto"/>
            </w:tcBorders>
          </w:tcPr>
          <w:p w:rsidR="003A2ADB" w:rsidRDefault="003A2ADB">
            <w:pPr>
              <w:ind w:right="-29"/>
              <w:jc w:val="center"/>
              <w:rPr>
                <w:noProof/>
                <w:sz w:val="18"/>
                <w:szCs w:val="18"/>
              </w:rPr>
            </w:pPr>
          </w:p>
        </w:tc>
        <w:tc>
          <w:tcPr>
            <w:tcW w:w="900" w:type="dxa"/>
            <w:tcBorders>
              <w:bottom w:val="single" w:sz="12" w:space="0" w:color="auto"/>
            </w:tcBorders>
          </w:tcPr>
          <w:p w:rsidR="003A2ADB" w:rsidRDefault="003A2ADB">
            <w:pPr>
              <w:ind w:right="-29"/>
              <w:jc w:val="center"/>
              <w:rPr>
                <w:noProof/>
                <w:sz w:val="18"/>
                <w:szCs w:val="18"/>
              </w:rPr>
            </w:pPr>
          </w:p>
        </w:tc>
      </w:tr>
      <w:tr w:rsidR="003A2ADB">
        <w:trPr>
          <w:jc w:val="center"/>
        </w:trPr>
        <w:tc>
          <w:tcPr>
            <w:tcW w:w="2844" w:type="dxa"/>
            <w:gridSpan w:val="3"/>
            <w:vAlign w:val="center"/>
          </w:tcPr>
          <w:p w:rsidR="003A2ADB" w:rsidRDefault="008A783E">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rsidR="003A2ADB" w:rsidRDefault="003A2ADB">
            <w:pPr>
              <w:spacing w:before="60" w:after="60"/>
              <w:ind w:right="-29"/>
              <w:jc w:val="center"/>
              <w:rPr>
                <w:noProof/>
                <w:sz w:val="18"/>
                <w:szCs w:val="18"/>
              </w:rPr>
            </w:pPr>
          </w:p>
        </w:tc>
        <w:tc>
          <w:tcPr>
            <w:tcW w:w="720" w:type="dxa"/>
            <w:tcBorders>
              <w:top w:val="nil"/>
              <w:left w:val="nil"/>
              <w:bottom w:val="nil"/>
              <w:right w:val="nil"/>
            </w:tcBorders>
          </w:tcPr>
          <w:p w:rsidR="003A2ADB" w:rsidRDefault="003A2ADB">
            <w:pPr>
              <w:spacing w:before="60" w:after="60"/>
              <w:ind w:right="-29"/>
              <w:jc w:val="center"/>
              <w:rPr>
                <w:noProof/>
                <w:sz w:val="18"/>
                <w:szCs w:val="18"/>
              </w:rPr>
            </w:pPr>
          </w:p>
        </w:tc>
        <w:tc>
          <w:tcPr>
            <w:tcW w:w="540" w:type="dxa"/>
            <w:tcBorders>
              <w:top w:val="nil"/>
              <w:left w:val="nil"/>
              <w:bottom w:val="nil"/>
              <w:right w:val="nil"/>
            </w:tcBorders>
          </w:tcPr>
          <w:p w:rsidR="003A2ADB" w:rsidRDefault="003A2ADB">
            <w:pPr>
              <w:spacing w:before="60" w:after="60"/>
              <w:ind w:right="-29"/>
              <w:jc w:val="center"/>
              <w:rPr>
                <w:noProof/>
                <w:sz w:val="18"/>
                <w:szCs w:val="18"/>
              </w:rPr>
            </w:pPr>
          </w:p>
        </w:tc>
        <w:tc>
          <w:tcPr>
            <w:tcW w:w="720" w:type="dxa"/>
            <w:tcBorders>
              <w:top w:val="nil"/>
              <w:left w:val="nil"/>
              <w:bottom w:val="nil"/>
              <w:right w:val="nil"/>
            </w:tcBorders>
          </w:tcPr>
          <w:p w:rsidR="003A2ADB" w:rsidRDefault="003A2ADB">
            <w:pPr>
              <w:spacing w:before="60" w:after="60"/>
              <w:ind w:right="-29"/>
              <w:jc w:val="center"/>
              <w:rPr>
                <w:noProof/>
                <w:sz w:val="18"/>
                <w:szCs w:val="18"/>
              </w:rPr>
            </w:pPr>
          </w:p>
        </w:tc>
        <w:tc>
          <w:tcPr>
            <w:tcW w:w="720" w:type="dxa"/>
            <w:tcBorders>
              <w:top w:val="nil"/>
              <w:left w:val="nil"/>
              <w:bottom w:val="nil"/>
              <w:right w:val="nil"/>
            </w:tcBorders>
          </w:tcPr>
          <w:p w:rsidR="003A2ADB" w:rsidRDefault="003A2ADB">
            <w:pPr>
              <w:spacing w:before="60" w:after="60"/>
              <w:ind w:right="-29"/>
              <w:jc w:val="center"/>
              <w:rPr>
                <w:noProof/>
                <w:sz w:val="18"/>
                <w:szCs w:val="18"/>
              </w:rPr>
            </w:pPr>
          </w:p>
        </w:tc>
        <w:tc>
          <w:tcPr>
            <w:tcW w:w="720" w:type="dxa"/>
            <w:tcBorders>
              <w:top w:val="nil"/>
              <w:left w:val="nil"/>
              <w:bottom w:val="nil"/>
              <w:right w:val="nil"/>
            </w:tcBorders>
          </w:tcPr>
          <w:p w:rsidR="003A2ADB" w:rsidRDefault="003A2ADB">
            <w:pPr>
              <w:spacing w:before="60" w:after="60"/>
              <w:ind w:right="-29"/>
              <w:jc w:val="center"/>
              <w:rPr>
                <w:noProof/>
                <w:sz w:val="18"/>
                <w:szCs w:val="18"/>
              </w:rPr>
            </w:pPr>
          </w:p>
        </w:tc>
        <w:tc>
          <w:tcPr>
            <w:tcW w:w="900" w:type="dxa"/>
            <w:tcBorders>
              <w:top w:val="nil"/>
              <w:left w:val="nil"/>
              <w:bottom w:val="nil"/>
              <w:right w:val="nil"/>
            </w:tcBorders>
          </w:tcPr>
          <w:p w:rsidR="003A2ADB" w:rsidRDefault="003A2ADB">
            <w:pPr>
              <w:spacing w:before="60" w:after="60"/>
              <w:ind w:right="-29"/>
              <w:jc w:val="center"/>
              <w:rPr>
                <w:noProof/>
                <w:sz w:val="18"/>
                <w:szCs w:val="18"/>
              </w:rPr>
            </w:pPr>
          </w:p>
        </w:tc>
        <w:tc>
          <w:tcPr>
            <w:tcW w:w="720" w:type="dxa"/>
            <w:gridSpan w:val="2"/>
            <w:tcBorders>
              <w:top w:val="nil"/>
              <w:left w:val="nil"/>
              <w:bottom w:val="nil"/>
              <w:right w:val="nil"/>
            </w:tcBorders>
          </w:tcPr>
          <w:p w:rsidR="003A2ADB" w:rsidRDefault="003A2ADB">
            <w:pPr>
              <w:spacing w:before="60" w:after="60"/>
              <w:ind w:right="-29"/>
              <w:jc w:val="center"/>
              <w:rPr>
                <w:noProof/>
                <w:sz w:val="18"/>
                <w:szCs w:val="18"/>
              </w:rPr>
            </w:pPr>
          </w:p>
        </w:tc>
        <w:tc>
          <w:tcPr>
            <w:tcW w:w="540" w:type="dxa"/>
            <w:tcBorders>
              <w:top w:val="nil"/>
              <w:left w:val="nil"/>
              <w:bottom w:val="nil"/>
              <w:right w:val="nil"/>
            </w:tcBorders>
          </w:tcPr>
          <w:p w:rsidR="003A2ADB" w:rsidRDefault="003A2ADB">
            <w:pPr>
              <w:spacing w:before="60" w:after="60"/>
              <w:ind w:right="-29"/>
              <w:jc w:val="center"/>
              <w:rPr>
                <w:noProof/>
                <w:sz w:val="18"/>
                <w:szCs w:val="18"/>
              </w:rPr>
            </w:pPr>
          </w:p>
        </w:tc>
        <w:tc>
          <w:tcPr>
            <w:tcW w:w="648" w:type="dxa"/>
            <w:tcBorders>
              <w:top w:val="nil"/>
              <w:left w:val="nil"/>
              <w:bottom w:val="nil"/>
              <w:right w:val="nil"/>
            </w:tcBorders>
          </w:tcPr>
          <w:p w:rsidR="003A2ADB" w:rsidRDefault="003A2ADB">
            <w:pPr>
              <w:spacing w:before="60" w:after="60"/>
              <w:ind w:right="-29"/>
              <w:jc w:val="center"/>
              <w:rPr>
                <w:noProof/>
                <w:sz w:val="18"/>
                <w:szCs w:val="18"/>
              </w:rPr>
            </w:pPr>
          </w:p>
        </w:tc>
        <w:tc>
          <w:tcPr>
            <w:tcW w:w="432" w:type="dxa"/>
            <w:tcBorders>
              <w:top w:val="nil"/>
              <w:left w:val="nil"/>
              <w:bottom w:val="nil"/>
              <w:right w:val="nil"/>
            </w:tcBorders>
          </w:tcPr>
          <w:p w:rsidR="003A2ADB" w:rsidRDefault="003A2ADB">
            <w:pPr>
              <w:spacing w:before="60" w:after="60"/>
              <w:ind w:right="-29"/>
              <w:jc w:val="center"/>
              <w:rPr>
                <w:noProof/>
                <w:sz w:val="18"/>
                <w:szCs w:val="18"/>
              </w:rPr>
            </w:pPr>
          </w:p>
        </w:tc>
        <w:tc>
          <w:tcPr>
            <w:tcW w:w="720" w:type="dxa"/>
            <w:tcBorders>
              <w:top w:val="nil"/>
              <w:left w:val="nil"/>
              <w:bottom w:val="nil"/>
              <w:right w:val="nil"/>
            </w:tcBorders>
          </w:tcPr>
          <w:p w:rsidR="003A2ADB" w:rsidRDefault="003A2ADB">
            <w:pPr>
              <w:spacing w:before="60" w:after="60"/>
              <w:ind w:right="-29"/>
              <w:jc w:val="center"/>
              <w:rPr>
                <w:noProof/>
                <w:sz w:val="18"/>
                <w:szCs w:val="18"/>
              </w:rPr>
            </w:pPr>
          </w:p>
        </w:tc>
        <w:tc>
          <w:tcPr>
            <w:tcW w:w="540" w:type="dxa"/>
            <w:tcBorders>
              <w:top w:val="nil"/>
              <w:left w:val="nil"/>
              <w:bottom w:val="nil"/>
              <w:right w:val="nil"/>
            </w:tcBorders>
          </w:tcPr>
          <w:p w:rsidR="003A2ADB" w:rsidRDefault="003A2ADB">
            <w:pPr>
              <w:spacing w:before="60" w:after="60"/>
              <w:ind w:right="-29"/>
              <w:jc w:val="center"/>
              <w:rPr>
                <w:noProof/>
                <w:sz w:val="18"/>
                <w:szCs w:val="18"/>
              </w:rPr>
            </w:pPr>
          </w:p>
        </w:tc>
        <w:tc>
          <w:tcPr>
            <w:tcW w:w="720" w:type="dxa"/>
            <w:tcBorders>
              <w:top w:val="nil"/>
              <w:left w:val="nil"/>
              <w:bottom w:val="nil"/>
              <w:right w:val="nil"/>
            </w:tcBorders>
          </w:tcPr>
          <w:p w:rsidR="003A2ADB" w:rsidRDefault="003A2ADB">
            <w:pPr>
              <w:spacing w:before="60" w:after="60"/>
              <w:ind w:right="-29"/>
              <w:jc w:val="center"/>
              <w:rPr>
                <w:noProof/>
                <w:sz w:val="18"/>
                <w:szCs w:val="18"/>
              </w:rPr>
            </w:pPr>
          </w:p>
        </w:tc>
        <w:tc>
          <w:tcPr>
            <w:tcW w:w="720" w:type="dxa"/>
            <w:tcBorders>
              <w:top w:val="nil"/>
              <w:left w:val="nil"/>
              <w:bottom w:val="nil"/>
              <w:right w:val="nil"/>
            </w:tcBorders>
          </w:tcPr>
          <w:p w:rsidR="003A2ADB" w:rsidRDefault="003A2ADB">
            <w:pPr>
              <w:spacing w:before="60" w:after="60"/>
              <w:ind w:right="-29"/>
              <w:jc w:val="center"/>
              <w:rPr>
                <w:noProof/>
                <w:sz w:val="18"/>
                <w:szCs w:val="18"/>
              </w:rPr>
            </w:pPr>
          </w:p>
        </w:tc>
        <w:tc>
          <w:tcPr>
            <w:tcW w:w="900" w:type="dxa"/>
            <w:tcBorders>
              <w:top w:val="nil"/>
              <w:left w:val="nil"/>
              <w:bottom w:val="nil"/>
              <w:right w:val="nil"/>
            </w:tcBorders>
          </w:tcPr>
          <w:p w:rsidR="003A2ADB" w:rsidRDefault="003A2ADB">
            <w:pPr>
              <w:spacing w:before="60" w:after="60"/>
              <w:ind w:right="-29"/>
              <w:jc w:val="center"/>
              <w:rPr>
                <w:noProof/>
                <w:sz w:val="18"/>
                <w:szCs w:val="18"/>
              </w:rPr>
            </w:pPr>
          </w:p>
        </w:tc>
      </w:tr>
      <w:tr w:rsidR="003A2ADB">
        <w:trPr>
          <w:trHeight w:hRule="exact" w:val="369"/>
          <w:jc w:val="center"/>
        </w:trPr>
        <w:tc>
          <w:tcPr>
            <w:tcW w:w="1423" w:type="dxa"/>
          </w:tcPr>
          <w:p w:rsidR="003A2ADB" w:rsidRDefault="008A783E">
            <w:pPr>
              <w:ind w:right="-29"/>
              <w:jc w:val="center"/>
              <w:rPr>
                <w:noProof/>
                <w:sz w:val="18"/>
                <w:szCs w:val="18"/>
              </w:rPr>
            </w:pPr>
            <w:r>
              <w:rPr>
                <w:noProof/>
                <w:sz w:val="18"/>
              </w:rPr>
              <w:t>- Output</w:t>
            </w:r>
          </w:p>
        </w:tc>
        <w:tc>
          <w:tcPr>
            <w:tcW w:w="720" w:type="dxa"/>
          </w:tcPr>
          <w:p w:rsidR="003A2ADB" w:rsidRDefault="003A2ADB">
            <w:pPr>
              <w:ind w:right="-29"/>
              <w:jc w:val="center"/>
              <w:rPr>
                <w:noProof/>
                <w:sz w:val="18"/>
                <w:szCs w:val="18"/>
              </w:rPr>
            </w:pPr>
          </w:p>
        </w:tc>
        <w:tc>
          <w:tcPr>
            <w:tcW w:w="701" w:type="dxa"/>
          </w:tcPr>
          <w:p w:rsidR="003A2ADB" w:rsidRDefault="003A2ADB">
            <w:pPr>
              <w:ind w:right="-29"/>
              <w:jc w:val="center"/>
              <w:rPr>
                <w:noProof/>
                <w:sz w:val="18"/>
                <w:szCs w:val="18"/>
              </w:rPr>
            </w:pPr>
          </w:p>
        </w:tc>
        <w:tc>
          <w:tcPr>
            <w:tcW w:w="504" w:type="dxa"/>
          </w:tcPr>
          <w:p w:rsidR="003A2ADB" w:rsidRDefault="003A2ADB">
            <w:pPr>
              <w:ind w:right="-29"/>
              <w:jc w:val="center"/>
              <w:rPr>
                <w:noProof/>
                <w:sz w:val="18"/>
                <w:szCs w:val="18"/>
              </w:rPr>
            </w:pPr>
          </w:p>
        </w:tc>
        <w:tc>
          <w:tcPr>
            <w:tcW w:w="720" w:type="dxa"/>
          </w:tcPr>
          <w:p w:rsidR="003A2ADB" w:rsidRDefault="003A2ADB">
            <w:pPr>
              <w:ind w:right="-29"/>
              <w:jc w:val="center"/>
              <w:rPr>
                <w:noProof/>
                <w:sz w:val="18"/>
                <w:szCs w:val="18"/>
              </w:rPr>
            </w:pPr>
          </w:p>
        </w:tc>
        <w:tc>
          <w:tcPr>
            <w:tcW w:w="540" w:type="dxa"/>
          </w:tcPr>
          <w:p w:rsidR="003A2ADB" w:rsidRDefault="003A2ADB">
            <w:pPr>
              <w:ind w:right="-29"/>
              <w:jc w:val="center"/>
              <w:rPr>
                <w:noProof/>
                <w:sz w:val="18"/>
                <w:szCs w:val="18"/>
              </w:rPr>
            </w:pPr>
          </w:p>
        </w:tc>
        <w:tc>
          <w:tcPr>
            <w:tcW w:w="720" w:type="dxa"/>
          </w:tcPr>
          <w:p w:rsidR="003A2ADB" w:rsidRDefault="003A2ADB">
            <w:pPr>
              <w:ind w:right="-29"/>
              <w:jc w:val="center"/>
              <w:rPr>
                <w:noProof/>
                <w:sz w:val="18"/>
                <w:szCs w:val="18"/>
              </w:rPr>
            </w:pPr>
          </w:p>
        </w:tc>
        <w:tc>
          <w:tcPr>
            <w:tcW w:w="720" w:type="dxa"/>
          </w:tcPr>
          <w:p w:rsidR="003A2ADB" w:rsidRDefault="003A2ADB">
            <w:pPr>
              <w:ind w:right="-29"/>
              <w:jc w:val="center"/>
              <w:rPr>
                <w:noProof/>
                <w:sz w:val="18"/>
                <w:szCs w:val="18"/>
              </w:rPr>
            </w:pPr>
          </w:p>
        </w:tc>
        <w:tc>
          <w:tcPr>
            <w:tcW w:w="720" w:type="dxa"/>
          </w:tcPr>
          <w:p w:rsidR="003A2ADB" w:rsidRDefault="003A2ADB">
            <w:pPr>
              <w:ind w:right="-29"/>
              <w:jc w:val="center"/>
              <w:rPr>
                <w:noProof/>
                <w:sz w:val="18"/>
                <w:szCs w:val="18"/>
              </w:rPr>
            </w:pPr>
          </w:p>
        </w:tc>
        <w:tc>
          <w:tcPr>
            <w:tcW w:w="900" w:type="dxa"/>
          </w:tcPr>
          <w:p w:rsidR="003A2ADB" w:rsidRDefault="003A2ADB">
            <w:pPr>
              <w:ind w:right="-29"/>
              <w:jc w:val="center"/>
              <w:rPr>
                <w:noProof/>
                <w:sz w:val="18"/>
                <w:szCs w:val="18"/>
              </w:rPr>
            </w:pPr>
          </w:p>
        </w:tc>
        <w:tc>
          <w:tcPr>
            <w:tcW w:w="720" w:type="dxa"/>
            <w:gridSpan w:val="2"/>
          </w:tcPr>
          <w:p w:rsidR="003A2ADB" w:rsidRDefault="003A2ADB">
            <w:pPr>
              <w:ind w:right="-29"/>
              <w:jc w:val="center"/>
              <w:rPr>
                <w:noProof/>
                <w:sz w:val="18"/>
                <w:szCs w:val="18"/>
              </w:rPr>
            </w:pPr>
          </w:p>
        </w:tc>
        <w:tc>
          <w:tcPr>
            <w:tcW w:w="540" w:type="dxa"/>
          </w:tcPr>
          <w:p w:rsidR="003A2ADB" w:rsidRDefault="003A2ADB">
            <w:pPr>
              <w:ind w:right="-29"/>
              <w:jc w:val="center"/>
              <w:rPr>
                <w:noProof/>
                <w:sz w:val="18"/>
                <w:szCs w:val="18"/>
              </w:rPr>
            </w:pPr>
          </w:p>
        </w:tc>
        <w:tc>
          <w:tcPr>
            <w:tcW w:w="648" w:type="dxa"/>
          </w:tcPr>
          <w:p w:rsidR="003A2ADB" w:rsidRDefault="003A2ADB">
            <w:pPr>
              <w:ind w:right="-29"/>
              <w:jc w:val="center"/>
              <w:rPr>
                <w:noProof/>
                <w:sz w:val="18"/>
                <w:szCs w:val="18"/>
              </w:rPr>
            </w:pPr>
          </w:p>
        </w:tc>
        <w:tc>
          <w:tcPr>
            <w:tcW w:w="432" w:type="dxa"/>
          </w:tcPr>
          <w:p w:rsidR="003A2ADB" w:rsidRDefault="003A2ADB">
            <w:pPr>
              <w:ind w:right="-29"/>
              <w:jc w:val="center"/>
              <w:rPr>
                <w:noProof/>
                <w:sz w:val="18"/>
                <w:szCs w:val="18"/>
              </w:rPr>
            </w:pPr>
          </w:p>
        </w:tc>
        <w:tc>
          <w:tcPr>
            <w:tcW w:w="720" w:type="dxa"/>
          </w:tcPr>
          <w:p w:rsidR="003A2ADB" w:rsidRDefault="003A2ADB">
            <w:pPr>
              <w:ind w:right="-29"/>
              <w:jc w:val="center"/>
              <w:rPr>
                <w:noProof/>
                <w:sz w:val="18"/>
                <w:szCs w:val="18"/>
              </w:rPr>
            </w:pPr>
          </w:p>
        </w:tc>
        <w:tc>
          <w:tcPr>
            <w:tcW w:w="540" w:type="dxa"/>
          </w:tcPr>
          <w:p w:rsidR="003A2ADB" w:rsidRDefault="003A2ADB">
            <w:pPr>
              <w:ind w:right="-29"/>
              <w:jc w:val="center"/>
              <w:rPr>
                <w:noProof/>
                <w:sz w:val="18"/>
                <w:szCs w:val="18"/>
              </w:rPr>
            </w:pPr>
          </w:p>
        </w:tc>
        <w:tc>
          <w:tcPr>
            <w:tcW w:w="720" w:type="dxa"/>
          </w:tcPr>
          <w:p w:rsidR="003A2ADB" w:rsidRDefault="003A2ADB">
            <w:pPr>
              <w:ind w:right="-29"/>
              <w:jc w:val="center"/>
              <w:rPr>
                <w:noProof/>
                <w:sz w:val="18"/>
                <w:szCs w:val="18"/>
              </w:rPr>
            </w:pPr>
          </w:p>
        </w:tc>
        <w:tc>
          <w:tcPr>
            <w:tcW w:w="720" w:type="dxa"/>
          </w:tcPr>
          <w:p w:rsidR="003A2ADB" w:rsidRDefault="003A2ADB">
            <w:pPr>
              <w:ind w:right="-29"/>
              <w:jc w:val="center"/>
              <w:rPr>
                <w:noProof/>
                <w:sz w:val="18"/>
                <w:szCs w:val="18"/>
              </w:rPr>
            </w:pPr>
          </w:p>
        </w:tc>
        <w:tc>
          <w:tcPr>
            <w:tcW w:w="900" w:type="dxa"/>
          </w:tcPr>
          <w:p w:rsidR="003A2ADB" w:rsidRDefault="003A2ADB">
            <w:pPr>
              <w:ind w:right="-29"/>
              <w:jc w:val="center"/>
              <w:rPr>
                <w:noProof/>
                <w:sz w:val="18"/>
                <w:szCs w:val="18"/>
              </w:rPr>
            </w:pPr>
          </w:p>
        </w:tc>
      </w:tr>
      <w:tr w:rsidR="003A2ADB">
        <w:trPr>
          <w:jc w:val="center"/>
        </w:trPr>
        <w:tc>
          <w:tcPr>
            <w:tcW w:w="2844" w:type="dxa"/>
            <w:gridSpan w:val="3"/>
            <w:tcBorders>
              <w:bottom w:val="single" w:sz="12" w:space="0" w:color="auto"/>
            </w:tcBorders>
            <w:vAlign w:val="center"/>
          </w:tcPr>
          <w:p w:rsidR="003A2ADB" w:rsidRDefault="008A783E">
            <w:pPr>
              <w:jc w:val="center"/>
              <w:rPr>
                <w:noProof/>
                <w:sz w:val="18"/>
                <w:szCs w:val="18"/>
              </w:rPr>
            </w:pPr>
            <w:r>
              <w:rPr>
                <w:noProof/>
                <w:sz w:val="18"/>
              </w:rPr>
              <w:t>Subtotal for specific objective No 2</w:t>
            </w:r>
          </w:p>
        </w:tc>
        <w:tc>
          <w:tcPr>
            <w:tcW w:w="504" w:type="dxa"/>
            <w:tcBorders>
              <w:bottom w:val="single" w:sz="12" w:space="0" w:color="auto"/>
            </w:tcBorders>
          </w:tcPr>
          <w:p w:rsidR="003A2ADB" w:rsidRDefault="003A2ADB">
            <w:pPr>
              <w:ind w:right="-29"/>
              <w:jc w:val="center"/>
              <w:rPr>
                <w:noProof/>
                <w:sz w:val="18"/>
                <w:szCs w:val="18"/>
              </w:rPr>
            </w:pPr>
          </w:p>
        </w:tc>
        <w:tc>
          <w:tcPr>
            <w:tcW w:w="720" w:type="dxa"/>
            <w:tcBorders>
              <w:bottom w:val="single" w:sz="12" w:space="0" w:color="auto"/>
            </w:tcBorders>
          </w:tcPr>
          <w:p w:rsidR="003A2ADB" w:rsidRDefault="003A2ADB">
            <w:pPr>
              <w:ind w:right="-29"/>
              <w:jc w:val="center"/>
              <w:rPr>
                <w:noProof/>
                <w:sz w:val="18"/>
                <w:szCs w:val="18"/>
              </w:rPr>
            </w:pPr>
          </w:p>
        </w:tc>
        <w:tc>
          <w:tcPr>
            <w:tcW w:w="540" w:type="dxa"/>
            <w:tcBorders>
              <w:bottom w:val="single" w:sz="12" w:space="0" w:color="auto"/>
            </w:tcBorders>
          </w:tcPr>
          <w:p w:rsidR="003A2ADB" w:rsidRDefault="003A2ADB">
            <w:pPr>
              <w:ind w:right="-29"/>
              <w:jc w:val="center"/>
              <w:rPr>
                <w:noProof/>
                <w:sz w:val="18"/>
                <w:szCs w:val="18"/>
              </w:rPr>
            </w:pPr>
          </w:p>
        </w:tc>
        <w:tc>
          <w:tcPr>
            <w:tcW w:w="720" w:type="dxa"/>
            <w:tcBorders>
              <w:bottom w:val="single" w:sz="12" w:space="0" w:color="auto"/>
            </w:tcBorders>
          </w:tcPr>
          <w:p w:rsidR="003A2ADB" w:rsidRDefault="003A2ADB">
            <w:pPr>
              <w:ind w:right="-29"/>
              <w:jc w:val="center"/>
              <w:rPr>
                <w:noProof/>
                <w:sz w:val="18"/>
                <w:szCs w:val="18"/>
              </w:rPr>
            </w:pPr>
          </w:p>
        </w:tc>
        <w:tc>
          <w:tcPr>
            <w:tcW w:w="720" w:type="dxa"/>
            <w:tcBorders>
              <w:bottom w:val="single" w:sz="12" w:space="0" w:color="auto"/>
            </w:tcBorders>
          </w:tcPr>
          <w:p w:rsidR="003A2ADB" w:rsidRDefault="003A2ADB">
            <w:pPr>
              <w:ind w:right="-29"/>
              <w:jc w:val="center"/>
              <w:rPr>
                <w:noProof/>
                <w:sz w:val="18"/>
                <w:szCs w:val="18"/>
              </w:rPr>
            </w:pPr>
          </w:p>
        </w:tc>
        <w:tc>
          <w:tcPr>
            <w:tcW w:w="720" w:type="dxa"/>
            <w:tcBorders>
              <w:bottom w:val="single" w:sz="12" w:space="0" w:color="auto"/>
            </w:tcBorders>
          </w:tcPr>
          <w:p w:rsidR="003A2ADB" w:rsidRDefault="003A2ADB">
            <w:pPr>
              <w:ind w:right="-29"/>
              <w:jc w:val="center"/>
              <w:rPr>
                <w:noProof/>
                <w:sz w:val="18"/>
                <w:szCs w:val="18"/>
              </w:rPr>
            </w:pPr>
          </w:p>
        </w:tc>
        <w:tc>
          <w:tcPr>
            <w:tcW w:w="951" w:type="dxa"/>
            <w:gridSpan w:val="2"/>
            <w:tcBorders>
              <w:bottom w:val="single" w:sz="12" w:space="0" w:color="auto"/>
            </w:tcBorders>
          </w:tcPr>
          <w:p w:rsidR="003A2ADB" w:rsidRDefault="003A2ADB">
            <w:pPr>
              <w:ind w:right="-29"/>
              <w:jc w:val="center"/>
              <w:rPr>
                <w:noProof/>
                <w:sz w:val="18"/>
                <w:szCs w:val="18"/>
              </w:rPr>
            </w:pPr>
          </w:p>
        </w:tc>
        <w:tc>
          <w:tcPr>
            <w:tcW w:w="669" w:type="dxa"/>
            <w:tcBorders>
              <w:bottom w:val="single" w:sz="12" w:space="0" w:color="auto"/>
            </w:tcBorders>
          </w:tcPr>
          <w:p w:rsidR="003A2ADB" w:rsidRDefault="003A2ADB">
            <w:pPr>
              <w:ind w:right="-29"/>
              <w:jc w:val="center"/>
              <w:rPr>
                <w:noProof/>
                <w:sz w:val="18"/>
                <w:szCs w:val="18"/>
              </w:rPr>
            </w:pPr>
          </w:p>
        </w:tc>
        <w:tc>
          <w:tcPr>
            <w:tcW w:w="540" w:type="dxa"/>
            <w:tcBorders>
              <w:bottom w:val="single" w:sz="12" w:space="0" w:color="auto"/>
            </w:tcBorders>
          </w:tcPr>
          <w:p w:rsidR="003A2ADB" w:rsidRDefault="003A2ADB">
            <w:pPr>
              <w:ind w:right="-29"/>
              <w:jc w:val="center"/>
              <w:rPr>
                <w:noProof/>
                <w:sz w:val="18"/>
                <w:szCs w:val="18"/>
              </w:rPr>
            </w:pPr>
          </w:p>
        </w:tc>
        <w:tc>
          <w:tcPr>
            <w:tcW w:w="648" w:type="dxa"/>
            <w:tcBorders>
              <w:bottom w:val="single" w:sz="12" w:space="0" w:color="auto"/>
            </w:tcBorders>
          </w:tcPr>
          <w:p w:rsidR="003A2ADB" w:rsidRDefault="003A2ADB">
            <w:pPr>
              <w:ind w:right="-29"/>
              <w:jc w:val="center"/>
              <w:rPr>
                <w:noProof/>
                <w:sz w:val="18"/>
                <w:szCs w:val="18"/>
              </w:rPr>
            </w:pPr>
          </w:p>
        </w:tc>
        <w:tc>
          <w:tcPr>
            <w:tcW w:w="432" w:type="dxa"/>
            <w:tcBorders>
              <w:bottom w:val="single" w:sz="12" w:space="0" w:color="auto"/>
            </w:tcBorders>
          </w:tcPr>
          <w:p w:rsidR="003A2ADB" w:rsidRDefault="003A2ADB">
            <w:pPr>
              <w:ind w:right="-29"/>
              <w:jc w:val="center"/>
              <w:rPr>
                <w:noProof/>
                <w:sz w:val="18"/>
                <w:szCs w:val="18"/>
              </w:rPr>
            </w:pPr>
          </w:p>
        </w:tc>
        <w:tc>
          <w:tcPr>
            <w:tcW w:w="720" w:type="dxa"/>
            <w:tcBorders>
              <w:bottom w:val="single" w:sz="12" w:space="0" w:color="auto"/>
            </w:tcBorders>
          </w:tcPr>
          <w:p w:rsidR="003A2ADB" w:rsidRDefault="003A2ADB">
            <w:pPr>
              <w:ind w:right="-29"/>
              <w:jc w:val="center"/>
              <w:rPr>
                <w:noProof/>
                <w:sz w:val="18"/>
                <w:szCs w:val="18"/>
              </w:rPr>
            </w:pPr>
          </w:p>
        </w:tc>
        <w:tc>
          <w:tcPr>
            <w:tcW w:w="540" w:type="dxa"/>
            <w:tcBorders>
              <w:bottom w:val="single" w:sz="12" w:space="0" w:color="auto"/>
            </w:tcBorders>
          </w:tcPr>
          <w:p w:rsidR="003A2ADB" w:rsidRDefault="003A2ADB">
            <w:pPr>
              <w:ind w:right="-29"/>
              <w:jc w:val="center"/>
              <w:rPr>
                <w:noProof/>
                <w:sz w:val="18"/>
                <w:szCs w:val="18"/>
              </w:rPr>
            </w:pPr>
          </w:p>
        </w:tc>
        <w:tc>
          <w:tcPr>
            <w:tcW w:w="720" w:type="dxa"/>
            <w:tcBorders>
              <w:bottom w:val="single" w:sz="12" w:space="0" w:color="auto"/>
            </w:tcBorders>
          </w:tcPr>
          <w:p w:rsidR="003A2ADB" w:rsidRDefault="003A2ADB">
            <w:pPr>
              <w:ind w:right="-29"/>
              <w:jc w:val="center"/>
              <w:rPr>
                <w:noProof/>
                <w:sz w:val="18"/>
                <w:szCs w:val="18"/>
              </w:rPr>
            </w:pPr>
          </w:p>
        </w:tc>
        <w:tc>
          <w:tcPr>
            <w:tcW w:w="720" w:type="dxa"/>
            <w:tcBorders>
              <w:bottom w:val="single" w:sz="12" w:space="0" w:color="auto"/>
            </w:tcBorders>
          </w:tcPr>
          <w:p w:rsidR="003A2ADB" w:rsidRDefault="003A2ADB">
            <w:pPr>
              <w:ind w:right="-29"/>
              <w:jc w:val="center"/>
              <w:rPr>
                <w:noProof/>
                <w:sz w:val="18"/>
                <w:szCs w:val="18"/>
              </w:rPr>
            </w:pPr>
          </w:p>
        </w:tc>
        <w:tc>
          <w:tcPr>
            <w:tcW w:w="900" w:type="dxa"/>
            <w:tcBorders>
              <w:bottom w:val="single" w:sz="12" w:space="0" w:color="auto"/>
            </w:tcBorders>
          </w:tcPr>
          <w:p w:rsidR="003A2ADB" w:rsidRDefault="003A2ADB">
            <w:pPr>
              <w:ind w:right="-29"/>
              <w:jc w:val="center"/>
              <w:rPr>
                <w:noProof/>
                <w:sz w:val="18"/>
                <w:szCs w:val="18"/>
              </w:rPr>
            </w:pPr>
          </w:p>
        </w:tc>
      </w:tr>
      <w:tr w:rsidR="003A2ADB">
        <w:trPr>
          <w:jc w:val="center"/>
        </w:trPr>
        <w:tc>
          <w:tcPr>
            <w:tcW w:w="2844" w:type="dxa"/>
            <w:gridSpan w:val="3"/>
            <w:tcBorders>
              <w:top w:val="single" w:sz="12" w:space="0" w:color="auto"/>
              <w:left w:val="single" w:sz="12" w:space="0" w:color="auto"/>
              <w:bottom w:val="single" w:sz="12" w:space="0" w:color="auto"/>
            </w:tcBorders>
            <w:vAlign w:val="center"/>
          </w:tcPr>
          <w:p w:rsidR="003A2ADB" w:rsidRDefault="008A783E">
            <w:pPr>
              <w:ind w:right="-29"/>
              <w:jc w:val="center"/>
              <w:rPr>
                <w:noProof/>
                <w:sz w:val="18"/>
                <w:szCs w:val="18"/>
              </w:rPr>
            </w:pPr>
            <w:r>
              <w:rPr>
                <w:b/>
                <w:noProof/>
                <w:sz w:val="18"/>
              </w:rPr>
              <w:t>TOTALS</w:t>
            </w:r>
          </w:p>
        </w:tc>
        <w:tc>
          <w:tcPr>
            <w:tcW w:w="504" w:type="dxa"/>
            <w:tcBorders>
              <w:top w:val="single" w:sz="12" w:space="0" w:color="auto"/>
              <w:bottom w:val="single" w:sz="12" w:space="0" w:color="auto"/>
            </w:tcBorders>
          </w:tcPr>
          <w:p w:rsidR="003A2ADB" w:rsidRDefault="003A2ADB">
            <w:pPr>
              <w:spacing w:before="180" w:after="180"/>
              <w:ind w:right="-29"/>
              <w:jc w:val="center"/>
              <w:rPr>
                <w:noProof/>
                <w:sz w:val="18"/>
                <w:szCs w:val="18"/>
              </w:rPr>
            </w:pPr>
          </w:p>
        </w:tc>
        <w:tc>
          <w:tcPr>
            <w:tcW w:w="720" w:type="dxa"/>
            <w:tcBorders>
              <w:top w:val="single" w:sz="12" w:space="0" w:color="auto"/>
              <w:bottom w:val="single" w:sz="12" w:space="0" w:color="auto"/>
            </w:tcBorders>
          </w:tcPr>
          <w:p w:rsidR="003A2ADB" w:rsidRDefault="003A2ADB">
            <w:pPr>
              <w:spacing w:before="180" w:after="180"/>
              <w:ind w:right="-29"/>
              <w:jc w:val="center"/>
              <w:rPr>
                <w:noProof/>
                <w:sz w:val="18"/>
                <w:szCs w:val="18"/>
              </w:rPr>
            </w:pPr>
          </w:p>
        </w:tc>
        <w:tc>
          <w:tcPr>
            <w:tcW w:w="540" w:type="dxa"/>
            <w:tcBorders>
              <w:top w:val="single" w:sz="12" w:space="0" w:color="auto"/>
              <w:bottom w:val="single" w:sz="12" w:space="0" w:color="auto"/>
            </w:tcBorders>
          </w:tcPr>
          <w:p w:rsidR="003A2ADB" w:rsidRDefault="003A2ADB">
            <w:pPr>
              <w:spacing w:before="180" w:after="180"/>
              <w:ind w:right="-29"/>
              <w:jc w:val="center"/>
              <w:rPr>
                <w:noProof/>
                <w:sz w:val="18"/>
                <w:szCs w:val="18"/>
              </w:rPr>
            </w:pPr>
          </w:p>
        </w:tc>
        <w:tc>
          <w:tcPr>
            <w:tcW w:w="720" w:type="dxa"/>
            <w:tcBorders>
              <w:top w:val="single" w:sz="12" w:space="0" w:color="auto"/>
              <w:bottom w:val="single" w:sz="12" w:space="0" w:color="auto"/>
            </w:tcBorders>
          </w:tcPr>
          <w:p w:rsidR="003A2ADB" w:rsidRDefault="003A2ADB">
            <w:pPr>
              <w:spacing w:before="180" w:after="180"/>
              <w:ind w:right="-29"/>
              <w:jc w:val="center"/>
              <w:rPr>
                <w:noProof/>
                <w:sz w:val="18"/>
                <w:szCs w:val="18"/>
              </w:rPr>
            </w:pPr>
          </w:p>
        </w:tc>
        <w:tc>
          <w:tcPr>
            <w:tcW w:w="720" w:type="dxa"/>
            <w:tcBorders>
              <w:top w:val="single" w:sz="12" w:space="0" w:color="auto"/>
              <w:bottom w:val="single" w:sz="12" w:space="0" w:color="auto"/>
            </w:tcBorders>
          </w:tcPr>
          <w:p w:rsidR="003A2ADB" w:rsidRDefault="003A2ADB">
            <w:pPr>
              <w:spacing w:before="180" w:after="180"/>
              <w:ind w:right="-29"/>
              <w:jc w:val="center"/>
              <w:rPr>
                <w:noProof/>
                <w:sz w:val="18"/>
                <w:szCs w:val="18"/>
              </w:rPr>
            </w:pPr>
          </w:p>
        </w:tc>
        <w:tc>
          <w:tcPr>
            <w:tcW w:w="720" w:type="dxa"/>
            <w:tcBorders>
              <w:top w:val="single" w:sz="12" w:space="0" w:color="auto"/>
              <w:bottom w:val="single" w:sz="12" w:space="0" w:color="auto"/>
            </w:tcBorders>
          </w:tcPr>
          <w:p w:rsidR="003A2ADB" w:rsidRDefault="003A2ADB">
            <w:pPr>
              <w:spacing w:before="180" w:after="180"/>
              <w:ind w:right="-29"/>
              <w:jc w:val="center"/>
              <w:rPr>
                <w:noProof/>
                <w:sz w:val="18"/>
                <w:szCs w:val="18"/>
              </w:rPr>
            </w:pPr>
          </w:p>
        </w:tc>
        <w:tc>
          <w:tcPr>
            <w:tcW w:w="900" w:type="dxa"/>
            <w:tcBorders>
              <w:top w:val="single" w:sz="12" w:space="0" w:color="auto"/>
              <w:bottom w:val="single" w:sz="12" w:space="0" w:color="auto"/>
            </w:tcBorders>
          </w:tcPr>
          <w:p w:rsidR="003A2ADB" w:rsidRDefault="003A2ADB">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3A2ADB" w:rsidRDefault="003A2ADB">
            <w:pPr>
              <w:spacing w:before="180" w:after="180"/>
              <w:ind w:right="-29"/>
              <w:jc w:val="center"/>
              <w:rPr>
                <w:noProof/>
                <w:sz w:val="18"/>
                <w:szCs w:val="18"/>
              </w:rPr>
            </w:pPr>
          </w:p>
        </w:tc>
        <w:tc>
          <w:tcPr>
            <w:tcW w:w="540" w:type="dxa"/>
            <w:tcBorders>
              <w:top w:val="single" w:sz="12" w:space="0" w:color="auto"/>
              <w:bottom w:val="single" w:sz="12" w:space="0" w:color="auto"/>
            </w:tcBorders>
          </w:tcPr>
          <w:p w:rsidR="003A2ADB" w:rsidRDefault="003A2ADB">
            <w:pPr>
              <w:spacing w:before="180" w:after="180"/>
              <w:ind w:right="-29"/>
              <w:jc w:val="center"/>
              <w:rPr>
                <w:noProof/>
                <w:sz w:val="18"/>
                <w:szCs w:val="18"/>
              </w:rPr>
            </w:pPr>
          </w:p>
        </w:tc>
        <w:tc>
          <w:tcPr>
            <w:tcW w:w="648" w:type="dxa"/>
            <w:tcBorders>
              <w:top w:val="single" w:sz="12" w:space="0" w:color="auto"/>
              <w:bottom w:val="single" w:sz="12" w:space="0" w:color="auto"/>
            </w:tcBorders>
          </w:tcPr>
          <w:p w:rsidR="003A2ADB" w:rsidRDefault="003A2ADB">
            <w:pPr>
              <w:spacing w:before="180" w:after="180"/>
              <w:ind w:right="-29"/>
              <w:jc w:val="center"/>
              <w:rPr>
                <w:noProof/>
                <w:sz w:val="18"/>
                <w:szCs w:val="18"/>
              </w:rPr>
            </w:pPr>
          </w:p>
        </w:tc>
        <w:tc>
          <w:tcPr>
            <w:tcW w:w="432" w:type="dxa"/>
            <w:tcBorders>
              <w:top w:val="single" w:sz="12" w:space="0" w:color="auto"/>
              <w:bottom w:val="single" w:sz="12" w:space="0" w:color="auto"/>
            </w:tcBorders>
          </w:tcPr>
          <w:p w:rsidR="003A2ADB" w:rsidRDefault="003A2ADB">
            <w:pPr>
              <w:spacing w:before="180" w:after="180"/>
              <w:ind w:right="-29"/>
              <w:jc w:val="center"/>
              <w:rPr>
                <w:noProof/>
                <w:sz w:val="18"/>
                <w:szCs w:val="18"/>
              </w:rPr>
            </w:pPr>
          </w:p>
        </w:tc>
        <w:tc>
          <w:tcPr>
            <w:tcW w:w="720" w:type="dxa"/>
            <w:tcBorders>
              <w:top w:val="single" w:sz="12" w:space="0" w:color="auto"/>
              <w:bottom w:val="single" w:sz="12" w:space="0" w:color="auto"/>
            </w:tcBorders>
          </w:tcPr>
          <w:p w:rsidR="003A2ADB" w:rsidRDefault="003A2ADB">
            <w:pPr>
              <w:spacing w:before="180" w:after="180"/>
              <w:ind w:right="-29"/>
              <w:jc w:val="center"/>
              <w:rPr>
                <w:noProof/>
                <w:sz w:val="18"/>
                <w:szCs w:val="18"/>
              </w:rPr>
            </w:pPr>
          </w:p>
        </w:tc>
        <w:tc>
          <w:tcPr>
            <w:tcW w:w="540" w:type="dxa"/>
            <w:tcBorders>
              <w:top w:val="single" w:sz="12" w:space="0" w:color="auto"/>
              <w:bottom w:val="single" w:sz="12" w:space="0" w:color="auto"/>
            </w:tcBorders>
          </w:tcPr>
          <w:p w:rsidR="003A2ADB" w:rsidRDefault="003A2ADB">
            <w:pPr>
              <w:spacing w:before="180" w:after="180"/>
              <w:ind w:right="-29"/>
              <w:jc w:val="center"/>
              <w:rPr>
                <w:noProof/>
                <w:sz w:val="18"/>
                <w:szCs w:val="18"/>
              </w:rPr>
            </w:pPr>
          </w:p>
        </w:tc>
        <w:tc>
          <w:tcPr>
            <w:tcW w:w="720" w:type="dxa"/>
            <w:tcBorders>
              <w:top w:val="single" w:sz="12" w:space="0" w:color="auto"/>
              <w:bottom w:val="single" w:sz="12" w:space="0" w:color="auto"/>
            </w:tcBorders>
          </w:tcPr>
          <w:p w:rsidR="003A2ADB" w:rsidRDefault="003A2ADB">
            <w:pPr>
              <w:spacing w:before="180" w:after="180"/>
              <w:ind w:right="-29"/>
              <w:jc w:val="center"/>
              <w:rPr>
                <w:noProof/>
                <w:sz w:val="18"/>
                <w:szCs w:val="18"/>
              </w:rPr>
            </w:pPr>
          </w:p>
        </w:tc>
        <w:tc>
          <w:tcPr>
            <w:tcW w:w="720" w:type="dxa"/>
            <w:tcBorders>
              <w:top w:val="single" w:sz="12" w:space="0" w:color="auto"/>
              <w:bottom w:val="single" w:sz="12" w:space="0" w:color="auto"/>
            </w:tcBorders>
          </w:tcPr>
          <w:p w:rsidR="003A2ADB" w:rsidRDefault="003A2ADB">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3A2ADB" w:rsidRDefault="003A2ADB">
            <w:pPr>
              <w:spacing w:before="180" w:after="180"/>
              <w:ind w:right="-29"/>
              <w:jc w:val="center"/>
              <w:rPr>
                <w:noProof/>
                <w:sz w:val="18"/>
                <w:szCs w:val="18"/>
              </w:rPr>
            </w:pPr>
          </w:p>
        </w:tc>
      </w:tr>
    </w:tbl>
    <w:p w:rsidR="003A2ADB" w:rsidRDefault="003A2ADB">
      <w:pPr>
        <w:rPr>
          <w:noProof/>
        </w:rPr>
        <w:sectPr w:rsidR="003A2ADB">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rsidR="003A2ADB" w:rsidRDefault="008A783E">
      <w:pPr>
        <w:pStyle w:val="ManualHeading3"/>
        <w:rPr>
          <w:bCs/>
          <w:noProof/>
          <w:szCs w:val="24"/>
        </w:rPr>
      </w:pPr>
      <w:bookmarkStart w:id="47" w:name="_Toc514938055"/>
      <w:bookmarkStart w:id="48" w:name="_Toc520485054"/>
      <w:r>
        <w:rPr>
          <w:noProof/>
        </w:rPr>
        <w:t>3.2.3.</w:t>
      </w:r>
      <w:r>
        <w:rPr>
          <w:noProof/>
        </w:rPr>
        <w:tab/>
        <w:t>Summary of estimated impact on administrative appropriations</w:t>
      </w:r>
      <w:bookmarkEnd w:id="47"/>
      <w:bookmarkEnd w:id="48"/>
      <w:r>
        <w:rPr>
          <w:noProof/>
        </w:rPr>
        <w:t xml:space="preserve"> </w:t>
      </w:r>
    </w:p>
    <w:p w:rsidR="003A2ADB" w:rsidRDefault="008A783E">
      <w:pPr>
        <w:pStyle w:val="ListDash1"/>
        <w:rPr>
          <w:noProof/>
        </w:rPr>
      </w:pPr>
      <w:r>
        <w:rPr>
          <w:noProof/>
        </w:rPr>
        <w:sym w:font="Wingdings" w:char="F078"/>
      </w:r>
      <w:r>
        <w:rPr>
          <w:noProof/>
        </w:rPr>
        <w:tab/>
        <w:t xml:space="preserve">The proposal/initiative does not require the use of appropriations of an administrative nature </w:t>
      </w:r>
    </w:p>
    <w:p w:rsidR="003A2ADB" w:rsidRDefault="008A783E">
      <w:pPr>
        <w:pStyle w:val="ListDash1"/>
        <w:rPr>
          <w:noProof/>
        </w:rPr>
      </w:pPr>
      <w:r>
        <w:rPr>
          <w:noProof/>
        </w:rPr>
        <w:t xml:space="preserve">The appropriations required </w:t>
      </w:r>
      <w:r>
        <w:rPr>
          <w:noProof/>
        </w:rPr>
        <w:t>for human resources and other expenditure of an administrative nature will be met by appropriations from the managing DG that are already assigned to management of the action and/or have been redeployed within the DG, together if necessary with any additio</w:t>
      </w:r>
      <w:r>
        <w:rPr>
          <w:noProof/>
        </w:rPr>
        <w:t>nal allocation which may be granted to the DG under the annual allocation procedure and in the light of budgetary constraints.</w:t>
      </w:r>
    </w:p>
    <w:p w:rsidR="003A2ADB" w:rsidRDefault="008A783E">
      <w:pPr>
        <w:pStyle w:val="ListDash1"/>
        <w:rPr>
          <w:noProof/>
        </w:rPr>
      </w:pPr>
      <w:r>
        <w:rPr>
          <w:noProof/>
        </w:rPr>
        <w:sym w:font="Wingdings" w:char="F0A8"/>
      </w:r>
      <w:r>
        <w:rPr>
          <w:noProof/>
        </w:rPr>
        <w:tab/>
        <w:t>The proposal/initiative requires the use of appropriations of an administrative nature, as explained below:</w:t>
      </w:r>
    </w:p>
    <w:p w:rsidR="003A2ADB" w:rsidRDefault="008A783E">
      <w:pPr>
        <w:jc w:val="right"/>
        <w:rPr>
          <w:noProof/>
          <w:sz w:val="20"/>
        </w:rPr>
      </w:pPr>
      <w:r>
        <w:rPr>
          <w:noProof/>
          <w:sz w:val="20"/>
        </w:rPr>
        <w:t>EUR million (to thr</w:t>
      </w:r>
      <w:r>
        <w:rPr>
          <w:noProof/>
          <w:sz w:val="20"/>
        </w:rPr>
        <w:t>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3A2ADB">
        <w:trPr>
          <w:trHeight w:val="585"/>
        </w:trPr>
        <w:tc>
          <w:tcPr>
            <w:tcW w:w="1980" w:type="dxa"/>
          </w:tcPr>
          <w:p w:rsidR="003A2ADB" w:rsidRDefault="003A2ADB">
            <w:pPr>
              <w:spacing w:before="60" w:after="60" w:line="200" w:lineRule="exact"/>
              <w:rPr>
                <w:noProof/>
                <w:sz w:val="16"/>
                <w:szCs w:val="16"/>
              </w:rPr>
            </w:pPr>
          </w:p>
        </w:tc>
        <w:tc>
          <w:tcPr>
            <w:tcW w:w="1080" w:type="dxa"/>
            <w:vAlign w:val="center"/>
          </w:tcPr>
          <w:p w:rsidR="003A2ADB" w:rsidRDefault="008A783E">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22"/>
            </w:r>
          </w:p>
        </w:tc>
        <w:tc>
          <w:tcPr>
            <w:tcW w:w="1080" w:type="dxa"/>
            <w:vAlign w:val="center"/>
          </w:tcPr>
          <w:p w:rsidR="003A2ADB" w:rsidRDefault="008A783E">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rsidR="003A2ADB" w:rsidRDefault="008A783E">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rsidR="003A2ADB" w:rsidRDefault="008A783E">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rsidR="003A2ADB" w:rsidRDefault="008A783E">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rsidR="003A2ADB" w:rsidRDefault="008A783E">
            <w:pPr>
              <w:spacing w:before="60" w:after="60" w:line="200" w:lineRule="exact"/>
              <w:jc w:val="center"/>
              <w:rPr>
                <w:b/>
                <w:noProof/>
                <w:sz w:val="16"/>
                <w:szCs w:val="16"/>
              </w:rPr>
            </w:pPr>
            <w:r>
              <w:rPr>
                <w:b/>
                <w:noProof/>
                <w:sz w:val="16"/>
              </w:rPr>
              <w:t>TOTAL</w:t>
            </w:r>
          </w:p>
        </w:tc>
      </w:tr>
    </w:tbl>
    <w:p w:rsidR="003A2ADB" w:rsidRDefault="003A2AD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A2ADB">
        <w:trPr>
          <w:trHeight w:val="585"/>
        </w:trPr>
        <w:tc>
          <w:tcPr>
            <w:tcW w:w="1980" w:type="dxa"/>
            <w:shd w:val="clear" w:color="auto" w:fill="CCCCCC"/>
            <w:vAlign w:val="center"/>
          </w:tcPr>
          <w:p w:rsidR="003A2ADB" w:rsidRDefault="008A783E">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b/>
                <w:noProof/>
                <w:sz w:val="16"/>
                <w:szCs w:val="16"/>
              </w:rPr>
            </w:pPr>
          </w:p>
        </w:tc>
        <w:tc>
          <w:tcPr>
            <w:tcW w:w="1080" w:type="dxa"/>
            <w:vAlign w:val="center"/>
          </w:tcPr>
          <w:p w:rsidR="003A2ADB" w:rsidRDefault="003A2ADB">
            <w:pPr>
              <w:spacing w:before="60" w:after="60" w:line="200" w:lineRule="exact"/>
              <w:jc w:val="right"/>
              <w:rPr>
                <w:b/>
                <w:noProof/>
                <w:sz w:val="16"/>
                <w:szCs w:val="16"/>
              </w:rPr>
            </w:pPr>
          </w:p>
        </w:tc>
      </w:tr>
      <w:tr w:rsidR="003A2ADB">
        <w:trPr>
          <w:trHeight w:val="585"/>
        </w:trPr>
        <w:tc>
          <w:tcPr>
            <w:tcW w:w="1980" w:type="dxa"/>
            <w:vAlign w:val="center"/>
          </w:tcPr>
          <w:p w:rsidR="003A2ADB" w:rsidRDefault="008A783E">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b/>
                <w:noProof/>
                <w:sz w:val="16"/>
                <w:szCs w:val="16"/>
              </w:rPr>
            </w:pPr>
          </w:p>
        </w:tc>
        <w:tc>
          <w:tcPr>
            <w:tcW w:w="1080" w:type="dxa"/>
            <w:vAlign w:val="center"/>
          </w:tcPr>
          <w:p w:rsidR="003A2ADB" w:rsidRDefault="003A2ADB">
            <w:pPr>
              <w:spacing w:before="60" w:after="60" w:line="200" w:lineRule="exact"/>
              <w:jc w:val="right"/>
              <w:rPr>
                <w:b/>
                <w:noProof/>
                <w:sz w:val="16"/>
                <w:szCs w:val="16"/>
              </w:rPr>
            </w:pPr>
          </w:p>
        </w:tc>
      </w:tr>
      <w:tr w:rsidR="003A2ADB">
        <w:trPr>
          <w:trHeight w:val="585"/>
        </w:trPr>
        <w:tc>
          <w:tcPr>
            <w:tcW w:w="1980" w:type="dxa"/>
            <w:vAlign w:val="center"/>
          </w:tcPr>
          <w:p w:rsidR="003A2ADB" w:rsidRDefault="008A783E">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b/>
                <w:noProof/>
                <w:sz w:val="16"/>
                <w:szCs w:val="16"/>
              </w:rPr>
            </w:pPr>
          </w:p>
        </w:tc>
        <w:tc>
          <w:tcPr>
            <w:tcW w:w="1080" w:type="dxa"/>
            <w:vAlign w:val="center"/>
          </w:tcPr>
          <w:p w:rsidR="003A2ADB" w:rsidRDefault="003A2ADB">
            <w:pPr>
              <w:spacing w:before="60" w:after="60" w:line="200" w:lineRule="exact"/>
              <w:jc w:val="right"/>
              <w:rPr>
                <w:b/>
                <w:noProof/>
                <w:sz w:val="16"/>
                <w:szCs w:val="16"/>
              </w:rPr>
            </w:pPr>
          </w:p>
        </w:tc>
      </w:tr>
      <w:tr w:rsidR="003A2ADB">
        <w:trPr>
          <w:trHeight w:val="585"/>
        </w:trPr>
        <w:tc>
          <w:tcPr>
            <w:tcW w:w="1980" w:type="dxa"/>
            <w:shd w:val="clear" w:color="auto" w:fill="CCCCCC"/>
            <w:vAlign w:val="center"/>
          </w:tcPr>
          <w:p w:rsidR="003A2ADB" w:rsidRDefault="008A783E">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b/>
                <w:noProof/>
                <w:sz w:val="16"/>
                <w:szCs w:val="16"/>
              </w:rPr>
            </w:pPr>
          </w:p>
        </w:tc>
        <w:tc>
          <w:tcPr>
            <w:tcW w:w="1080" w:type="dxa"/>
            <w:vAlign w:val="center"/>
          </w:tcPr>
          <w:p w:rsidR="003A2ADB" w:rsidRDefault="003A2ADB">
            <w:pPr>
              <w:spacing w:before="60" w:after="60" w:line="200" w:lineRule="exact"/>
              <w:jc w:val="right"/>
              <w:rPr>
                <w:b/>
                <w:noProof/>
                <w:sz w:val="16"/>
                <w:szCs w:val="16"/>
              </w:rPr>
            </w:pPr>
          </w:p>
        </w:tc>
      </w:tr>
    </w:tbl>
    <w:p w:rsidR="003A2ADB" w:rsidRDefault="003A2AD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A2ADB">
        <w:trPr>
          <w:trHeight w:val="585"/>
        </w:trPr>
        <w:tc>
          <w:tcPr>
            <w:tcW w:w="1980" w:type="dxa"/>
            <w:shd w:val="clear" w:color="auto" w:fill="CCCCCC"/>
            <w:vAlign w:val="center"/>
          </w:tcPr>
          <w:p w:rsidR="003A2ADB" w:rsidRDefault="008A783E">
            <w:pPr>
              <w:spacing w:before="60" w:after="60" w:line="200" w:lineRule="exact"/>
              <w:jc w:val="center"/>
              <w:rPr>
                <w:noProof/>
                <w:sz w:val="16"/>
                <w:szCs w:val="16"/>
              </w:rPr>
            </w:pPr>
            <w:r>
              <w:rPr>
                <w:b/>
                <w:noProof/>
                <w:sz w:val="16"/>
              </w:rPr>
              <w:t>Outside HEADING 5</w:t>
            </w:r>
            <w:r>
              <w:rPr>
                <w:rStyle w:val="FootnoteReference"/>
                <w:b/>
                <w:noProof/>
                <w:sz w:val="16"/>
              </w:rPr>
              <w:footnoteReference w:id="23"/>
            </w:r>
            <w:r>
              <w:rPr>
                <w:noProof/>
                <w:sz w:val="22"/>
              </w:rPr>
              <w:br/>
            </w:r>
            <w:r>
              <w:rPr>
                <w:b/>
                <w:noProof/>
                <w:sz w:val="16"/>
              </w:rPr>
              <w:t xml:space="preserve">of the multiannual financial framework </w:t>
            </w:r>
          </w:p>
          <w:p w:rsidR="003A2ADB" w:rsidRDefault="003A2ADB">
            <w:pPr>
              <w:spacing w:before="0" w:after="0" w:line="200" w:lineRule="exact"/>
              <w:jc w:val="center"/>
              <w:rPr>
                <w:b/>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b/>
                <w:noProof/>
                <w:sz w:val="16"/>
                <w:szCs w:val="16"/>
              </w:rPr>
            </w:pPr>
          </w:p>
        </w:tc>
        <w:tc>
          <w:tcPr>
            <w:tcW w:w="1080" w:type="dxa"/>
            <w:vAlign w:val="center"/>
          </w:tcPr>
          <w:p w:rsidR="003A2ADB" w:rsidRDefault="003A2ADB">
            <w:pPr>
              <w:spacing w:before="60" w:after="60" w:line="200" w:lineRule="exact"/>
              <w:jc w:val="right"/>
              <w:rPr>
                <w:b/>
                <w:noProof/>
                <w:sz w:val="16"/>
                <w:szCs w:val="16"/>
              </w:rPr>
            </w:pPr>
          </w:p>
        </w:tc>
      </w:tr>
      <w:tr w:rsidR="003A2ADB">
        <w:trPr>
          <w:trHeight w:val="585"/>
        </w:trPr>
        <w:tc>
          <w:tcPr>
            <w:tcW w:w="1980" w:type="dxa"/>
            <w:vAlign w:val="center"/>
          </w:tcPr>
          <w:p w:rsidR="003A2ADB" w:rsidRDefault="008A783E">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b/>
                <w:noProof/>
                <w:sz w:val="16"/>
                <w:szCs w:val="16"/>
              </w:rPr>
            </w:pPr>
          </w:p>
        </w:tc>
        <w:tc>
          <w:tcPr>
            <w:tcW w:w="1080" w:type="dxa"/>
            <w:vAlign w:val="center"/>
          </w:tcPr>
          <w:p w:rsidR="003A2ADB" w:rsidRDefault="003A2ADB">
            <w:pPr>
              <w:spacing w:before="60" w:after="60" w:line="200" w:lineRule="exact"/>
              <w:jc w:val="right"/>
              <w:rPr>
                <w:b/>
                <w:noProof/>
                <w:sz w:val="16"/>
                <w:szCs w:val="16"/>
              </w:rPr>
            </w:pPr>
          </w:p>
        </w:tc>
      </w:tr>
      <w:tr w:rsidR="003A2ADB">
        <w:trPr>
          <w:trHeight w:val="585"/>
        </w:trPr>
        <w:tc>
          <w:tcPr>
            <w:tcW w:w="1980" w:type="dxa"/>
            <w:vAlign w:val="center"/>
          </w:tcPr>
          <w:p w:rsidR="003A2ADB" w:rsidRDefault="008A783E">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b/>
                <w:noProof/>
                <w:sz w:val="16"/>
                <w:szCs w:val="16"/>
              </w:rPr>
            </w:pPr>
          </w:p>
        </w:tc>
        <w:tc>
          <w:tcPr>
            <w:tcW w:w="1080" w:type="dxa"/>
            <w:vAlign w:val="center"/>
          </w:tcPr>
          <w:p w:rsidR="003A2ADB" w:rsidRDefault="003A2ADB">
            <w:pPr>
              <w:spacing w:before="60" w:after="60" w:line="200" w:lineRule="exact"/>
              <w:jc w:val="right"/>
              <w:rPr>
                <w:b/>
                <w:noProof/>
                <w:sz w:val="16"/>
                <w:szCs w:val="16"/>
              </w:rPr>
            </w:pPr>
          </w:p>
        </w:tc>
      </w:tr>
      <w:tr w:rsidR="003A2ADB">
        <w:trPr>
          <w:trHeight w:val="585"/>
        </w:trPr>
        <w:tc>
          <w:tcPr>
            <w:tcW w:w="1980" w:type="dxa"/>
            <w:shd w:val="clear" w:color="auto" w:fill="CCCCCC"/>
            <w:vAlign w:val="center"/>
          </w:tcPr>
          <w:p w:rsidR="003A2ADB" w:rsidRDefault="008A783E">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noProof/>
                <w:sz w:val="16"/>
                <w:szCs w:val="16"/>
              </w:rPr>
            </w:pPr>
          </w:p>
        </w:tc>
        <w:tc>
          <w:tcPr>
            <w:tcW w:w="1080" w:type="dxa"/>
            <w:vAlign w:val="center"/>
          </w:tcPr>
          <w:p w:rsidR="003A2ADB" w:rsidRDefault="003A2ADB">
            <w:pPr>
              <w:spacing w:before="60" w:after="60" w:line="200" w:lineRule="exact"/>
              <w:jc w:val="right"/>
              <w:rPr>
                <w:b/>
                <w:noProof/>
                <w:sz w:val="16"/>
                <w:szCs w:val="16"/>
              </w:rPr>
            </w:pPr>
          </w:p>
        </w:tc>
        <w:tc>
          <w:tcPr>
            <w:tcW w:w="1080" w:type="dxa"/>
            <w:vAlign w:val="center"/>
          </w:tcPr>
          <w:p w:rsidR="003A2ADB" w:rsidRDefault="003A2ADB">
            <w:pPr>
              <w:spacing w:before="60" w:after="60" w:line="200" w:lineRule="exact"/>
              <w:jc w:val="right"/>
              <w:rPr>
                <w:b/>
                <w:noProof/>
                <w:sz w:val="16"/>
                <w:szCs w:val="16"/>
              </w:rPr>
            </w:pPr>
          </w:p>
        </w:tc>
      </w:tr>
    </w:tbl>
    <w:p w:rsidR="003A2ADB" w:rsidRDefault="003A2ADB">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A2ADB">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3A2ADB" w:rsidRDefault="008A783E">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3A2ADB" w:rsidRDefault="003A2AD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3A2ADB" w:rsidRDefault="003A2AD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3A2ADB" w:rsidRDefault="003A2AD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3A2ADB" w:rsidRDefault="003A2AD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3A2ADB" w:rsidRDefault="003A2AD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3A2ADB" w:rsidRDefault="003A2AD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3A2ADB" w:rsidRDefault="003A2AD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3A2ADB" w:rsidRDefault="003A2ADB">
            <w:pPr>
              <w:spacing w:before="60" w:after="60" w:line="200" w:lineRule="exact"/>
              <w:jc w:val="right"/>
              <w:rPr>
                <w:b/>
                <w:noProof/>
                <w:sz w:val="16"/>
                <w:szCs w:val="16"/>
              </w:rPr>
            </w:pPr>
          </w:p>
        </w:tc>
      </w:tr>
    </w:tbl>
    <w:p w:rsidR="003A2ADB" w:rsidRDefault="003A2ADB">
      <w:pPr>
        <w:rPr>
          <w:noProof/>
          <w:sz w:val="18"/>
        </w:rPr>
      </w:pPr>
    </w:p>
    <w:p w:rsidR="003A2ADB" w:rsidRDefault="003A2ADB">
      <w:pPr>
        <w:rPr>
          <w:noProof/>
          <w:sz w:val="18"/>
        </w:rPr>
        <w:sectPr w:rsidR="003A2ADB">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rsidR="003A2ADB" w:rsidRDefault="008A783E">
      <w:pPr>
        <w:pStyle w:val="ManualHeading4"/>
        <w:rPr>
          <w:bCs/>
          <w:noProof/>
          <w:szCs w:val="24"/>
        </w:rPr>
      </w:pPr>
      <w:r>
        <w:rPr>
          <w:noProof/>
        </w:rPr>
        <w:t>3.2.3.1.</w:t>
      </w:r>
      <w:r>
        <w:rPr>
          <w:noProof/>
        </w:rPr>
        <w:tab/>
        <w:t xml:space="preserve">Estimated requirements of human resources </w:t>
      </w:r>
    </w:p>
    <w:p w:rsidR="003A2ADB" w:rsidRDefault="008A783E">
      <w:pPr>
        <w:pStyle w:val="ListDash1"/>
        <w:rPr>
          <w:noProof/>
        </w:rPr>
      </w:pPr>
      <w:r>
        <w:rPr>
          <w:noProof/>
        </w:rPr>
        <w:sym w:font="Wingdings" w:char="F078"/>
      </w:r>
      <w:r>
        <w:rPr>
          <w:noProof/>
        </w:rPr>
        <w:tab/>
      </w:r>
      <w:r>
        <w:rPr>
          <w:noProof/>
        </w:rPr>
        <w:t xml:space="preserve">The proposal/initiative does not require the use of human resources. </w:t>
      </w:r>
    </w:p>
    <w:p w:rsidR="003A2ADB" w:rsidRDefault="008A783E">
      <w:pPr>
        <w:pStyle w:val="ListDash1"/>
        <w:rPr>
          <w:noProof/>
        </w:rPr>
      </w:pPr>
      <w:r>
        <w:rPr>
          <w:noProof/>
        </w:rPr>
        <w:t>The appropriations required for human resources and other expenditure of an administrative nature will be met by appropriations from the managing DG that are already assigned to manageme</w:t>
      </w:r>
      <w:r>
        <w:rPr>
          <w:noProof/>
        </w:rPr>
        <w:t>nt of the action and/or have been redeployed within the DG, together if necessary with any additional allocation which may be granted to the DG under the annual allocation procedure and in the light of budgetary constraints.</w:t>
      </w:r>
    </w:p>
    <w:p w:rsidR="003A2ADB" w:rsidRDefault="008A783E">
      <w:pPr>
        <w:pStyle w:val="ListDash1"/>
        <w:rPr>
          <w:noProof/>
        </w:rPr>
      </w:pPr>
      <w:r>
        <w:rPr>
          <w:noProof/>
        </w:rPr>
        <w:sym w:font="Wingdings" w:char="F0A8"/>
      </w:r>
      <w:r>
        <w:rPr>
          <w:noProof/>
        </w:rPr>
        <w:tab/>
        <w:t>The proposal/initiative requi</w:t>
      </w:r>
      <w:r>
        <w:rPr>
          <w:noProof/>
        </w:rPr>
        <w:t>res the use of human resources, as explained below:</w:t>
      </w:r>
    </w:p>
    <w:p w:rsidR="003A2ADB" w:rsidRDefault="008A783E">
      <w:pPr>
        <w:spacing w:after="60"/>
        <w:jc w:val="right"/>
        <w:rPr>
          <w:i/>
          <w:noProof/>
          <w:sz w:val="20"/>
        </w:rPr>
      </w:pPr>
      <w:r>
        <w:rPr>
          <w:i/>
          <w:noProof/>
          <w:sz w:val="20"/>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3A2ADB">
        <w:trPr>
          <w:gridBefore w:val="1"/>
          <w:wBefore w:w="13" w:type="dxa"/>
          <w:trHeight w:val="289"/>
          <w:jc w:val="center"/>
        </w:trPr>
        <w:tc>
          <w:tcPr>
            <w:tcW w:w="3906" w:type="dxa"/>
            <w:gridSpan w:val="2"/>
            <w:shd w:val="clear" w:color="auto" w:fill="auto"/>
          </w:tcPr>
          <w:p w:rsidR="003A2ADB" w:rsidRDefault="003A2ADB">
            <w:pPr>
              <w:pStyle w:val="Text1"/>
              <w:spacing w:before="40" w:after="40"/>
              <w:ind w:left="0"/>
              <w:jc w:val="center"/>
              <w:rPr>
                <w:i/>
                <w:noProof/>
                <w:sz w:val="16"/>
                <w:szCs w:val="16"/>
              </w:rPr>
            </w:pPr>
          </w:p>
        </w:tc>
        <w:tc>
          <w:tcPr>
            <w:tcW w:w="600" w:type="dxa"/>
            <w:shd w:val="clear" w:color="auto" w:fill="auto"/>
            <w:vAlign w:val="center"/>
          </w:tcPr>
          <w:p w:rsidR="003A2ADB" w:rsidRDefault="008A783E">
            <w:pPr>
              <w:spacing w:before="20" w:after="20"/>
              <w:jc w:val="center"/>
              <w:rPr>
                <w:noProof/>
                <w:sz w:val="16"/>
                <w:szCs w:val="16"/>
              </w:rPr>
            </w:pPr>
            <w:r>
              <w:rPr>
                <w:noProof/>
                <w:sz w:val="16"/>
              </w:rPr>
              <w:t>Year</w:t>
            </w:r>
            <w:r>
              <w:rPr>
                <w:noProof/>
                <w:sz w:val="22"/>
              </w:rPr>
              <w:br/>
            </w:r>
            <w:r>
              <w:rPr>
                <w:b/>
                <w:noProof/>
                <w:sz w:val="16"/>
              </w:rPr>
              <w:t>N</w:t>
            </w:r>
          </w:p>
        </w:tc>
        <w:tc>
          <w:tcPr>
            <w:tcW w:w="600" w:type="dxa"/>
            <w:shd w:val="clear" w:color="auto" w:fill="auto"/>
            <w:vAlign w:val="center"/>
          </w:tcPr>
          <w:p w:rsidR="003A2ADB" w:rsidRDefault="008A783E">
            <w:pPr>
              <w:spacing w:before="20" w:after="20"/>
              <w:jc w:val="center"/>
              <w:rPr>
                <w:noProof/>
                <w:sz w:val="16"/>
                <w:szCs w:val="16"/>
              </w:rPr>
            </w:pPr>
            <w:r>
              <w:rPr>
                <w:noProof/>
                <w:sz w:val="16"/>
              </w:rPr>
              <w:t>Year</w:t>
            </w:r>
            <w:r>
              <w:rPr>
                <w:noProof/>
                <w:sz w:val="22"/>
              </w:rPr>
              <w:br/>
            </w:r>
            <w:r>
              <w:rPr>
                <w:b/>
                <w:noProof/>
                <w:sz w:val="16"/>
              </w:rPr>
              <w:t>N+1</w:t>
            </w:r>
          </w:p>
        </w:tc>
        <w:tc>
          <w:tcPr>
            <w:tcW w:w="600" w:type="dxa"/>
            <w:shd w:val="clear" w:color="auto" w:fill="auto"/>
            <w:vAlign w:val="center"/>
          </w:tcPr>
          <w:p w:rsidR="003A2ADB" w:rsidRDefault="008A783E">
            <w:pPr>
              <w:spacing w:before="20" w:after="20"/>
              <w:jc w:val="center"/>
              <w:rPr>
                <w:noProof/>
                <w:sz w:val="16"/>
                <w:szCs w:val="16"/>
              </w:rPr>
            </w:pPr>
            <w:r>
              <w:rPr>
                <w:noProof/>
                <w:sz w:val="16"/>
                <w:szCs w:val="16"/>
              </w:rPr>
              <w:t xml:space="preserve">Year </w:t>
            </w:r>
            <w:r>
              <w:rPr>
                <w:b/>
                <w:noProof/>
                <w:sz w:val="16"/>
                <w:szCs w:val="16"/>
              </w:rPr>
              <w:t>N+2</w:t>
            </w:r>
          </w:p>
        </w:tc>
        <w:tc>
          <w:tcPr>
            <w:tcW w:w="600" w:type="dxa"/>
            <w:shd w:val="clear" w:color="auto" w:fill="auto"/>
            <w:vAlign w:val="center"/>
          </w:tcPr>
          <w:p w:rsidR="003A2ADB" w:rsidRDefault="008A783E">
            <w:pPr>
              <w:spacing w:before="20" w:after="20"/>
              <w:jc w:val="center"/>
              <w:rPr>
                <w:noProof/>
                <w:sz w:val="16"/>
                <w:szCs w:val="16"/>
              </w:rPr>
            </w:pPr>
            <w:r>
              <w:rPr>
                <w:noProof/>
                <w:sz w:val="16"/>
                <w:szCs w:val="16"/>
              </w:rPr>
              <w:t xml:space="preserve">Year </w:t>
            </w:r>
            <w:r>
              <w:rPr>
                <w:b/>
                <w:noProof/>
                <w:sz w:val="16"/>
                <w:szCs w:val="16"/>
              </w:rPr>
              <w:t>N+3</w:t>
            </w:r>
          </w:p>
        </w:tc>
        <w:tc>
          <w:tcPr>
            <w:tcW w:w="600" w:type="dxa"/>
            <w:gridSpan w:val="3"/>
            <w:shd w:val="clear" w:color="auto" w:fill="auto"/>
            <w:vAlign w:val="center"/>
          </w:tcPr>
          <w:p w:rsidR="003A2ADB" w:rsidRDefault="008A783E">
            <w:pPr>
              <w:jc w:val="center"/>
              <w:rPr>
                <w:b/>
                <w:noProof/>
                <w:sz w:val="16"/>
                <w:szCs w:val="16"/>
              </w:rPr>
            </w:pPr>
            <w:r>
              <w:rPr>
                <w:noProof/>
                <w:sz w:val="16"/>
              </w:rPr>
              <w:t>Enter as many years as necessary to show the duration of the impact (see point 1.6)</w:t>
            </w:r>
          </w:p>
        </w:tc>
      </w:tr>
      <w:tr w:rsidR="003A2ADB">
        <w:trPr>
          <w:gridBefore w:val="1"/>
          <w:wBefore w:w="13" w:type="dxa"/>
          <w:trHeight w:val="289"/>
          <w:jc w:val="center"/>
        </w:trPr>
        <w:tc>
          <w:tcPr>
            <w:tcW w:w="600" w:type="dxa"/>
            <w:gridSpan w:val="9"/>
            <w:shd w:val="clear" w:color="auto" w:fill="auto"/>
          </w:tcPr>
          <w:p w:rsidR="003A2ADB" w:rsidRDefault="008A783E">
            <w:pPr>
              <w:jc w:val="left"/>
              <w:rPr>
                <w:noProof/>
                <w:sz w:val="16"/>
                <w:szCs w:val="16"/>
              </w:rPr>
            </w:pPr>
            <w:r>
              <w:rPr>
                <w:b/>
                <w:noProof/>
                <w:sz w:val="16"/>
              </w:rPr>
              <w:sym w:font="Wingdings" w:char="F09F"/>
            </w:r>
            <w:r>
              <w:rPr>
                <w:b/>
                <w:noProof/>
                <w:sz w:val="16"/>
              </w:rPr>
              <w:t xml:space="preserve"> Establishment plan posts (officials and temporary staff)</w:t>
            </w:r>
          </w:p>
        </w:tc>
      </w:tr>
      <w:tr w:rsidR="003A2ADB">
        <w:trPr>
          <w:gridBefore w:val="1"/>
          <w:wBefore w:w="13" w:type="dxa"/>
          <w:trHeight w:val="289"/>
          <w:jc w:val="center"/>
        </w:trPr>
        <w:tc>
          <w:tcPr>
            <w:tcW w:w="3906" w:type="dxa"/>
            <w:gridSpan w:val="2"/>
            <w:shd w:val="clear" w:color="auto" w:fill="auto"/>
            <w:vAlign w:val="center"/>
          </w:tcPr>
          <w:p w:rsidR="003A2ADB" w:rsidRDefault="008A783E">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r>
      <w:tr w:rsidR="003A2ADB">
        <w:trPr>
          <w:gridBefore w:val="1"/>
          <w:wBefore w:w="13" w:type="dxa"/>
          <w:trHeight w:val="289"/>
          <w:jc w:val="center"/>
        </w:trPr>
        <w:tc>
          <w:tcPr>
            <w:tcW w:w="3906" w:type="dxa"/>
            <w:gridSpan w:val="2"/>
            <w:shd w:val="clear" w:color="auto" w:fill="auto"/>
            <w:vAlign w:val="center"/>
          </w:tcPr>
          <w:p w:rsidR="003A2ADB" w:rsidRDefault="008A783E">
            <w:pPr>
              <w:pStyle w:val="Text1"/>
              <w:spacing w:beforeLines="20" w:before="48" w:afterLines="20" w:after="48"/>
              <w:ind w:left="134"/>
              <w:jc w:val="left"/>
              <w:rPr>
                <w:noProof/>
                <w:sz w:val="16"/>
                <w:szCs w:val="16"/>
              </w:rPr>
            </w:pPr>
            <w:r>
              <w:rPr>
                <w:noProof/>
                <w:sz w:val="16"/>
              </w:rPr>
              <w:t>XX 01 01 02 (Delegations)</w:t>
            </w: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r>
      <w:tr w:rsidR="003A2ADB">
        <w:trPr>
          <w:gridBefore w:val="1"/>
          <w:wBefore w:w="13" w:type="dxa"/>
          <w:trHeight w:val="289"/>
          <w:jc w:val="center"/>
        </w:trPr>
        <w:tc>
          <w:tcPr>
            <w:tcW w:w="3906" w:type="dxa"/>
            <w:gridSpan w:val="2"/>
            <w:shd w:val="clear" w:color="auto" w:fill="auto"/>
            <w:vAlign w:val="center"/>
          </w:tcPr>
          <w:p w:rsidR="003A2ADB" w:rsidRDefault="008A783E">
            <w:pPr>
              <w:pStyle w:val="Text1"/>
              <w:spacing w:beforeLines="20" w:before="48" w:afterLines="20" w:after="48"/>
              <w:ind w:left="134"/>
              <w:jc w:val="left"/>
              <w:rPr>
                <w:noProof/>
                <w:sz w:val="16"/>
                <w:szCs w:val="16"/>
              </w:rPr>
            </w:pPr>
            <w:r>
              <w:rPr>
                <w:noProof/>
                <w:sz w:val="16"/>
              </w:rPr>
              <w:t>XX 01 05 01/11/21 (Indirect research)</w:t>
            </w: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r>
      <w:tr w:rsidR="003A2ADB">
        <w:trPr>
          <w:gridBefore w:val="1"/>
          <w:wBefore w:w="13" w:type="dxa"/>
          <w:trHeight w:val="289"/>
          <w:jc w:val="center"/>
        </w:trPr>
        <w:tc>
          <w:tcPr>
            <w:tcW w:w="3906" w:type="dxa"/>
            <w:gridSpan w:val="2"/>
            <w:shd w:val="clear" w:color="auto" w:fill="auto"/>
            <w:vAlign w:val="center"/>
          </w:tcPr>
          <w:p w:rsidR="003A2ADB" w:rsidRDefault="008A783E">
            <w:pPr>
              <w:pStyle w:val="Text1"/>
              <w:spacing w:beforeLines="20" w:before="48" w:afterLines="20" w:after="48"/>
              <w:ind w:left="134"/>
              <w:jc w:val="left"/>
              <w:rPr>
                <w:noProof/>
                <w:sz w:val="16"/>
                <w:szCs w:val="16"/>
              </w:rPr>
            </w:pPr>
            <w:r>
              <w:rPr>
                <w:noProof/>
                <w:sz w:val="16"/>
              </w:rPr>
              <w:t>10 01 05 01/11 (Direct research)</w:t>
            </w: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r>
      <w:tr w:rsidR="003A2ADB">
        <w:trPr>
          <w:trHeight w:val="248"/>
          <w:jc w:val="center"/>
        </w:trPr>
        <w:tc>
          <w:tcPr>
            <w:tcW w:w="600" w:type="dxa"/>
            <w:gridSpan w:val="10"/>
            <w:shd w:val="clear" w:color="auto" w:fill="auto"/>
            <w:vAlign w:val="center"/>
          </w:tcPr>
          <w:p w:rsidR="003A2ADB" w:rsidRDefault="008A783E">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4"/>
            </w:r>
          </w:p>
          <w:p w:rsidR="003A2ADB" w:rsidRDefault="003A2ADB">
            <w:pPr>
              <w:pStyle w:val="Text1"/>
              <w:spacing w:before="0" w:after="0"/>
              <w:ind w:left="0"/>
              <w:jc w:val="left"/>
              <w:rPr>
                <w:noProof/>
                <w:sz w:val="16"/>
                <w:szCs w:val="16"/>
              </w:rPr>
            </w:pPr>
          </w:p>
        </w:tc>
      </w:tr>
      <w:tr w:rsidR="003A2ADB">
        <w:trPr>
          <w:gridBefore w:val="1"/>
          <w:wBefore w:w="13" w:type="dxa"/>
          <w:trHeight w:val="289"/>
          <w:jc w:val="center"/>
        </w:trPr>
        <w:tc>
          <w:tcPr>
            <w:tcW w:w="3906" w:type="dxa"/>
            <w:gridSpan w:val="2"/>
            <w:shd w:val="clear" w:color="auto" w:fill="auto"/>
            <w:vAlign w:val="center"/>
          </w:tcPr>
          <w:p w:rsidR="003A2ADB" w:rsidRDefault="008A783E">
            <w:pPr>
              <w:pStyle w:val="Text1"/>
              <w:spacing w:beforeLines="20" w:before="48" w:afterLines="20" w:after="48"/>
              <w:ind w:left="136"/>
              <w:jc w:val="left"/>
              <w:rPr>
                <w:b/>
                <w:noProof/>
                <w:sz w:val="16"/>
                <w:szCs w:val="16"/>
              </w:rPr>
            </w:pPr>
            <w:r>
              <w:rPr>
                <w:noProof/>
                <w:sz w:val="16"/>
              </w:rPr>
              <w:t>XX 01 02 01 (AC, END, INT from the ‘global envelope’)</w:t>
            </w: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r>
      <w:tr w:rsidR="003A2ADB">
        <w:trPr>
          <w:gridBefore w:val="1"/>
          <w:wBefore w:w="13" w:type="dxa"/>
          <w:trHeight w:val="289"/>
          <w:jc w:val="center"/>
        </w:trPr>
        <w:tc>
          <w:tcPr>
            <w:tcW w:w="3906" w:type="dxa"/>
            <w:gridSpan w:val="2"/>
            <w:shd w:val="clear" w:color="auto" w:fill="auto"/>
            <w:vAlign w:val="center"/>
          </w:tcPr>
          <w:p w:rsidR="003A2ADB" w:rsidRDefault="008A783E">
            <w:pPr>
              <w:pStyle w:val="Text1"/>
              <w:spacing w:beforeLines="20" w:before="48" w:afterLines="20" w:after="48"/>
              <w:ind w:left="136"/>
              <w:jc w:val="left"/>
              <w:rPr>
                <w:noProof/>
                <w:sz w:val="16"/>
                <w:szCs w:val="16"/>
              </w:rPr>
            </w:pPr>
            <w:r>
              <w:rPr>
                <w:noProof/>
                <w:sz w:val="16"/>
              </w:rPr>
              <w:t>XX 01 02 02 (AC, AL, END, INT and JPD in the delegations)</w:t>
            </w: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r>
      <w:tr w:rsidR="003A2ADB">
        <w:trPr>
          <w:gridBefore w:val="1"/>
          <w:wBefore w:w="13" w:type="dxa"/>
          <w:trHeight w:val="289"/>
          <w:jc w:val="center"/>
        </w:trPr>
        <w:tc>
          <w:tcPr>
            <w:tcW w:w="1952" w:type="dxa"/>
            <w:vMerge w:val="restart"/>
            <w:shd w:val="clear" w:color="auto" w:fill="auto"/>
            <w:vAlign w:val="center"/>
          </w:tcPr>
          <w:p w:rsidR="003A2ADB" w:rsidRDefault="008A783E">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5"/>
            </w:r>
          </w:p>
          <w:p w:rsidR="003A2ADB" w:rsidRDefault="003A2ADB">
            <w:pPr>
              <w:pStyle w:val="Text1"/>
              <w:spacing w:beforeLines="20" w:before="48" w:afterLines="20" w:after="48"/>
              <w:ind w:left="136"/>
              <w:jc w:val="left"/>
              <w:rPr>
                <w:b/>
                <w:noProof/>
                <w:sz w:val="16"/>
                <w:szCs w:val="16"/>
              </w:rPr>
            </w:pPr>
          </w:p>
        </w:tc>
        <w:tc>
          <w:tcPr>
            <w:tcW w:w="1954" w:type="dxa"/>
            <w:shd w:val="clear" w:color="auto" w:fill="auto"/>
            <w:vAlign w:val="center"/>
          </w:tcPr>
          <w:p w:rsidR="003A2ADB" w:rsidRDefault="008A783E">
            <w:pPr>
              <w:pStyle w:val="Text1"/>
              <w:spacing w:beforeLines="20" w:before="48" w:afterLines="20" w:after="48"/>
              <w:ind w:left="136"/>
              <w:jc w:val="left"/>
              <w:rPr>
                <w:b/>
                <w:noProof/>
                <w:sz w:val="16"/>
                <w:szCs w:val="16"/>
              </w:rPr>
            </w:pPr>
            <w:r>
              <w:rPr>
                <w:noProof/>
                <w:sz w:val="16"/>
              </w:rPr>
              <w:t>- at Headquarters</w:t>
            </w:r>
          </w:p>
          <w:p w:rsidR="003A2ADB" w:rsidRDefault="003A2ADB">
            <w:pPr>
              <w:pStyle w:val="Text1"/>
              <w:spacing w:beforeLines="20" w:before="48" w:afterLines="20" w:after="48"/>
              <w:ind w:left="136"/>
              <w:jc w:val="left"/>
              <w:rPr>
                <w:b/>
                <w:noProof/>
                <w:sz w:val="16"/>
                <w:szCs w:val="16"/>
              </w:rPr>
            </w:pPr>
          </w:p>
        </w:tc>
        <w:tc>
          <w:tcPr>
            <w:tcW w:w="600" w:type="dxa"/>
            <w:shd w:val="clear" w:color="auto" w:fill="auto"/>
            <w:vAlign w:val="center"/>
          </w:tcPr>
          <w:p w:rsidR="003A2ADB" w:rsidRDefault="003A2ADB">
            <w:pPr>
              <w:pStyle w:val="Text1"/>
              <w:spacing w:beforeLines="20" w:before="48" w:afterLines="20" w:after="48"/>
              <w:ind w:left="0"/>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r>
      <w:tr w:rsidR="003A2ADB">
        <w:trPr>
          <w:gridBefore w:val="1"/>
          <w:wBefore w:w="13" w:type="dxa"/>
          <w:trHeight w:val="289"/>
          <w:jc w:val="center"/>
        </w:trPr>
        <w:tc>
          <w:tcPr>
            <w:tcW w:w="1952" w:type="dxa"/>
            <w:vMerge/>
            <w:shd w:val="clear" w:color="auto" w:fill="auto"/>
            <w:vAlign w:val="center"/>
          </w:tcPr>
          <w:p w:rsidR="003A2ADB" w:rsidRDefault="003A2ADB">
            <w:pPr>
              <w:pStyle w:val="Text1"/>
              <w:spacing w:beforeLines="20" w:before="48" w:afterLines="20" w:after="48"/>
              <w:ind w:left="136"/>
              <w:jc w:val="left"/>
              <w:rPr>
                <w:b/>
                <w:noProof/>
                <w:sz w:val="16"/>
                <w:szCs w:val="16"/>
              </w:rPr>
            </w:pPr>
          </w:p>
        </w:tc>
        <w:tc>
          <w:tcPr>
            <w:tcW w:w="1954" w:type="dxa"/>
            <w:shd w:val="clear" w:color="auto" w:fill="auto"/>
            <w:vAlign w:val="center"/>
          </w:tcPr>
          <w:p w:rsidR="003A2ADB" w:rsidRDefault="008A783E">
            <w:pPr>
              <w:pStyle w:val="Text1"/>
              <w:spacing w:beforeLines="20" w:before="48" w:afterLines="20" w:after="48"/>
              <w:ind w:left="136"/>
              <w:jc w:val="left"/>
              <w:rPr>
                <w:b/>
                <w:noProof/>
                <w:sz w:val="16"/>
                <w:szCs w:val="16"/>
              </w:rPr>
            </w:pPr>
            <w:r>
              <w:rPr>
                <w:noProof/>
                <w:sz w:val="16"/>
              </w:rPr>
              <w:t xml:space="preserve">- in Delegations </w:t>
            </w:r>
          </w:p>
        </w:tc>
        <w:tc>
          <w:tcPr>
            <w:tcW w:w="600" w:type="dxa"/>
            <w:shd w:val="clear" w:color="auto" w:fill="auto"/>
            <w:vAlign w:val="center"/>
          </w:tcPr>
          <w:p w:rsidR="003A2ADB" w:rsidRDefault="003A2ADB">
            <w:pPr>
              <w:pStyle w:val="Text1"/>
              <w:spacing w:beforeLines="20" w:before="48" w:afterLines="20" w:after="48"/>
              <w:ind w:left="0"/>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r>
      <w:tr w:rsidR="003A2ADB">
        <w:trPr>
          <w:gridBefore w:val="1"/>
          <w:wBefore w:w="13" w:type="dxa"/>
          <w:trHeight w:val="289"/>
          <w:jc w:val="center"/>
        </w:trPr>
        <w:tc>
          <w:tcPr>
            <w:tcW w:w="3906" w:type="dxa"/>
            <w:gridSpan w:val="2"/>
            <w:shd w:val="clear" w:color="auto" w:fill="auto"/>
            <w:vAlign w:val="center"/>
          </w:tcPr>
          <w:p w:rsidR="003A2ADB" w:rsidRDefault="008A783E">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02/12/22 (AC, END, INT - Indirect research)</w:t>
            </w: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r>
      <w:tr w:rsidR="003A2ADB">
        <w:trPr>
          <w:gridBefore w:val="1"/>
          <w:wBefore w:w="13" w:type="dxa"/>
          <w:trHeight w:val="289"/>
          <w:jc w:val="center"/>
        </w:trPr>
        <w:tc>
          <w:tcPr>
            <w:tcW w:w="3906" w:type="dxa"/>
            <w:gridSpan w:val="2"/>
            <w:shd w:val="clear" w:color="auto" w:fill="auto"/>
            <w:vAlign w:val="center"/>
          </w:tcPr>
          <w:p w:rsidR="003A2ADB" w:rsidRDefault="008A783E">
            <w:pPr>
              <w:pStyle w:val="Text1"/>
              <w:spacing w:beforeLines="20" w:before="48" w:afterLines="20" w:after="48"/>
              <w:ind w:left="136"/>
              <w:jc w:val="left"/>
              <w:rPr>
                <w:noProof/>
                <w:sz w:val="16"/>
                <w:szCs w:val="16"/>
              </w:rPr>
            </w:pPr>
            <w:r>
              <w:rPr>
                <w:noProof/>
                <w:sz w:val="16"/>
              </w:rPr>
              <w:t>10 01 05 02/12 (AC, END, INT - Direct research)</w:t>
            </w: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c>
          <w:tcPr>
            <w:tcW w:w="600" w:type="dxa"/>
            <w:shd w:val="clear" w:color="auto" w:fill="auto"/>
            <w:vAlign w:val="center"/>
          </w:tcPr>
          <w:p w:rsidR="003A2ADB" w:rsidRDefault="003A2ADB">
            <w:pPr>
              <w:spacing w:beforeLines="20" w:before="48" w:afterLines="20" w:after="48"/>
              <w:jc w:val="center"/>
              <w:rPr>
                <w:noProof/>
                <w:sz w:val="16"/>
                <w:szCs w:val="16"/>
              </w:rPr>
            </w:pPr>
          </w:p>
        </w:tc>
      </w:tr>
      <w:tr w:rsidR="003A2ADB">
        <w:trPr>
          <w:gridBefore w:val="1"/>
          <w:wBefore w:w="13" w:type="dxa"/>
          <w:trHeight w:val="289"/>
          <w:jc w:val="center"/>
        </w:trPr>
        <w:tc>
          <w:tcPr>
            <w:tcW w:w="3906" w:type="dxa"/>
            <w:gridSpan w:val="2"/>
            <w:tcBorders>
              <w:bottom w:val="double" w:sz="4" w:space="0" w:color="auto"/>
            </w:tcBorders>
            <w:shd w:val="clear" w:color="auto" w:fill="auto"/>
            <w:vAlign w:val="center"/>
          </w:tcPr>
          <w:p w:rsidR="003A2ADB" w:rsidRDefault="008A783E">
            <w:pPr>
              <w:pStyle w:val="Text1"/>
              <w:spacing w:beforeLines="20" w:before="48" w:afterLines="20" w:after="48"/>
              <w:ind w:left="134"/>
              <w:jc w:val="left"/>
              <w:rPr>
                <w:noProof/>
                <w:sz w:val="16"/>
                <w:szCs w:val="16"/>
              </w:rPr>
            </w:pPr>
            <w:r>
              <w:rPr>
                <w:noProof/>
                <w:sz w:val="16"/>
              </w:rPr>
              <w:t>Other budget lines (specify)</w:t>
            </w:r>
          </w:p>
        </w:tc>
        <w:tc>
          <w:tcPr>
            <w:tcW w:w="600" w:type="dxa"/>
            <w:tcBorders>
              <w:bottom w:val="double" w:sz="4" w:space="0" w:color="auto"/>
            </w:tcBorders>
            <w:shd w:val="clear" w:color="auto" w:fill="auto"/>
            <w:vAlign w:val="center"/>
          </w:tcPr>
          <w:p w:rsidR="003A2ADB" w:rsidRDefault="003A2ADB">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3A2ADB" w:rsidRDefault="003A2ADB">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3A2ADB" w:rsidRDefault="003A2ADB">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3A2ADB" w:rsidRDefault="003A2ADB">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3A2ADB" w:rsidRDefault="003A2ADB">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3A2ADB" w:rsidRDefault="003A2ADB">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3A2ADB" w:rsidRDefault="003A2ADB">
            <w:pPr>
              <w:spacing w:beforeLines="20" w:before="48" w:afterLines="20" w:after="48"/>
              <w:jc w:val="center"/>
              <w:rPr>
                <w:noProof/>
                <w:sz w:val="16"/>
                <w:szCs w:val="16"/>
              </w:rPr>
            </w:pPr>
          </w:p>
        </w:tc>
      </w:tr>
      <w:tr w:rsidR="003A2ADB">
        <w:trPr>
          <w:gridBefore w:val="1"/>
          <w:wBefore w:w="13" w:type="dxa"/>
          <w:trHeight w:val="289"/>
          <w:jc w:val="center"/>
        </w:trPr>
        <w:tc>
          <w:tcPr>
            <w:tcW w:w="3906" w:type="dxa"/>
            <w:gridSpan w:val="2"/>
            <w:tcBorders>
              <w:top w:val="double" w:sz="4" w:space="0" w:color="auto"/>
            </w:tcBorders>
            <w:shd w:val="clear" w:color="auto" w:fill="auto"/>
            <w:vAlign w:val="center"/>
          </w:tcPr>
          <w:p w:rsidR="003A2ADB" w:rsidRDefault="008A783E">
            <w:pPr>
              <w:pStyle w:val="Text1"/>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rsidR="003A2ADB" w:rsidRDefault="003A2ADB">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3A2ADB" w:rsidRDefault="003A2ADB">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3A2ADB" w:rsidRDefault="003A2ADB">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3A2ADB" w:rsidRDefault="003A2ADB">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3A2ADB" w:rsidRDefault="003A2ADB">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3A2ADB" w:rsidRDefault="003A2ADB">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3A2ADB" w:rsidRDefault="003A2ADB">
            <w:pPr>
              <w:spacing w:beforeLines="20" w:before="48" w:afterLines="20" w:after="48"/>
              <w:jc w:val="center"/>
              <w:rPr>
                <w:b/>
                <w:noProof/>
                <w:sz w:val="16"/>
                <w:szCs w:val="16"/>
              </w:rPr>
            </w:pPr>
          </w:p>
        </w:tc>
      </w:tr>
    </w:tbl>
    <w:p w:rsidR="003A2ADB" w:rsidRDefault="008A783E">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3A2ADB" w:rsidRDefault="008A783E">
      <w:pPr>
        <w:pStyle w:val="Text1"/>
        <w:rPr>
          <w:noProof/>
          <w:sz w:val="18"/>
          <w:szCs w:val="18"/>
        </w:rPr>
      </w:pPr>
      <w:r>
        <w:rPr>
          <w:noProof/>
          <w:sz w:val="18"/>
        </w:rPr>
        <w:t xml:space="preserve">The human resources required will be met </w:t>
      </w:r>
      <w:r>
        <w:rPr>
          <w:noProof/>
          <w:sz w:val="18"/>
        </w:rPr>
        <w:t>by staff from the DG who are already assigned to management of the action and/or have been redeployed within the DG, together if necessary with any additional allocation which may be granted to the managing DG under the annual allocation procedure and in t</w:t>
      </w:r>
      <w:r>
        <w:rPr>
          <w:noProof/>
          <w:sz w:val="18"/>
        </w:rPr>
        <w:t>he light of budgetary constraints.</w:t>
      </w:r>
    </w:p>
    <w:p w:rsidR="003A2ADB" w:rsidRDefault="008A783E">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3A2ADB">
        <w:tc>
          <w:tcPr>
            <w:tcW w:w="3240" w:type="dxa"/>
          </w:tcPr>
          <w:p w:rsidR="003A2ADB" w:rsidRDefault="008A783E">
            <w:pPr>
              <w:rPr>
                <w:noProof/>
                <w:sz w:val="20"/>
              </w:rPr>
            </w:pPr>
            <w:r>
              <w:rPr>
                <w:noProof/>
                <w:sz w:val="20"/>
              </w:rPr>
              <w:t>Officials and temporary staff</w:t>
            </w:r>
          </w:p>
        </w:tc>
        <w:tc>
          <w:tcPr>
            <w:tcW w:w="7200" w:type="dxa"/>
          </w:tcPr>
          <w:p w:rsidR="003A2ADB" w:rsidRDefault="003A2ADB">
            <w:pPr>
              <w:rPr>
                <w:noProof/>
                <w:sz w:val="20"/>
              </w:rPr>
            </w:pPr>
          </w:p>
        </w:tc>
      </w:tr>
      <w:tr w:rsidR="003A2ADB">
        <w:tc>
          <w:tcPr>
            <w:tcW w:w="3240" w:type="dxa"/>
          </w:tcPr>
          <w:p w:rsidR="003A2ADB" w:rsidRDefault="008A783E">
            <w:pPr>
              <w:spacing w:before="60" w:after="60"/>
              <w:rPr>
                <w:noProof/>
                <w:sz w:val="20"/>
              </w:rPr>
            </w:pPr>
            <w:r>
              <w:rPr>
                <w:noProof/>
                <w:sz w:val="20"/>
              </w:rPr>
              <w:t>External staff</w:t>
            </w:r>
          </w:p>
        </w:tc>
        <w:tc>
          <w:tcPr>
            <w:tcW w:w="7200" w:type="dxa"/>
          </w:tcPr>
          <w:p w:rsidR="003A2ADB" w:rsidRDefault="003A2ADB">
            <w:pPr>
              <w:rPr>
                <w:noProof/>
                <w:sz w:val="20"/>
              </w:rPr>
            </w:pPr>
          </w:p>
        </w:tc>
      </w:tr>
    </w:tbl>
    <w:p w:rsidR="003A2ADB" w:rsidRDefault="003A2ADB">
      <w:pPr>
        <w:rPr>
          <w:noProof/>
        </w:rPr>
        <w:sectPr w:rsidR="003A2ADB">
          <w:pgSz w:w="11907" w:h="16840"/>
          <w:pgMar w:top="1134" w:right="1418" w:bottom="1134" w:left="1418" w:header="709" w:footer="709" w:gutter="0"/>
          <w:cols w:space="708"/>
          <w:docGrid w:linePitch="360"/>
        </w:sectPr>
      </w:pPr>
    </w:p>
    <w:p w:rsidR="003A2ADB" w:rsidRDefault="008A783E">
      <w:pPr>
        <w:pStyle w:val="ManualHeading3"/>
        <w:rPr>
          <w:noProof/>
        </w:rPr>
      </w:pPr>
      <w:bookmarkStart w:id="49" w:name="_Toc514938056"/>
      <w:bookmarkStart w:id="50" w:name="_Toc520485055"/>
      <w:r>
        <w:rPr>
          <w:noProof/>
        </w:rPr>
        <w:t>3.2.4.</w:t>
      </w:r>
      <w:r>
        <w:rPr>
          <w:noProof/>
        </w:rPr>
        <w:tab/>
        <w:t>Compatibility with the current multiannual financial framework</w:t>
      </w:r>
      <w:bookmarkEnd w:id="49"/>
      <w:bookmarkEnd w:id="50"/>
      <w:r>
        <w:rPr>
          <w:noProof/>
        </w:rPr>
        <w:t xml:space="preserve"> </w:t>
      </w:r>
    </w:p>
    <w:p w:rsidR="003A2ADB" w:rsidRDefault="008A783E">
      <w:pPr>
        <w:pStyle w:val="Text1"/>
        <w:rPr>
          <w:noProof/>
        </w:rPr>
      </w:pPr>
      <w:r>
        <w:rPr>
          <w:noProof/>
        </w:rPr>
        <w:t>The proposal/initiative:</w:t>
      </w:r>
    </w:p>
    <w:p w:rsidR="003A2ADB" w:rsidRDefault="008A783E">
      <w:pPr>
        <w:pStyle w:val="ListDash1"/>
        <w:rPr>
          <w:noProof/>
        </w:rPr>
      </w:pPr>
      <w:r>
        <w:rPr>
          <w:noProof/>
        </w:rPr>
        <w:sym w:font="Wingdings" w:char="F078"/>
      </w:r>
      <w:r>
        <w:rPr>
          <w:noProof/>
        </w:rPr>
        <w:tab/>
        <w:t>can be fully</w:t>
      </w:r>
      <w:r>
        <w:rPr>
          <w:noProof/>
        </w:rPr>
        <w:t xml:space="preserve"> financed within the relevant heading of the Multiannual Financial Framework (MFF).</w:t>
      </w:r>
    </w:p>
    <w:p w:rsidR="003A2ADB" w:rsidRDefault="008A783E">
      <w:pPr>
        <w:pStyle w:val="ListDash1"/>
        <w:rPr>
          <w:noProof/>
        </w:rPr>
      </w:pPr>
      <w:r>
        <w:rPr>
          <w:noProof/>
        </w:rPr>
        <w:sym w:font="Wingdings" w:char="F020"/>
      </w:r>
      <w:r>
        <w:rPr>
          <w:noProof/>
        </w:rPr>
        <w:tab/>
        <w:t>requires use of the unallocated margin under the relevant heading of the MFF and/or use of the special instruments as defined in the MFF Regulation.</w:t>
      </w:r>
    </w:p>
    <w:p w:rsidR="003A2ADB" w:rsidRDefault="008A783E">
      <w:pPr>
        <w:pStyle w:val="Text1"/>
        <w:pBdr>
          <w:top w:val="single" w:sz="4" w:space="1" w:color="auto"/>
          <w:left w:val="single" w:sz="4" w:space="4" w:color="auto"/>
          <w:bottom w:val="single" w:sz="4" w:space="1" w:color="auto"/>
          <w:right w:val="single" w:sz="4" w:space="4" w:color="auto"/>
        </w:pBdr>
        <w:rPr>
          <w:noProof/>
          <w:sz w:val="20"/>
        </w:rPr>
      </w:pPr>
      <w:r>
        <w:rPr>
          <w:noProof/>
          <w:sz w:val="20"/>
        </w:rPr>
        <w:t>This Regulation is li</w:t>
      </w:r>
      <w:r>
        <w:rPr>
          <w:noProof/>
          <w:sz w:val="20"/>
        </w:rPr>
        <w:t>mited in time and concerns the budgetary years 2019 and 2020 only. It remains within the maximum allocations provided for the EUSF for those years and is therefore compatible with the MFF.</w:t>
      </w:r>
    </w:p>
    <w:p w:rsidR="003A2ADB" w:rsidRDefault="008A783E">
      <w:pPr>
        <w:pStyle w:val="Text1"/>
        <w:pBdr>
          <w:top w:val="single" w:sz="4" w:space="1" w:color="auto"/>
          <w:left w:val="single" w:sz="4" w:space="4" w:color="auto"/>
          <w:bottom w:val="single" w:sz="4" w:space="1" w:color="auto"/>
          <w:right w:val="single" w:sz="4" w:space="4" w:color="auto"/>
        </w:pBdr>
        <w:rPr>
          <w:noProof/>
          <w:sz w:val="20"/>
        </w:rPr>
      </w:pPr>
      <w:r>
        <w:rPr>
          <w:noProof/>
          <w:sz w:val="20"/>
        </w:rPr>
        <w:t>It shall apply from the date following that on which the Treaties c</w:t>
      </w:r>
      <w:r>
        <w:rPr>
          <w:noProof/>
          <w:sz w:val="20"/>
        </w:rPr>
        <w:t>ease to apply to the United Kingdom pursuant to Article 50(3) TEU.</w:t>
      </w:r>
    </w:p>
    <w:p w:rsidR="003A2ADB" w:rsidRDefault="008A783E">
      <w:pPr>
        <w:pStyle w:val="Text1"/>
        <w:pBdr>
          <w:top w:val="single" w:sz="4" w:space="1" w:color="auto"/>
          <w:left w:val="single" w:sz="4" w:space="4" w:color="auto"/>
          <w:bottom w:val="single" w:sz="4" w:space="1" w:color="auto"/>
          <w:right w:val="single" w:sz="4" w:space="4" w:color="auto"/>
        </w:pBdr>
        <w:rPr>
          <w:noProof/>
          <w:sz w:val="20"/>
        </w:rPr>
      </w:pPr>
      <w:r>
        <w:rPr>
          <w:noProof/>
          <w:sz w:val="20"/>
        </w:rPr>
        <w:t>Applications will be accepted between 1 November 2019 and 30 April 2020.</w:t>
      </w:r>
    </w:p>
    <w:p w:rsidR="003A2ADB" w:rsidRDefault="008A783E">
      <w:pPr>
        <w:pStyle w:val="Text1"/>
        <w:pBdr>
          <w:top w:val="single" w:sz="4" w:space="1" w:color="auto"/>
          <w:left w:val="single" w:sz="4" w:space="4" w:color="auto"/>
          <w:bottom w:val="single" w:sz="4" w:space="1" w:color="auto"/>
          <w:right w:val="single" w:sz="4" w:space="4" w:color="auto"/>
        </w:pBdr>
        <w:rPr>
          <w:noProof/>
          <w:sz w:val="20"/>
        </w:rPr>
      </w:pPr>
      <w:r>
        <w:rPr>
          <w:noProof/>
          <w:sz w:val="20"/>
        </w:rPr>
        <w:t>The ceiling will be 50% of the maximum allocation of the EUSF for 2019 and 2020 totalling EUR 591.65 million (EUR 29</w:t>
      </w:r>
      <w:r>
        <w:rPr>
          <w:noProof/>
          <w:sz w:val="20"/>
        </w:rPr>
        <w:t>2.9 million for 2019 plus EUR 298.75 million for 2020).</w:t>
      </w:r>
    </w:p>
    <w:p w:rsidR="003A2ADB" w:rsidRDefault="008A783E">
      <w:pPr>
        <w:pStyle w:val="Text1"/>
        <w:pBdr>
          <w:top w:val="single" w:sz="4" w:space="1" w:color="auto"/>
          <w:left w:val="single" w:sz="4" w:space="4" w:color="auto"/>
          <w:bottom w:val="single" w:sz="4" w:space="1" w:color="auto"/>
          <w:right w:val="single" w:sz="4" w:space="4" w:color="auto"/>
        </w:pBdr>
        <w:rPr>
          <w:noProof/>
          <w:sz w:val="20"/>
        </w:rPr>
      </w:pPr>
      <w:r>
        <w:rPr>
          <w:noProof/>
          <w:sz w:val="20"/>
        </w:rPr>
        <w:t>This Regulation shall not apply if a withdrawal agreement concluded with the United Kingdom in accordance with Article 50(2) TEU has entered into force by that date.</w:t>
      </w:r>
    </w:p>
    <w:p w:rsidR="003A2ADB" w:rsidRDefault="008A783E">
      <w:pPr>
        <w:pStyle w:val="ListDash1"/>
        <w:rPr>
          <w:noProof/>
        </w:rPr>
      </w:pPr>
      <w:r>
        <w:rPr>
          <w:noProof/>
        </w:rPr>
        <w:sym w:font="Wingdings" w:char="F0A8"/>
      </w:r>
      <w:r>
        <w:rPr>
          <w:noProof/>
        </w:rPr>
        <w:tab/>
        <w:t>requires a revision of the MFF.</w:t>
      </w:r>
    </w:p>
    <w:p w:rsidR="003A2ADB" w:rsidRDefault="008A783E">
      <w:pPr>
        <w:pStyle w:val="Text1"/>
        <w:pBdr>
          <w:top w:val="single" w:sz="4" w:space="1" w:color="auto"/>
          <w:left w:val="single" w:sz="4" w:space="4" w:color="auto"/>
          <w:bottom w:val="single" w:sz="4" w:space="3" w:color="auto"/>
          <w:right w:val="single" w:sz="4" w:space="4" w:color="auto"/>
        </w:pBdr>
        <w:rPr>
          <w:noProof/>
          <w:sz w:val="20"/>
        </w:rPr>
      </w:pPr>
      <w:r>
        <w:rPr>
          <w:noProof/>
          <w:sz w:val="20"/>
        </w:rPr>
        <w:t>Explain what is required, specifying the headings and budget lines concerned and the corresponding amounts.</w:t>
      </w:r>
    </w:p>
    <w:p w:rsidR="003A2ADB" w:rsidRDefault="008A783E">
      <w:pPr>
        <w:pStyle w:val="ManualHeading3"/>
        <w:rPr>
          <w:bCs/>
          <w:noProof/>
          <w:szCs w:val="24"/>
        </w:rPr>
      </w:pPr>
      <w:bookmarkStart w:id="51" w:name="_Toc514938058"/>
      <w:bookmarkStart w:id="52" w:name="_Toc520485056"/>
      <w:r>
        <w:rPr>
          <w:noProof/>
        </w:rPr>
        <w:t>3.2.5.</w:t>
      </w:r>
      <w:r>
        <w:rPr>
          <w:noProof/>
        </w:rPr>
        <w:tab/>
        <w:t>Third-party contributions</w:t>
      </w:r>
      <w:bookmarkEnd w:id="51"/>
      <w:bookmarkEnd w:id="52"/>
      <w:r>
        <w:rPr>
          <w:noProof/>
        </w:rPr>
        <w:t xml:space="preserve"> </w:t>
      </w:r>
    </w:p>
    <w:p w:rsidR="003A2ADB" w:rsidRDefault="008A783E">
      <w:pPr>
        <w:pStyle w:val="Text1"/>
        <w:rPr>
          <w:noProof/>
        </w:rPr>
      </w:pPr>
      <w:r>
        <w:rPr>
          <w:noProof/>
        </w:rPr>
        <w:t>The proposal/initiative:</w:t>
      </w:r>
    </w:p>
    <w:p w:rsidR="003A2ADB" w:rsidRDefault="008A783E">
      <w:pPr>
        <w:pStyle w:val="ListDash1"/>
        <w:rPr>
          <w:noProof/>
        </w:rPr>
      </w:pPr>
      <w:r>
        <w:rPr>
          <w:b/>
          <w:noProof/>
        </w:rPr>
        <w:t xml:space="preserve">X </w:t>
      </w:r>
      <w:r>
        <w:rPr>
          <w:noProof/>
        </w:rPr>
        <w:t>does not provide for co-financing by third parties</w:t>
      </w:r>
    </w:p>
    <w:p w:rsidR="003A2ADB" w:rsidRDefault="008A783E">
      <w:pPr>
        <w:pStyle w:val="ListDash1"/>
        <w:rPr>
          <w:noProof/>
        </w:rPr>
      </w:pPr>
      <w:r>
        <w:rPr>
          <w:noProof/>
        </w:rPr>
        <w:sym w:font="Wingdings" w:char="F0A8"/>
      </w:r>
      <w:r>
        <w:rPr>
          <w:noProof/>
        </w:rPr>
        <w:tab/>
        <w:t xml:space="preserve">provides for the co-financing by </w:t>
      </w:r>
      <w:r>
        <w:rPr>
          <w:noProof/>
        </w:rPr>
        <w:t>third parties estimated below:</w:t>
      </w:r>
    </w:p>
    <w:p w:rsidR="003A2ADB" w:rsidRDefault="008A783E">
      <w:pPr>
        <w:jc w:val="right"/>
        <w:rPr>
          <w:noProof/>
          <w:sz w:val="20"/>
        </w:rPr>
      </w:pPr>
      <w:r>
        <w:rPr>
          <w:noProof/>
          <w:sz w:val="20"/>
        </w:rPr>
        <w:t xml:space="preserve">Appropriations in EUR </w:t>
      </w:r>
    </w:p>
    <w:p w:rsidR="003A2ADB" w:rsidRDefault="003A2ADB">
      <w:pPr>
        <w:jc w:val="right"/>
        <w:rPr>
          <w:noProof/>
          <w:sz w:val="20"/>
        </w:rPr>
      </w:pPr>
    </w:p>
    <w:p w:rsidR="003A2ADB" w:rsidRDefault="008A783E">
      <w:pPr>
        <w:rPr>
          <w:noProof/>
        </w:rPr>
      </w:pPr>
      <w:r>
        <w:rPr>
          <w:noProof/>
        </w:rPr>
        <w:br/>
      </w:r>
    </w:p>
    <w:p w:rsidR="003A2ADB" w:rsidRDefault="008A783E">
      <w:pPr>
        <w:pStyle w:val="ManualHeading2"/>
        <w:rPr>
          <w:bCs/>
          <w:noProof/>
          <w:szCs w:val="24"/>
        </w:rPr>
      </w:pPr>
      <w:r>
        <w:rPr>
          <w:noProof/>
        </w:rPr>
        <w:br w:type="page"/>
      </w:r>
      <w:bookmarkStart w:id="53" w:name="_Toc514938059"/>
      <w:bookmarkStart w:id="54" w:name="_Toc520485057"/>
      <w:r>
        <w:rPr>
          <w:noProof/>
        </w:rPr>
        <w:t>3.3.</w:t>
      </w:r>
      <w:r>
        <w:rPr>
          <w:noProof/>
        </w:rPr>
        <w:tab/>
        <w:t>Estimated impact on revenue</w:t>
      </w:r>
      <w:bookmarkEnd w:id="53"/>
      <w:bookmarkEnd w:id="54"/>
      <w:r>
        <w:rPr>
          <w:noProof/>
        </w:rPr>
        <w:t xml:space="preserve"> </w:t>
      </w:r>
    </w:p>
    <w:p w:rsidR="003A2ADB" w:rsidRDefault="008A783E">
      <w:pPr>
        <w:pStyle w:val="ListDash1"/>
        <w:rPr>
          <w:noProof/>
        </w:rPr>
      </w:pPr>
      <w:r>
        <w:rPr>
          <w:b/>
          <w:noProof/>
        </w:rPr>
        <w:t>X</w:t>
      </w:r>
      <w:r>
        <w:rPr>
          <w:noProof/>
        </w:rPr>
        <w:tab/>
        <w:t xml:space="preserve">The proposal/initiative has no financial impact on revenue. </w:t>
      </w:r>
    </w:p>
    <w:p w:rsidR="003A2ADB" w:rsidRDefault="008A783E">
      <w:pPr>
        <w:pStyle w:val="ListDash1"/>
        <w:rPr>
          <w:noProof/>
        </w:rPr>
      </w:pPr>
      <w:r>
        <w:rPr>
          <w:noProof/>
        </w:rPr>
        <w:tab/>
        <w:t>The proposal/initiative has the following financial impact:</w:t>
      </w:r>
    </w:p>
    <w:p w:rsidR="003A2ADB" w:rsidRDefault="008A783E">
      <w:pPr>
        <w:pStyle w:val="Tiret2"/>
        <w:numPr>
          <w:ilvl w:val="0"/>
          <w:numId w:val="10"/>
        </w:numPr>
        <w:rPr>
          <w:noProof/>
        </w:rPr>
      </w:pPr>
      <w:r>
        <w:rPr>
          <w:noProof/>
        </w:rPr>
        <w:sym w:font="Wingdings" w:char="F0A8"/>
      </w:r>
      <w:r>
        <w:rPr>
          <w:noProof/>
        </w:rPr>
        <w:tab/>
        <w:t xml:space="preserve">on own resources </w:t>
      </w:r>
    </w:p>
    <w:p w:rsidR="003A2ADB" w:rsidRDefault="008A783E">
      <w:pPr>
        <w:pStyle w:val="Tiret2"/>
        <w:rPr>
          <w:noProof/>
        </w:rPr>
      </w:pPr>
      <w:r>
        <w:rPr>
          <w:noProof/>
        </w:rPr>
        <w:sym w:font="Wingdings" w:char="F0A8"/>
      </w:r>
      <w:r>
        <w:rPr>
          <w:noProof/>
        </w:rPr>
        <w:tab/>
        <w:t>on other revenue</w:t>
      </w:r>
    </w:p>
    <w:p w:rsidR="003A2ADB" w:rsidRDefault="008A783E">
      <w:pPr>
        <w:pStyle w:val="Tiret2"/>
        <w:rPr>
          <w:noProof/>
        </w:rPr>
      </w:pPr>
      <w:r>
        <w:rPr>
          <w:noProof/>
        </w:rPr>
        <w:t>p</w:t>
      </w:r>
      <w:r>
        <w:rPr>
          <w:noProof/>
        </w:rPr>
        <w:t>lease indicate, if the revenue is assigned to expenditure lines X</w:t>
      </w:r>
      <w:r>
        <w:rPr>
          <w:noProof/>
        </w:rPr>
        <w:tab/>
      </w:r>
    </w:p>
    <w:p w:rsidR="003A2ADB" w:rsidRDefault="003A2ADB">
      <w:pPr>
        <w:pStyle w:val="ListNumberLevel3"/>
        <w:tabs>
          <w:tab w:val="clear" w:pos="2126"/>
        </w:tabs>
        <w:ind w:firstLine="0"/>
        <w:rPr>
          <w:noProof/>
        </w:rPr>
      </w:pPr>
    </w:p>
    <w:p w:rsidR="003A2ADB" w:rsidRDefault="008A783E">
      <w:pPr>
        <w:ind w:left="4320"/>
        <w:rPr>
          <w:i/>
          <w:noProof/>
          <w:sz w:val="20"/>
        </w:rPr>
      </w:pPr>
      <w:r>
        <w:rPr>
          <w:noProof/>
        </w:rPr>
        <w:t xml:space="preserve">     EUR </w:t>
      </w:r>
    </w:p>
    <w:p w:rsidR="003A2ADB" w:rsidRDefault="008A783E">
      <w:pPr>
        <w:pStyle w:val="Text1"/>
        <w:rPr>
          <w:noProof/>
          <w:sz w:val="20"/>
        </w:rPr>
      </w:pPr>
      <w:r>
        <w:rPr>
          <w:noProof/>
          <w:sz w:val="20"/>
        </w:rPr>
        <w:br w:type="textWrapping" w:clear="all"/>
      </w:r>
    </w:p>
    <w:p w:rsidR="003A2ADB" w:rsidRDefault="008A783E">
      <w:pPr>
        <w:pStyle w:val="Text1"/>
        <w:rPr>
          <w:noProof/>
          <w:sz w:val="20"/>
        </w:rPr>
      </w:pPr>
      <w:r>
        <w:rPr>
          <w:noProof/>
          <w:sz w:val="20"/>
        </w:rPr>
        <w:t>For assigned revenue, specify the budget expenditure line(s) affected.</w:t>
      </w:r>
    </w:p>
    <w:p w:rsidR="003A2ADB" w:rsidRDefault="008A783E">
      <w:pPr>
        <w:pStyle w:val="Text1"/>
        <w:pBdr>
          <w:top w:val="single" w:sz="4" w:space="1" w:color="auto"/>
          <w:left w:val="single" w:sz="4" w:space="4" w:color="auto"/>
          <w:bottom w:val="single" w:sz="4" w:space="1" w:color="auto"/>
          <w:right w:val="single" w:sz="4" w:space="4" w:color="auto"/>
        </w:pBdr>
        <w:rPr>
          <w:noProof/>
        </w:rPr>
      </w:pPr>
      <w:r>
        <w:rPr>
          <w:noProof/>
        </w:rPr>
        <w:t>N/A</w:t>
      </w:r>
    </w:p>
    <w:p w:rsidR="003A2ADB" w:rsidRDefault="008A783E">
      <w:pPr>
        <w:rPr>
          <w:i/>
          <w:noProof/>
          <w:sz w:val="20"/>
        </w:rPr>
      </w:pPr>
      <w:r>
        <w:rPr>
          <w:i/>
          <w:noProof/>
          <w:sz w:val="20"/>
        </w:rPr>
        <w:t xml:space="preserve">Other remarks (e.g. method/formula used for calculating the impact on revenue or any other </w:t>
      </w:r>
      <w:r>
        <w:rPr>
          <w:i/>
          <w:noProof/>
          <w:sz w:val="20"/>
        </w:rPr>
        <w:t>information).</w:t>
      </w:r>
    </w:p>
    <w:sectPr w:rsidR="003A2AD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DB" w:rsidRDefault="008A783E">
      <w:pPr>
        <w:spacing w:before="0" w:after="0"/>
      </w:pPr>
      <w:r>
        <w:separator/>
      </w:r>
    </w:p>
  </w:endnote>
  <w:endnote w:type="continuationSeparator" w:id="0">
    <w:p w:rsidR="003A2ADB" w:rsidRDefault="008A78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B" w:rsidRDefault="008A783E">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B" w:rsidRDefault="008A783E">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B" w:rsidRDefault="003A2A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B" w:rsidRDefault="008A783E">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B" w:rsidRDefault="003A2ADB">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B" w:rsidRDefault="008A783E">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B" w:rsidRDefault="003A2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DB" w:rsidRDefault="008A783E">
      <w:pPr>
        <w:spacing w:before="0" w:after="0"/>
      </w:pPr>
      <w:r>
        <w:separator/>
      </w:r>
    </w:p>
  </w:footnote>
  <w:footnote w:type="continuationSeparator" w:id="0">
    <w:p w:rsidR="003A2ADB" w:rsidRDefault="008A783E">
      <w:pPr>
        <w:spacing w:before="0" w:after="0"/>
      </w:pPr>
      <w:r>
        <w:continuationSeparator/>
      </w:r>
    </w:p>
  </w:footnote>
  <w:footnote w:id="1">
    <w:p w:rsidR="003A2ADB" w:rsidRDefault="008A783E">
      <w:pPr>
        <w:pStyle w:val="FootnoteText"/>
        <w:rPr>
          <w:lang w:val="en-IE"/>
        </w:rPr>
      </w:pPr>
      <w:r>
        <w:rPr>
          <w:rStyle w:val="FootnoteReference"/>
        </w:rPr>
        <w:footnoteRef/>
      </w:r>
      <w:r>
        <w:rPr>
          <w:lang w:val="en-IE"/>
        </w:rPr>
        <w:tab/>
      </w:r>
      <w:r>
        <w:rPr>
          <w:lang w:val="es-ES_tradnl"/>
        </w:rPr>
        <w:t>European Council Decision (EU) 2019/584 (OJ L 101, 11.4.2019, p. 1).</w:t>
      </w:r>
    </w:p>
  </w:footnote>
  <w:footnote w:id="2">
    <w:p w:rsidR="003A2ADB" w:rsidRDefault="008A783E">
      <w:pPr>
        <w:pStyle w:val="FootnoteText"/>
        <w:rPr>
          <w:lang w:val="en-IE"/>
        </w:rPr>
      </w:pPr>
      <w:r>
        <w:rPr>
          <w:rStyle w:val="FootnoteReference"/>
        </w:rPr>
        <w:footnoteRef/>
      </w:r>
      <w:r>
        <w:rPr>
          <w:lang w:val="en-IE"/>
        </w:rPr>
        <w:tab/>
      </w:r>
      <w:r>
        <w:t>Following a request by the United Kingdom, the European Council decided a first extension on 22 March 2019 - European Council Decision (EU) 2019/476 (OJ L 80I, 22.3.</w:t>
      </w:r>
      <w:r>
        <w:t>2019, p. 1).</w:t>
      </w:r>
    </w:p>
  </w:footnote>
  <w:footnote w:id="3">
    <w:p w:rsidR="003A2ADB" w:rsidRDefault="008A783E">
      <w:pPr>
        <w:pStyle w:val="FootnoteText"/>
      </w:pPr>
      <w:r>
        <w:rPr>
          <w:rStyle w:val="FootnoteReference"/>
        </w:rPr>
        <w:footnoteRef/>
      </w:r>
      <w:r>
        <w:tab/>
        <w:t>COM(2018) 880 final.</w:t>
      </w:r>
    </w:p>
  </w:footnote>
  <w:footnote w:id="4">
    <w:p w:rsidR="003A2ADB" w:rsidRDefault="008A783E">
      <w:pPr>
        <w:pStyle w:val="FootnoteText"/>
        <w:rPr>
          <w:lang w:val="en-IE"/>
        </w:rPr>
      </w:pPr>
      <w:r>
        <w:rPr>
          <w:rStyle w:val="FootnoteReference"/>
        </w:rPr>
        <w:footnoteRef/>
      </w:r>
      <w:r>
        <w:rPr>
          <w:lang w:val="en-IE"/>
        </w:rPr>
        <w:tab/>
      </w:r>
      <w:r>
        <w:rPr>
          <w:lang w:val="es-ES_tradnl"/>
        </w:rPr>
        <w:t>COM(2019) 195 final.</w:t>
      </w:r>
    </w:p>
  </w:footnote>
  <w:footnote w:id="5">
    <w:p w:rsidR="003A2ADB" w:rsidRDefault="008A783E">
      <w:pPr>
        <w:pStyle w:val="FootnoteText"/>
        <w:rPr>
          <w:lang w:val="en-IE"/>
        </w:rPr>
      </w:pPr>
      <w:r>
        <w:rPr>
          <w:rStyle w:val="FootnoteReference"/>
        </w:rPr>
        <w:footnoteRef/>
      </w:r>
      <w:r>
        <w:rPr>
          <w:lang w:val="en-IE"/>
        </w:rPr>
        <w:tab/>
        <w:t>SWD(2019) 186 final.</w:t>
      </w:r>
    </w:p>
  </w:footnote>
  <w:footnote w:id="6">
    <w:p w:rsidR="003A2ADB" w:rsidRDefault="008A783E">
      <w:pPr>
        <w:pStyle w:val="FootnoteText"/>
      </w:pPr>
      <w:r>
        <w:rPr>
          <w:rStyle w:val="FootnoteReference"/>
        </w:rPr>
        <w:footnoteRef/>
      </w:r>
      <w:r>
        <w:tab/>
        <w:t>OJ C , , p. .</w:t>
      </w:r>
    </w:p>
  </w:footnote>
  <w:footnote w:id="7">
    <w:p w:rsidR="003A2ADB" w:rsidRDefault="008A783E">
      <w:pPr>
        <w:pStyle w:val="FootnoteText"/>
      </w:pPr>
      <w:r>
        <w:rPr>
          <w:rStyle w:val="FootnoteReference"/>
        </w:rPr>
        <w:footnoteRef/>
      </w:r>
      <w:r>
        <w:tab/>
        <w:t>OJ C , , p. .</w:t>
      </w:r>
    </w:p>
  </w:footnote>
  <w:footnote w:id="8">
    <w:p w:rsidR="003A2ADB" w:rsidRDefault="008A783E">
      <w:pPr>
        <w:pStyle w:val="FootnoteText"/>
      </w:pPr>
      <w:r>
        <w:rPr>
          <w:rStyle w:val="FootnoteReference"/>
        </w:rPr>
        <w:footnoteRef/>
      </w:r>
      <w:r>
        <w:tab/>
        <w:t>Council Regulation (EC) No 2012/2002 of 11 November 2002 establishing the European Union Solidarity Fund (OJ L 311, 14.11.2002, p. 3).</w:t>
      </w:r>
    </w:p>
  </w:footnote>
  <w:footnote w:id="9">
    <w:p w:rsidR="003A2ADB" w:rsidRDefault="008A783E">
      <w:pPr>
        <w:pStyle w:val="FootnoteText"/>
        <w:rPr>
          <w:lang w:val="en-IE"/>
        </w:rPr>
      </w:pPr>
      <w:r>
        <w:rPr>
          <w:rStyle w:val="FootnoteReference"/>
        </w:rPr>
        <w:footnoteRef/>
      </w:r>
      <w:r>
        <w:rPr>
          <w:lang w:val="en-IE"/>
        </w:rPr>
        <w:tab/>
      </w:r>
      <w:r>
        <w:rPr>
          <w:lang w:val="es-ES_tradnl"/>
        </w:rPr>
        <w:t>European Council Decision (EU) 2019/584 (OJ L 101, 11.4.2019, p. 1).</w:t>
      </w:r>
    </w:p>
  </w:footnote>
  <w:footnote w:id="10">
    <w:p w:rsidR="003A2ADB" w:rsidRDefault="008A783E">
      <w:pPr>
        <w:pStyle w:val="FootnoteText"/>
        <w:rPr>
          <w:lang w:val="en-IE"/>
        </w:rPr>
      </w:pPr>
      <w:r>
        <w:rPr>
          <w:rStyle w:val="FootnoteReference"/>
        </w:rPr>
        <w:footnoteRef/>
      </w:r>
      <w:r>
        <w:rPr>
          <w:lang w:val="en-IE"/>
        </w:rPr>
        <w:tab/>
      </w:r>
      <w:r>
        <w:t>Following a request by the United Kingdom, the European Council decided a first extension on 22 March 2019 - European Council Decision (EU) 2019/476 (OJ L 80I, 22.3.2019, p. 1).</w:t>
      </w:r>
    </w:p>
  </w:footnote>
  <w:footnote w:id="11">
    <w:p w:rsidR="003A2ADB" w:rsidRDefault="008A783E">
      <w:pPr>
        <w:pStyle w:val="FootnoteText"/>
        <w:rPr>
          <w:lang w:val="en-IE"/>
        </w:rPr>
      </w:pPr>
      <w:r>
        <w:rPr>
          <w:rStyle w:val="FootnoteReference"/>
        </w:rPr>
        <w:footnoteRef/>
      </w:r>
      <w:r>
        <w:rPr>
          <w:lang w:val="en-IE"/>
        </w:rPr>
        <w:tab/>
      </w:r>
      <w:r>
        <w:t>Agree</w:t>
      </w:r>
      <w:r>
        <w:t>ment on the withdrawal of the United Kingdom of Great Britain and Northern Ireland from the European Union and the European Atomic Energy Community (OJ C 144I, 25.4.2019, p. 1).</w:t>
      </w:r>
    </w:p>
  </w:footnote>
  <w:footnote w:id="12">
    <w:p w:rsidR="003A2ADB" w:rsidRDefault="008A783E">
      <w:pPr>
        <w:pStyle w:val="FootnoteText"/>
      </w:pPr>
      <w:r>
        <w:rPr>
          <w:rStyle w:val="FootnoteReference"/>
        </w:rPr>
        <w:footnoteRef/>
      </w:r>
      <w:r>
        <w:tab/>
        <w:t>Regulation (EU, Euratom) 2018/1046 of the European Parliament and of the Cou</w:t>
      </w:r>
      <w:r>
        <w:t xml:space="preserve">ncil of 18 July 2018 on the financial rules applicable to the general budget of the Union, amending Regulations (EU) No 1296/2013, (EU) No 1301/2013, (EU) No 1304/2013, (EU) No 1309/2013, (EU) No 1316/2013, (EU) No 223/2014, (EU) No 283/2014, and Decision </w:t>
      </w:r>
      <w:r>
        <w:t>No 541/2014/EU and repealing Regulation (EU, Euroatom) No 966/2012 (OJ L 193, 30.7.2018, p. 1).</w:t>
      </w:r>
    </w:p>
  </w:footnote>
  <w:footnote w:id="13">
    <w:p w:rsidR="003A2ADB" w:rsidRDefault="008A783E">
      <w:pPr>
        <w:pStyle w:val="FootnoteText"/>
      </w:pPr>
      <w:r>
        <w:rPr>
          <w:rStyle w:val="FootnoteReference"/>
        </w:rPr>
        <w:footnoteRef/>
      </w:r>
      <w:r>
        <w:tab/>
        <w:t>Council Regulation (EU, Euratom) No 1311/2013 of 2 December 2013 laying down the multiannual financial framework for the years 2014-2020 (OJ L 347, 20.12.2013</w:t>
      </w:r>
      <w:r>
        <w:t>, p. 884).</w:t>
      </w:r>
    </w:p>
  </w:footnote>
  <w:footnote w:id="14">
    <w:p w:rsidR="003A2ADB" w:rsidRDefault="008A783E">
      <w:pPr>
        <w:pStyle w:val="FootnoteText"/>
      </w:pPr>
      <w:r>
        <w:rPr>
          <w:rStyle w:val="FootnoteReference"/>
        </w:rPr>
        <w:footnoteRef/>
      </w:r>
      <w:r>
        <w:tab/>
        <w:t>SWD(2019) 186 final.</w:t>
      </w:r>
    </w:p>
  </w:footnote>
  <w:footnote w:id="15">
    <w:p w:rsidR="003A2ADB" w:rsidRDefault="008A783E">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w:t>
        </w:r>
        <w:r>
          <w:rPr>
            <w:rStyle w:val="Hyperlink"/>
            <w:szCs w:val="24"/>
          </w:rPr>
          <w:t>ec.europa.eu/budgweb/EN/man/budgmanag/Pages/budgmanag.aspx</w:t>
        </w:r>
      </w:hyperlink>
      <w:r>
        <w:rPr>
          <w:szCs w:val="24"/>
        </w:rPr>
        <w:t xml:space="preserve"> </w:t>
      </w:r>
    </w:p>
  </w:footnote>
  <w:footnote w:id="16">
    <w:p w:rsidR="003A2ADB" w:rsidRDefault="008A783E">
      <w:pPr>
        <w:pStyle w:val="FootnoteText"/>
        <w:rPr>
          <w:szCs w:val="24"/>
        </w:rPr>
      </w:pPr>
      <w:r>
        <w:rPr>
          <w:rStyle w:val="FootnoteReference"/>
        </w:rPr>
        <w:footnoteRef/>
      </w:r>
      <w:r>
        <w:tab/>
        <w:t>Diff. = Differentiated appropriations / Non-diff. = Non-differentiated appropriations.</w:t>
      </w:r>
    </w:p>
  </w:footnote>
  <w:footnote w:id="17">
    <w:p w:rsidR="003A2ADB" w:rsidRDefault="008A783E">
      <w:pPr>
        <w:pStyle w:val="FootnoteText"/>
        <w:rPr>
          <w:szCs w:val="24"/>
        </w:rPr>
      </w:pPr>
      <w:r>
        <w:rPr>
          <w:rStyle w:val="FootnoteReference"/>
        </w:rPr>
        <w:footnoteRef/>
      </w:r>
      <w:r>
        <w:tab/>
        <w:t xml:space="preserve">EFTA: European Free Trade Association. </w:t>
      </w:r>
    </w:p>
  </w:footnote>
  <w:footnote w:id="18">
    <w:p w:rsidR="003A2ADB" w:rsidRDefault="008A783E">
      <w:pPr>
        <w:pStyle w:val="FootnoteText"/>
        <w:rPr>
          <w:szCs w:val="24"/>
        </w:rPr>
      </w:pPr>
      <w:r>
        <w:rPr>
          <w:rStyle w:val="FootnoteReference"/>
        </w:rPr>
        <w:footnoteRef/>
      </w:r>
      <w:r>
        <w:tab/>
        <w:t>Candidate countries and, where applicable, potential candidates</w:t>
      </w:r>
      <w:r>
        <w:t xml:space="preserve"> from the Western Balkans.</w:t>
      </w:r>
    </w:p>
  </w:footnote>
  <w:footnote w:id="19">
    <w:p w:rsidR="003A2ADB" w:rsidRDefault="008A783E">
      <w:pPr>
        <w:pStyle w:val="FootnoteText"/>
        <w:rPr>
          <w:szCs w:val="24"/>
        </w:rPr>
      </w:pPr>
      <w:r>
        <w:rPr>
          <w:rStyle w:val="FootnoteReference"/>
        </w:rPr>
        <w:footnoteRef/>
      </w:r>
      <w:r>
        <w:tab/>
      </w:r>
      <w:r>
        <w:rPr>
          <w:sz w:val="18"/>
          <w:szCs w:val="18"/>
        </w:rPr>
        <w:t>Year N is the year in which implementation of the proposal/initiative starts. Please replace "N" by the expected first year of implementation (for instance: 2021). The same for the following years.</w:t>
      </w:r>
    </w:p>
  </w:footnote>
  <w:footnote w:id="20">
    <w:p w:rsidR="003A2ADB" w:rsidRDefault="008A783E">
      <w:pPr>
        <w:pStyle w:val="FootnoteText"/>
        <w:rPr>
          <w:szCs w:val="24"/>
        </w:rPr>
      </w:pPr>
      <w:r>
        <w:rPr>
          <w:rStyle w:val="FootnoteReference"/>
        </w:rPr>
        <w:footnoteRef/>
      </w:r>
      <w:r>
        <w:tab/>
        <w:t xml:space="preserve">Outputs are products and </w:t>
      </w:r>
      <w:r>
        <w:t>services to be supplied (e.g.: number of student exchanges financed, number of km of roads built, etc.).</w:t>
      </w:r>
    </w:p>
  </w:footnote>
  <w:footnote w:id="21">
    <w:p w:rsidR="003A2ADB" w:rsidRDefault="008A783E">
      <w:pPr>
        <w:pStyle w:val="FootnoteText"/>
        <w:rPr>
          <w:szCs w:val="24"/>
        </w:rPr>
      </w:pPr>
      <w:r>
        <w:rPr>
          <w:rStyle w:val="FootnoteReference"/>
        </w:rPr>
        <w:footnoteRef/>
      </w:r>
      <w:r>
        <w:tab/>
        <w:t xml:space="preserve">As described in point 1.4.2. ‘Specific objective(s)…’ </w:t>
      </w:r>
    </w:p>
  </w:footnote>
  <w:footnote w:id="22">
    <w:p w:rsidR="003A2ADB" w:rsidRDefault="008A783E">
      <w:pPr>
        <w:pStyle w:val="FootnoteText"/>
        <w:rPr>
          <w:sz w:val="18"/>
          <w:szCs w:val="18"/>
        </w:rPr>
      </w:pPr>
      <w:r>
        <w:rPr>
          <w:rStyle w:val="FootnoteReference"/>
        </w:rPr>
        <w:footnoteRef/>
      </w:r>
      <w:r>
        <w:tab/>
      </w:r>
      <w:r>
        <w:rPr>
          <w:sz w:val="18"/>
          <w:szCs w:val="18"/>
        </w:rPr>
        <w:t>Year N is the year in which implementation of the proposal/initiative starts. Please replace</w:t>
      </w:r>
      <w:r>
        <w:rPr>
          <w:sz w:val="18"/>
          <w:szCs w:val="18"/>
        </w:rPr>
        <w:t xml:space="preserve"> "N" by the expected first year of implementation (for instance: 2021). The same for the following years.</w:t>
      </w:r>
    </w:p>
  </w:footnote>
  <w:footnote w:id="23">
    <w:p w:rsidR="003A2ADB" w:rsidRDefault="008A783E">
      <w:pPr>
        <w:pStyle w:val="FootnoteText"/>
        <w:rPr>
          <w:szCs w:val="24"/>
        </w:rPr>
      </w:pPr>
      <w:r>
        <w:rPr>
          <w:rStyle w:val="FootnoteReference"/>
        </w:rPr>
        <w:footnoteRef/>
      </w:r>
      <w:r>
        <w:rPr>
          <w:sz w:val="18"/>
          <w:szCs w:val="18"/>
        </w:rPr>
        <w:tab/>
        <w:t>Technical and/or administrative assistance and expenditure in support of the implementation of EU programmes and/or actions (former ‘BA’ lines), ind</w:t>
      </w:r>
      <w:r>
        <w:rPr>
          <w:sz w:val="18"/>
          <w:szCs w:val="18"/>
        </w:rPr>
        <w:t>irect research, direct research.</w:t>
      </w:r>
    </w:p>
  </w:footnote>
  <w:footnote w:id="24">
    <w:p w:rsidR="003A2ADB" w:rsidRDefault="008A783E">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25">
    <w:p w:rsidR="003A2ADB" w:rsidRDefault="008A783E">
      <w:pPr>
        <w:pStyle w:val="FootnoteText"/>
        <w:rPr>
          <w:szCs w:val="24"/>
        </w:rPr>
      </w:pPr>
      <w:r>
        <w:rPr>
          <w:rStyle w:val="FootnoteReference"/>
        </w:rPr>
        <w:footnoteRef/>
      </w:r>
      <w:r>
        <w:tab/>
        <w:t>Sub-ceiling for external staff covered by operational appropriations (former ‘BA’ lines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B" w:rsidRDefault="003A2ADB">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B" w:rsidRDefault="003A2ADB">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B" w:rsidRDefault="003A2A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DB" w:rsidRDefault="003A2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A7E67B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E42680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2DCF50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998F45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59C96C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31885F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78C819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EDE595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1"/>
  </w:num>
  <w:num w:numId="7">
    <w:abstractNumId w:val="8"/>
  </w:num>
  <w:num w:numId="8">
    <w:abstractNumId w:val="17"/>
  </w:num>
  <w:num w:numId="9">
    <w:abstractNumId w:val="16"/>
  </w:num>
  <w:num w:numId="10">
    <w:abstractNumId w:val="23"/>
    <w:lvlOverride w:ilvl="0">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21"/>
  </w:num>
  <w:num w:numId="17">
    <w:abstractNumId w:val="13"/>
  </w:num>
  <w:num w:numId="18">
    <w:abstractNumId w:val="23"/>
  </w:num>
  <w:num w:numId="19">
    <w:abstractNumId w:val="12"/>
  </w:num>
  <w:num w:numId="20">
    <w:abstractNumId w:val="14"/>
  </w:num>
  <w:num w:numId="21">
    <w:abstractNumId w:val="10"/>
  </w:num>
  <w:num w:numId="22">
    <w:abstractNumId w:val="22"/>
  </w:num>
  <w:num w:numId="23">
    <w:abstractNumId w:val="9"/>
  </w:num>
  <w:num w:numId="24">
    <w:abstractNumId w:val="15"/>
  </w:num>
  <w:num w:numId="25">
    <w:abstractNumId w:val="19"/>
  </w:num>
  <w:num w:numId="26">
    <w:abstractNumId w:val="20"/>
  </w:num>
  <w:num w:numId="27">
    <w:abstractNumId w:val="11"/>
  </w:num>
  <w:num w:numId="28">
    <w:abstractNumId w:val="18"/>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29 13:01: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81D1B34-098C-4EF3-B34D-43A6CC758817"/>
    <w:docVar w:name="LW_COVERPAGE_TYPE" w:val="1"/>
    <w:docVar w:name="LW_CROSSREFERENCE" w:val="&lt;UNUSED&gt;"/>
    <w:docVar w:name="LW_DocType" w:val="COM"/>
    <w:docVar w:name="LW_EMISSION" w:val="4.9.2019"/>
    <w:docVar w:name="LW_EMISSION_ISODATE" w:val="2019-09-0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83"/>
    <w:docVar w:name="LW_REF.II.NEW.CP_YEAR" w:val="2019"/>
    <w:docVar w:name="LW_REF.INST.NEW" w:val="COM"/>
    <w:docVar w:name="LW_REF.INST.NEW_ADOPTED" w:val="final"/>
    <w:docVar w:name="LW_REF.INST.NEW_TEXT" w:val="(2019) 3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Regulation (EC) No 2012/2002 in order to provide financial assistance to Member States to cover serious financial burden inflicted on them following a withdrawal of the United Kingdom from the Union without an agreement"/>
    <w:docVar w:name="LW_TYPE.DOC.CP" w:val="REGULATION OF THE EUROPEAN PARLIAMENT AND OF THE COUNCIL"/>
  </w:docVars>
  <w:rsids>
    <w:rsidRoot w:val="003A2ADB"/>
    <w:rsid w:val="003A2ADB"/>
    <w:rsid w:val="008A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1"/>
    <o:shapelayout v:ext="edit">
      <o:idmap v:ext="edit" data="1"/>
    </o:shapelayout>
  </w:shapeDefaults>
  <w:decimalSymbol w:val=","/>
  <w:listSeparator w:val=";"/>
  <w15:docId w15:val="{0ECA0C7F-5170-4295-9CF1-87DE8402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Number">
    <w:name w:val="List Number"/>
    <w:basedOn w:val="Normal"/>
    <w:unhideWhenUsed/>
    <w:pPr>
      <w:numPr>
        <w:numId w:val="5"/>
      </w:numPr>
      <w:contextualSpacing/>
    </w:pPr>
  </w:style>
  <w:style w:type="paragraph" w:styleId="ListNumber3">
    <w:name w:val="List Number 3"/>
    <w:basedOn w:val="Normal"/>
    <w:unhideWhenUsed/>
    <w:pPr>
      <w:numPr>
        <w:numId w:val="6"/>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7"/>
      </w:numPr>
    </w:pPr>
    <w:rPr>
      <w:lang w:eastAsia="en-GB"/>
    </w:rPr>
  </w:style>
  <w:style w:type="paragraph" w:customStyle="1" w:styleId="ListDash1">
    <w:name w:val="List Dash 1"/>
    <w:basedOn w:val="Normal"/>
    <w:pPr>
      <w:numPr>
        <w:numId w:val="8"/>
      </w:numPr>
    </w:pPr>
    <w:rPr>
      <w:lang w:eastAsia="en-GB"/>
    </w:rPr>
  </w:style>
  <w:style w:type="paragraph" w:customStyle="1" w:styleId="ListDash2">
    <w:name w:val="List Dash 2"/>
    <w:basedOn w:val="Normal"/>
    <w:pPr>
      <w:numPr>
        <w:numId w:val="9"/>
      </w:numPr>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62441">
      <w:bodyDiv w:val="1"/>
      <w:marLeft w:val="0"/>
      <w:marRight w:val="0"/>
      <w:marTop w:val="0"/>
      <w:marBottom w:val="0"/>
      <w:divBdr>
        <w:top w:val="none" w:sz="0" w:space="0" w:color="auto"/>
        <w:left w:val="none" w:sz="0" w:space="0" w:color="auto"/>
        <w:bottom w:val="none" w:sz="0" w:space="0" w:color="auto"/>
        <w:right w:val="none" w:sz="0" w:space="0" w:color="auto"/>
      </w:divBdr>
    </w:div>
    <w:div w:id="129305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intracomm.ec.europa.eu/budgweb/EN/leg/internal/Documents/2016-5-legislative-financial-statement-ann-en.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1D1B7-DD71-4DDB-9761-119479F1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3</TotalTime>
  <Pages>25</Pages>
  <Words>7193</Words>
  <Characters>38129</Characters>
  <Application>Microsoft Office Word</Application>
  <DocSecurity>0</DocSecurity>
  <Lines>1361</Lines>
  <Paragraphs>472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HEILEMANN Stefanie (SG)</cp:lastModifiedBy>
  <cp:revision>21</cp:revision>
  <cp:lastPrinted>2019-08-30T14:30:00Z</cp:lastPrinted>
  <dcterms:created xsi:type="dcterms:W3CDTF">2019-08-30T16:23:00Z</dcterms:created>
  <dcterms:modified xsi:type="dcterms:W3CDTF">2019-09-04T07:58:00Z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