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F5EBD26-0370-432A-BA5A-E2C91653DB64" style="width:450.75pt;height:351.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МЕМОРАНМДУМ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rPr>
          <w:noProof/>
          <w:sz w:val="23"/>
          <w:szCs w:val="23"/>
        </w:rPr>
      </w:pPr>
      <w:r>
        <w:rPr>
          <w:noProof/>
        </w:rPr>
        <w:t>Целта на настоящото предложение е да се даде възможност на Европейския фонд за приспособяване към глобализацията (ЕФПГ) да подкрепя работници, които са били съкратени вследствие на възможните икономически сътресения, причинени от оттеглянето на Обединено Кралство Великобритания и Северна Ирландия (Обединеното кралство) от Съюза без споразумение за оттегляне.</w:t>
      </w:r>
    </w:p>
    <w:p>
      <w:pPr>
        <w:rPr>
          <w:noProof/>
        </w:rPr>
      </w:pPr>
      <w:r>
        <w:rPr>
          <w:noProof/>
        </w:rPr>
        <w:t>На 29 март 2017 г. Обединеното кралство подаде уведомление за намерението си да се оттегли от Съюза в съответствие с член 50 от Договора за Европейския съюз (ДЕС). По искане на Обединеното кралство, на 11 април 2019 г. Европейският съвет (член 50) се съгласи</w:t>
      </w:r>
      <w:r>
        <w:rPr>
          <w:rStyle w:val="FootnoteReference"/>
          <w:noProof/>
        </w:rPr>
        <w:footnoteReference w:id="1"/>
      </w:r>
      <w:r>
        <w:rPr>
          <w:noProof/>
        </w:rPr>
        <w:t xml:space="preserve"> да продължи допълнително</w:t>
      </w:r>
      <w:r>
        <w:rPr>
          <w:rStyle w:val="FootnoteReference"/>
          <w:noProof/>
        </w:rPr>
        <w:footnoteReference w:id="2"/>
      </w:r>
      <w:r>
        <w:rPr>
          <w:noProof/>
        </w:rPr>
        <w:t xml:space="preserve"> предвидения в член 50, параграф 3 от ДЕС срок до 31 октомври 2019 г. Ако не ратифицира споразумението за оттегляне</w:t>
      </w:r>
      <w:r>
        <w:rPr>
          <w:rStyle w:val="FootnoteReference"/>
          <w:noProof/>
        </w:rPr>
        <w:footnoteReference w:id="3"/>
      </w:r>
      <w:r>
        <w:rPr>
          <w:noProof/>
        </w:rPr>
        <w:t xml:space="preserve"> до 31 октомври 2019 г. или не поиска трето продължаване, което Европейският съвет (член 50) да приеме единодушно, Обединеното кралство ще напусне Съюза без споразумение и ще стане трета държава, считано от 1 ноември 2019 г. При липсата на споразумение за оттегляне е вероятно това оттегляне да има значителни отрицателни последици за някои сектори и услуги, което ще доведе до съкращения на хора, работещи в тези сектори.</w:t>
      </w:r>
    </w:p>
    <w:p>
      <w:pPr>
        <w:rPr>
          <w:noProof/>
        </w:rPr>
      </w:pPr>
      <w:r>
        <w:rPr>
          <w:noProof/>
        </w:rPr>
        <w:t>Целта на ЕФПГ е да подкрепя съкратени работници и самостоятелно заети лица, чиято дейност е била прекратена в резултат на големи структурни промени в моделите на световната търговия, произтичащи от глобализацията или в резултат на глобални финансови и икономически кризи.</w:t>
      </w:r>
    </w:p>
    <w:p>
      <w:pPr>
        <w:rPr>
          <w:noProof/>
          <w:sz w:val="22"/>
        </w:rPr>
      </w:pPr>
      <w:r>
        <w:rPr>
          <w:noProof/>
        </w:rPr>
        <w:t>В рамките на критерия за глобализация приложното поле на ЕФПГ включва съкращенията, причинени от преместване на работни места в трети държави, значителна промяна в търговията на Съюза със стоки или услуги или бързо понижаване на пазарния дял на Съюза в определен сектор. В настоящото предложение се посочва, че в приложното поле на ЕФПГ влизат съкратените работници в области, сектори, територии и пазари на труда, засегнати от сериозни икономически смущения вследствие на оттеглянето на Обединеното кралство от Съюза без споразумение за оттегляне. Подобно оттегляне ще представлява важна промяна в търговските отношения на ЕС и състава на вътрешния пазар и следователно може да се очаква да има значително въздействие върху моделите на търговията, растежа и работните места.</w:t>
      </w:r>
    </w:p>
    <w:p>
      <w:pPr>
        <w:rPr>
          <w:noProof/>
        </w:rPr>
      </w:pP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със съществуващите разпоредби в тази област на политиката и с други политики на Съюза</w:t>
      </w:r>
    </w:p>
    <w:p>
      <w:pPr>
        <w:pBdr>
          <w:top w:val="nil"/>
          <w:left w:val="nil"/>
          <w:bottom w:val="nil"/>
          <w:right w:val="nil"/>
          <w:between w:val="nil"/>
          <w:bar w:val="nil"/>
        </w:pBdr>
        <w:spacing w:before="0" w:after="240"/>
        <w:rPr>
          <w:rFonts w:eastAsia="Arial Unicode MS"/>
          <w:noProof/>
        </w:rPr>
      </w:pPr>
      <w:r>
        <w:rPr>
          <w:noProof/>
        </w:rPr>
        <w:t>Настоящото предложение е част от плана на Съюза за готовност и извънредни действия, целящ смекчаване на най-значимите сътресения, причинени от оттеглянето на Обединеното кралство от Съюза без споразумение за оттегляне.</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rPr>
          <w:noProof/>
        </w:rPr>
      </w:pPr>
      <w:r>
        <w:rPr>
          <w:noProof/>
        </w:rPr>
        <w:t>Правното основание е Договорът за функционирането на Европейския съюз (ДФЕС) и по-специално член 175, трета алинея.</w:t>
      </w:r>
    </w:p>
    <w:p>
      <w:pPr>
        <w:pBdr>
          <w:top w:val="nil"/>
          <w:left w:val="nil"/>
          <w:bottom w:val="nil"/>
          <w:right w:val="nil"/>
          <w:between w:val="nil"/>
          <w:bar w:val="nil"/>
        </w:pBdr>
        <w:spacing w:before="0" w:after="240"/>
        <w:rPr>
          <w:rFonts w:eastAsia="Arial Unicode MS"/>
          <w:noProof/>
        </w:rPr>
      </w:pPr>
      <w:r>
        <w:rPr>
          <w:noProof/>
        </w:rPr>
        <w:t>Ако се окажат необходими специфични действия извън рамките на структурните фондове и без да се накърняват мерките, за които е взето решение в рамките на друга политика на Съюза, член 175, трета алинея дава възможност на Европейския парламент и на Съвета да предприемат действия в съответствие с обикновената законодателна процедура и след консултация с Европейския икономически и социален комитет и Европейския комитет на регионите.</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(за неизключителна компетентност) </w:t>
      </w:r>
    </w:p>
    <w:p>
      <w:pPr>
        <w:pBdr>
          <w:top w:val="nil"/>
          <w:left w:val="nil"/>
          <w:bottom w:val="nil"/>
          <w:right w:val="nil"/>
          <w:between w:val="nil"/>
          <w:bar w:val="nil"/>
        </w:pBdr>
        <w:spacing w:before="0" w:after="240"/>
        <w:rPr>
          <w:noProof/>
        </w:rPr>
      </w:pPr>
      <w:r>
        <w:rPr>
          <w:noProof/>
        </w:rPr>
        <w:t>Финансирането от бюджета на Съюза се съсредоточава върху дейности, чиито цели не могат да бъдат постигнати в достатъчна степен самостоятелно от държавите членки и когато намесата на Съюза може да придаде допълнителна стойност в сравнение със самостоятелните действия на държавите членки. Мобилизирането на ЕФПГ за финансиране на мерки, целящи подпомагането на съкратените работници да намерят нови работни места, съответства на принципа на субсидиарност и създава европейска добавена стойност.</w:t>
      </w:r>
    </w:p>
    <w:p>
      <w:pPr>
        <w:pBdr>
          <w:top w:val="nil"/>
          <w:left w:val="nil"/>
          <w:bottom w:val="nil"/>
          <w:right w:val="nil"/>
          <w:between w:val="nil"/>
          <w:bar w:val="nil"/>
        </w:pBdr>
        <w:spacing w:before="0" w:after="240"/>
        <w:rPr>
          <w:noProof/>
        </w:rPr>
      </w:pPr>
      <w:r>
        <w:rPr>
          <w:noProof/>
        </w:rPr>
        <w:t>Стандартна практика е националните програми за трудовите пазари да подпомагат съкратените работници и ЕФПГ няма за цел да замени тези програми. В случай на неочаквано преструктуриране, което има значително въздействие върху трудовия пазар, стандартните национални програми са поставени пред изпитание. Следователно поради мащаба и въздействието на неочакваното широкомащабно преструктуриране и поради това, че ЕФПГ представлява израз на солидарност между и в държавите членки, помощта може да се предостави по-ефективно на равнището на Съюза. Подкрепата от ЕФПГ ще направи солидарността на Съюза при извънредни обстоятелства по-осезаема за засегнатите работници и за гражданите на Съюза като цяло.</w:t>
      </w:r>
    </w:p>
    <w:p>
      <w:pPr>
        <w:pBdr>
          <w:top w:val="nil"/>
          <w:left w:val="nil"/>
          <w:bottom w:val="nil"/>
          <w:right w:val="nil"/>
          <w:between w:val="nil"/>
          <w:bar w:val="nil"/>
        </w:pBdr>
        <w:spacing w:before="0" w:after="240"/>
        <w:rPr>
          <w:rFonts w:eastAsia="Arial Unicode MS"/>
          <w:noProof/>
        </w:rPr>
      </w:pPr>
      <w:r>
        <w:rPr>
          <w:noProof/>
        </w:rPr>
        <w:t>Мобилизирането на ЕФПГ създава допълнителна стойност, като с него се увеличава общият брой на услугите, предлагани на съкратените работници, както и разнообразието на предлаганите услуги и тяхната интензивност. ЕФПГ позволява също така тестването на новаторски идеи, идентифицирането на най-добри практики и включването им в националния пакет от мерки за подкрепа. Мерките, съфинансирани от ЕФПГ, също допринасят за общото подобряване на предоставянето на подкрепата на съкратените работници.</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В съответствие с принципа на пропорционалност разпоредбите на настоящото предложение не надхвърлят необходимото за постигането на неговите цели. Административната тежест за Съюза и националните органи, кандидатстващи за подкрепа по линия на ЕФПГ, е ограничена до необходимото, за да може Комисията да упражнява своята отговорност, свързана с изпълнението на бюджета на Съюза. Тъй като финансовият принос се предоставя на съответната държава членка на принципа на споделеното управление, тази държава членка има задължението да докладва за начина на използване на средствата.</w:t>
      </w:r>
    </w:p>
    <w:p>
      <w:pPr>
        <w:pStyle w:val="ManualHeading2"/>
        <w:rPr>
          <w:rFonts w:eastAsia="Arial Unicode MS"/>
          <w:noProof/>
          <w:u w:color="000000"/>
          <w:bdr w:val="nil"/>
        </w:rPr>
      </w:pPr>
      <w:r>
        <w:rPr>
          <w:noProof/>
          <w:u w:color="000000"/>
          <w:bdr w:val="nil"/>
        </w:rPr>
        <w:lastRenderedPageBreak/>
        <w:t>•</w:t>
      </w:r>
      <w:r>
        <w:rPr>
          <w:noProof/>
          <w:u w:color="000000"/>
          <w:bdr w:val="nil"/>
        </w:rPr>
        <w:tab/>
        <w:t>Избор на инструмент</w:t>
      </w:r>
    </w:p>
    <w:p>
      <w:pPr>
        <w:rPr>
          <w:rFonts w:eastAsia="Arial Unicode MS"/>
          <w:noProof/>
        </w:rPr>
      </w:pPr>
      <w:r>
        <w:rPr>
          <w:noProof/>
        </w:rPr>
        <w:t>Тъй като с настоящото предложение се изменя Регламент (ЕС) № 1309/2013, то трябва да бъде под формата на регламент.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Настоящото предложение се приема в контекста на извънредните мерки за смекчаване на най-сериозните сътресения, свързани с оттеглянето на Обединеното кралство от Съюза без споразумение за оттегляне. Европейската комисия анализира рисковете и заключи, че настоящото предложение е необходимо, за да се гарантира ефективна реакция на ЕФПГ за проява на солидарност със съкратените работници в Съюза вследствие на оттеглянето на Обединеното кралство от Съюза без споразумение за оттегляне.</w:t>
      </w:r>
    </w:p>
    <w:p>
      <w:pPr>
        <w:pStyle w:val="ManualHeading1"/>
        <w:rPr>
          <w:noProof/>
        </w:rPr>
      </w:pPr>
      <w:r>
        <w:rPr>
          <w:noProof/>
        </w:rPr>
        <w:t>4.</w:t>
      </w:r>
      <w:r>
        <w:rPr>
          <w:noProof/>
        </w:rPr>
        <w:tab/>
        <w:t>ОТРАЖЕНИЕ ВЪРХУ БЮДЖЕТА</w:t>
      </w:r>
    </w:p>
    <w:p>
      <w:pPr>
        <w:rPr>
          <w:noProof/>
        </w:rPr>
      </w:pPr>
      <w:r>
        <w:rPr>
          <w:noProof/>
        </w:rPr>
        <w:t>В член 12 от Регламент (ЕС, Евратом) № 1311/2013 на Съвета от 2 декември 2013 г. за определяне на многогодишната финансова рамка за годините 2014—2020 се предвижда, че ЕФПГ не може да надхвърля максимален годишен размер от 150 милиона евро (по цени от 2011 г.).</w:t>
      </w:r>
    </w:p>
    <w:p>
      <w:pPr>
        <w:pBdr>
          <w:top w:val="nil"/>
          <w:left w:val="nil"/>
          <w:bottom w:val="nil"/>
          <w:right w:val="nil"/>
          <w:between w:val="nil"/>
          <w:bar w:val="nil"/>
        </w:pBdr>
        <w:spacing w:before="0" w:after="240"/>
        <w:rPr>
          <w:rFonts w:eastAsia="Arial Unicode MS"/>
          <w:noProof/>
        </w:rPr>
      </w:pPr>
      <w:r>
        <w:rPr>
          <w:noProof/>
        </w:rPr>
        <w:t>Настоящото предложение не променя максималния годишен размер на ЕФПГ.</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В предложеното изменение на член 2 се посочва, че оттеглянето на Обединеното кралство от Съюза без споразумение за оттегляне попада в приложното поле на ЕФПГ. Целта е да се гарантира, че ЕФПГ може да реагира ефективно чрез предоставянето на подкрепа за съкратените работници в Съюза вследствие на оттеглянето на Обединеното кралство без споразумение за оттегляне.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2019/0180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1309/2013 относно Европейския фонд за приспособяване към глобализацията (2014—2020 г.)</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175, трета алинея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след консултация с Европейския икономически и социален комитет,</w:t>
      </w:r>
    </w:p>
    <w:p>
      <w:pPr>
        <w:rPr>
          <w:noProof/>
        </w:rPr>
      </w:pPr>
      <w:r>
        <w:rPr>
          <w:noProof/>
        </w:rPr>
        <w:t>след консултация с Комитета на регионите,</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С Регламент (ЕО) № 1927/2006 на Европейския парламент и на Съвета</w:t>
      </w:r>
      <w:r>
        <w:rPr>
          <w:rStyle w:val="FootnoteReference"/>
          <w:noProof/>
        </w:rPr>
        <w:footnoteReference w:id="4"/>
      </w:r>
      <w:r>
        <w:rPr>
          <w:noProof/>
        </w:rPr>
        <w:t xml:space="preserve"> бе създаден Европейският фонд за приспособяване към глобализацията (ЕФПГ) за многогодишната финансова рамка от 1 януари 2007 г. до 31 декември 2013 г. ЕФПГ беше създаден, за да се даде възможност на Съюза да проявява солидарност с работниците, които са загубили работните си места в резултат на големи структурни промени в моделите на световната търговия, произтичащи от глобализацията.</w:t>
      </w:r>
    </w:p>
    <w:p>
      <w:pPr>
        <w:pStyle w:val="ManualConsidrant"/>
        <w:rPr>
          <w:noProof/>
        </w:rPr>
      </w:pPr>
      <w:r>
        <w:rPr>
          <w:noProof/>
        </w:rPr>
        <w:t>(2)</w:t>
      </w:r>
      <w:r>
        <w:rPr>
          <w:noProof/>
        </w:rPr>
        <w:tab/>
        <w:t>Обхватът на ЕФПГ беше разширен през 2009 г. с Регламент (ЕО) № 546/2009 на Европейския парламент и на Съвета</w:t>
      </w:r>
      <w:r>
        <w:rPr>
          <w:rStyle w:val="FootnoteReference"/>
          <w:noProof/>
        </w:rPr>
        <w:footnoteReference w:id="5"/>
      </w:r>
      <w:r>
        <w:rPr>
          <w:noProof/>
        </w:rPr>
        <w:t xml:space="preserve"> като част от Европейския план за икономическо възстановяване, за да бъдат включени работниците, които са били съкратени като пряка последица от световната финансова и икономическа криза.</w:t>
      </w:r>
    </w:p>
    <w:p>
      <w:pPr>
        <w:pStyle w:val="ManualConsidrant"/>
        <w:rPr>
          <w:noProof/>
        </w:rPr>
      </w:pPr>
      <w:r>
        <w:rPr>
          <w:noProof/>
        </w:rPr>
        <w:t>(3)</w:t>
      </w:r>
      <w:r>
        <w:rPr>
          <w:noProof/>
        </w:rPr>
        <w:tab/>
        <w:t>С Регламент (ЕС) № 1309/2013 на Европейския парламент и на Съвета</w:t>
      </w:r>
      <w:r>
        <w:rPr>
          <w:rStyle w:val="FootnoteReference"/>
          <w:noProof/>
        </w:rPr>
        <w:footnoteReference w:id="6"/>
      </w:r>
      <w:r>
        <w:rPr>
          <w:noProof/>
        </w:rPr>
        <w:t xml:space="preserve"> беше създаден ЕФПГ за периода на многогодишната финансова рамка от 1 януари 2014 г. до 31 декември 2020 г. С него също така беше разширен обхватът на ЕФПГ, за да бъдат включени не само съкращенията в резултат на големи структурни промени в моделите на световната търговия, произтичащи от глобализацията, и съкращенията в резултат на сериозни икономически сътресения, предизвикани от продължаващата световна финансова и </w:t>
      </w:r>
      <w:r>
        <w:rPr>
          <w:noProof/>
        </w:rPr>
        <w:lastRenderedPageBreak/>
        <w:t>икономическа криза, предмет на Регламент (ЕО) № 546/2009, но и съкращения вследствие на всяка евентуална нова световна финансова и икономическа криза. Освен това с Регламент (ЕС, Евратом) 2018/1046 на Европейския парламент и на Съвета</w:t>
      </w:r>
      <w:r>
        <w:rPr>
          <w:rStyle w:val="FootnoteReference"/>
          <w:noProof/>
        </w:rPr>
        <w:footnoteReference w:id="7"/>
      </w:r>
      <w:r>
        <w:rPr>
          <w:noProof/>
        </w:rPr>
        <w:t xml:space="preserve"> беше изменен Регламент (ЕС) № 1309/2013, за да се въведат, наред с другото, правила, позволяващи ЕФПГ по изключение да обхваща колективни заявления, включващи малки и средни предприятия, разположени в един и същ регион и извършващи дейност в различни икономически сектори, класифицирани на равнището на разделенията на NACE Rev. 2</w:t>
      </w:r>
      <w:r>
        <w:rPr>
          <w:rStyle w:val="FootnoteReference"/>
          <w:noProof/>
        </w:rPr>
        <w:footnoteReference w:id="8"/>
      </w:r>
      <w:r>
        <w:rPr>
          <w:noProof/>
        </w:rPr>
        <w:t>, когато кандидатстващата държава членка докаже, че малките и средни предприятия са основният или единственият вид предприятия в този регион.</w:t>
      </w:r>
    </w:p>
    <w:p>
      <w:pPr>
        <w:pStyle w:val="ManualConsidrant"/>
        <w:rPr>
          <w:noProof/>
        </w:rPr>
      </w:pPr>
      <w:r>
        <w:rPr>
          <w:noProof/>
        </w:rPr>
        <w:t>(4)</w:t>
      </w:r>
      <w:r>
        <w:rPr>
          <w:noProof/>
        </w:rPr>
        <w:tab/>
        <w:t>На 29 март 2017 г. Обединеното кралство подаде уведомление за намерението си да се оттегли от Съюза съгласно член 50 от Договора за Европейския съюз (ДЕС). Договорите ще престанат да се прилагат спрямо Обединеното кралство, считано от датата на влизане в сила на споразумението за оттегляне, или при липса на такова, две години след нотификацията, освен ако Европейският съвет не реши в съгласие с Обединеното кралство с единодушие да продължи този срок.</w:t>
      </w:r>
    </w:p>
    <w:p>
      <w:pPr>
        <w:pStyle w:val="ManualConsidrant"/>
        <w:rPr>
          <w:noProof/>
        </w:rPr>
      </w:pPr>
      <w:r>
        <w:rPr>
          <w:noProof/>
        </w:rPr>
        <w:t>(5)</w:t>
      </w:r>
      <w:r>
        <w:rPr>
          <w:noProof/>
        </w:rPr>
        <w:tab/>
        <w:t>По искане на Обединеното кралство, на 11 април 2019 г. Европейският съвет (член 50) се съгласи</w:t>
      </w:r>
      <w:r>
        <w:rPr>
          <w:rStyle w:val="FootnoteReference"/>
          <w:noProof/>
        </w:rPr>
        <w:footnoteReference w:id="9"/>
      </w:r>
      <w:r>
        <w:rPr>
          <w:noProof/>
        </w:rPr>
        <w:t xml:space="preserve"> да продължи допълнително</w:t>
      </w:r>
      <w:r>
        <w:rPr>
          <w:rStyle w:val="FootnoteReference"/>
          <w:noProof/>
        </w:rPr>
        <w:footnoteReference w:id="10"/>
      </w:r>
      <w:r>
        <w:rPr>
          <w:noProof/>
        </w:rPr>
        <w:t xml:space="preserve"> предвидения в член 50, параграф 3 от ДЕС срок до 31 октомври 2019 г. Ако не ратифицира споразумението за оттегляне</w:t>
      </w:r>
      <w:r>
        <w:rPr>
          <w:rStyle w:val="FootnoteReference"/>
          <w:noProof/>
        </w:rPr>
        <w:footnoteReference w:id="11"/>
      </w:r>
      <w:r>
        <w:rPr>
          <w:noProof/>
        </w:rPr>
        <w:t xml:space="preserve"> до 31 октомври 2019 г. или не поиска трето продължаване, което Европейският съвет да приеме с единодушие, Обединеното кралство ще напусне Съюза без споразумение и ще стане трета държава, считано от 1 ноември 2019 г. Такова оттегляне без споразумение е вероятно да има отрицателно въздействие върху някои сектори и услуги, като доведе до съкращения на хора, работещи в тези сектори.</w:t>
      </w:r>
    </w:p>
    <w:p>
      <w:pPr>
        <w:pStyle w:val="ManualConsidrant"/>
        <w:rPr>
          <w:noProof/>
        </w:rPr>
      </w:pPr>
      <w:r>
        <w:rPr>
          <w:noProof/>
        </w:rPr>
        <w:t>(6)</w:t>
      </w:r>
      <w:r>
        <w:rPr>
          <w:noProof/>
        </w:rPr>
        <w:tab/>
        <w:t>С настоящия регламент за извънредни мерки се изменя Регламент (ЕС) № 1309/2013, за да се уточни, че съкращенията в резултат на оттеглянето на Обединеното кралство от Съюза без споразумение за оттегляне попада в приложното поле на ЕФПГ. Това гарантира, че ЕФПГ може да реагира ефективно, като предоставя подкрепа на съкратените работници в области, сектори, територии и пазари на труда, засегнати от сериозни икономически сътресения вследствие на оттеглянето на Обединеното кралство от Съюза без споразумение за оттегляне.</w:t>
      </w:r>
    </w:p>
    <w:p>
      <w:pPr>
        <w:pStyle w:val="ManualConsidrant"/>
        <w:rPr>
          <w:noProof/>
        </w:rPr>
      </w:pPr>
      <w:r>
        <w:rPr>
          <w:noProof/>
        </w:rPr>
        <w:lastRenderedPageBreak/>
        <w:t>(7)</w:t>
      </w:r>
      <w:r>
        <w:rPr>
          <w:noProof/>
        </w:rPr>
        <w:tab/>
        <w:t xml:space="preserve">Настоящият регламент следва да влезе в сила по спешност в деня след деня на публикуването му в </w:t>
      </w:r>
      <w:r>
        <w:rPr>
          <w:i/>
          <w:iCs/>
          <w:noProof/>
        </w:rPr>
        <w:t>Официален вестник на Европейския съюз</w:t>
      </w:r>
      <w:r>
        <w:rPr>
          <w:noProof/>
        </w:rPr>
        <w:t xml:space="preserve"> и да се прилага от деня след датата, на която Договорите престанат да се прилагат спрямо Обединеното кралство. Той обаче не следва да се прилага, ако до посочената дата влезе в сила споразумение за оттегляне, сключено с Обединеното кралство в съответствие с член 50, параграф 2 от ДЕС.</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В Регламент (ЕС) № 1309/2013 член 2, буква а) се заменя със следното:</w:t>
      </w:r>
    </w:p>
    <w:p>
      <w:pPr>
        <w:ind w:left="850"/>
        <w:rPr>
          <w:rFonts w:eastAsia="Calibri"/>
          <w:noProof/>
        </w:rPr>
      </w:pPr>
      <w:r>
        <w:rPr>
          <w:noProof/>
        </w:rPr>
        <w:t>„a) съкратени работници и самостоятелно заети лица, чиято дейност е била прекратена в резултат на големи структурни промени в моделите на световната търговия, произтичащи от глобализацията, проявени по-специално чрез съществено повишение на вноса в Съюза, значителна промяна в търговията на Съюза със стоки или услуги, бързо понижаване на пазарния дял на Съюза в определен сектор или изнасяне на дейности в трети държави, или в резултат на оттеглянето на Обединеното кралство от Съюза без споразумение за оттегляне, при положение че тези съкращения имат значително неблагоприятно въздействие върху местната, регионалната или националната икономика;“.</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деня след деня, на който Договорите престанат да се прилагат спрямо Обединеното кралство в съответствие с член 50, параграф 3 от Договора за Европейския съюз.</w:t>
      </w:r>
    </w:p>
    <w:p>
      <w:pPr>
        <w:rPr>
          <w:noProof/>
        </w:rPr>
      </w:pPr>
      <w:r>
        <w:rPr>
          <w:noProof/>
        </w:rPr>
        <w:t>Настоящият регламент обаче не се прилага, ако до деня след датата, на която Договорите престанат да се прилагат спрямо Обединеното кралство, е влязло в сила споразумение за оттегляне, сключено с Обединеното кралство в съответствие с член 50, параграф 2 от Договора за Европейския съюз.</w:t>
      </w:r>
    </w:p>
    <w:p>
      <w:pPr>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(EС) 2019/584 на Европейския съвет (OВ L 101, 11.4.2019 г., стр. 1).</w:t>
      </w:r>
    </w:p>
  </w:footnote>
  <w:footnote w:id="2">
    <w:p>
      <w:pPr>
        <w:pStyle w:val="FootnoteText"/>
      </w:pPr>
      <w:r>
        <w:rPr>
          <w:rStyle w:val="FootnoteReference"/>
        </w:rPr>
        <w:footnoteRef/>
      </w:r>
      <w:r>
        <w:tab/>
        <w:t>По искане от Обединеното кралство, на 22 март 2019 г. Европейският съвет взе решение за първо продължаване на срока (Решение (EС) 2019/476 на Европейския съвет (OВ L 80I, 22.3.2019 г., стр. 1).</w:t>
      </w:r>
    </w:p>
  </w:footnote>
  <w:footnote w:id="3">
    <w:p>
      <w:pPr>
        <w:pStyle w:val="FootnoteText"/>
      </w:pPr>
      <w:r>
        <w:rPr>
          <w:rStyle w:val="FootnoteReference"/>
        </w:rPr>
        <w:footnoteRef/>
      </w:r>
      <w:r>
        <w:tab/>
        <w:t>Споразумение за оттеглянето на Обединеното кралство Великобритания и Северна Ирландия от Европейския съюз и Европейската общност за атомна енергия (OВ C 144I, 25.4.2019 г., стр. 1).</w:t>
      </w:r>
    </w:p>
  </w:footnote>
  <w:footnote w:id="4">
    <w:p>
      <w:pPr>
        <w:pStyle w:val="FootnoteText"/>
      </w:pPr>
      <w:r>
        <w:rPr>
          <w:rStyle w:val="FootnoteReference"/>
        </w:rPr>
        <w:footnoteRef/>
      </w:r>
      <w:r>
        <w:tab/>
        <w:t>Регламент (ЕО) № 1927/2006 на Европейския парламент и на Съвета от 20 декември 2006 г. за създаване на Европейски фонд за приспособяване към глобализацията (</w:t>
      </w:r>
      <w:hyperlink r:id="rId1" w:history="1">
        <w:r>
          <w:rPr>
            <w:color w:val="0000FF"/>
            <w:u w:val="single"/>
          </w:rPr>
          <w:t>OВ L 406, 30.12.2006 г., стр. 1</w:t>
        </w:r>
      </w:hyperlink>
      <w:r>
        <w:t>).</w:t>
      </w:r>
    </w:p>
  </w:footnote>
  <w:footnote w:id="5">
    <w:p>
      <w:pPr>
        <w:pStyle w:val="FootnoteText"/>
      </w:pPr>
      <w:r>
        <w:rPr>
          <w:rStyle w:val="FootnoteReference"/>
        </w:rPr>
        <w:footnoteRef/>
      </w:r>
      <w:r>
        <w:tab/>
        <w:t>Регламент (ЕО) № 546/2009 на Европейския парламент и на Съвета от 18 юни 2009 г. за изменение на Регламент (ЕО) № 1927/2006 за създаване на Европейски фонд за приспособяване към глобализацията (</w:t>
      </w:r>
      <w:hyperlink r:id="rId2" w:history="1">
        <w:r>
          <w:rPr>
            <w:color w:val="0000FF"/>
            <w:u w:val="single"/>
          </w:rPr>
          <w:t>OВ L 167, 29.6.2009 г., стр. 26</w:t>
        </w:r>
      </w:hyperlink>
      <w:r>
        <w:t>).</w:t>
      </w:r>
    </w:p>
  </w:footnote>
  <w:footnote w:id="6">
    <w:p>
      <w:pPr>
        <w:pStyle w:val="FootnoteText"/>
      </w:pPr>
      <w:r>
        <w:rPr>
          <w:rStyle w:val="FootnoteReference"/>
        </w:rPr>
        <w:footnoteRef/>
      </w:r>
      <w:r>
        <w:tab/>
        <w:t>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 (</w:t>
      </w:r>
      <w:hyperlink r:id="rId3" w:history="1">
        <w:r>
          <w:rPr>
            <w:rStyle w:val="Hyperlink"/>
          </w:rPr>
          <w:t>OВ L 347, 20.12.2013 г., стр. 855</w:t>
        </w:r>
      </w:hyperlink>
      <w:r>
        <w:t>).</w:t>
      </w:r>
    </w:p>
  </w:footnote>
  <w:footnote w:id="7">
    <w:p>
      <w:pPr>
        <w:pStyle w:val="FootnoteText"/>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w:t>
      </w:r>
      <w:hyperlink r:id="rId4" w:history="1">
        <w:r>
          <w:rPr>
            <w:rStyle w:val="Hyperlink"/>
          </w:rPr>
          <w:t>OВ L 193, 30.7.2018 г., стр. 1</w:t>
        </w:r>
      </w:hyperlink>
      <w:r>
        <w:t>).</w:t>
      </w:r>
    </w:p>
  </w:footnote>
  <w:footnote w:id="8">
    <w:p>
      <w:pPr>
        <w:pStyle w:val="FootnoteText"/>
      </w:pPr>
      <w:r>
        <w:rPr>
          <w:rStyle w:val="FootnoteReference"/>
        </w:rPr>
        <w:footnoteRef/>
      </w:r>
      <w:r>
        <w:tab/>
        <w:t>Регламент (ЕО) № 1893/2006 на Европейския парламент и на Съвета от 20 декември 2006 г. за установяване на статистическа класификация на икономическите дейности NACE Rev. 2 и за изменение на Регламент (ЕИО) № 3037/90 на Съвета, както и на някои ЕО регламенти относно специфичните статистически области (</w:t>
      </w:r>
      <w:hyperlink r:id="rId5" w:history="1">
        <w:r>
          <w:rPr>
            <w:rStyle w:val="Hyperlink"/>
          </w:rPr>
          <w:t>OВ L 393, 30.12.2006 г., стр. 1</w:t>
        </w:r>
      </w:hyperlink>
      <w:r>
        <w:t>).</w:t>
      </w:r>
    </w:p>
  </w:footnote>
  <w:footnote w:id="9">
    <w:p>
      <w:pPr>
        <w:pStyle w:val="FootnoteText"/>
      </w:pPr>
      <w:r>
        <w:rPr>
          <w:rStyle w:val="FootnoteReference"/>
        </w:rPr>
        <w:footnoteRef/>
      </w:r>
      <w:r>
        <w:tab/>
        <w:t>Решение (EС) 2019/584 на Европейския съвет (OВ L 101, 11.4.2019 г., стр. 1).</w:t>
      </w:r>
    </w:p>
  </w:footnote>
  <w:footnote w:id="10">
    <w:p>
      <w:pPr>
        <w:pStyle w:val="FootnoteText"/>
      </w:pPr>
      <w:r>
        <w:rPr>
          <w:rStyle w:val="FootnoteReference"/>
        </w:rPr>
        <w:footnoteRef/>
      </w:r>
      <w:r>
        <w:tab/>
        <w:t>По искане от Обединеното кралство, на 22 март 2019 г. Европейският съвет взе решение за първо продължаване на срока (Решение (EС) 2019/476 на Европейския съвет (OВ L 80I, 22.3.2019 г., стр. 1).</w:t>
      </w:r>
    </w:p>
  </w:footnote>
  <w:footnote w:id="11">
    <w:p>
      <w:pPr>
        <w:pStyle w:val="FootnoteText"/>
      </w:pPr>
      <w:r>
        <w:rPr>
          <w:rStyle w:val="FootnoteReference"/>
        </w:rPr>
        <w:footnoteRef/>
      </w:r>
      <w:r>
        <w:tab/>
        <w:t>Споразумение за оттеглянето на Обединеното кралство Великобритания и Северна Ирландия от Европейския съюз и Европейската общност за атомна енергия (OВ C 144I, 25.4.2019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5633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EAC2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3890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4C1F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5C08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60E7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EE78CE"/>
    <w:lvl w:ilvl="0">
      <w:start w:val="1"/>
      <w:numFmt w:val="decimal"/>
      <w:pStyle w:val="ListNumber"/>
      <w:lvlText w:val="%1."/>
      <w:lvlJc w:val="left"/>
      <w:pPr>
        <w:tabs>
          <w:tab w:val="num" w:pos="360"/>
        </w:tabs>
        <w:ind w:left="360" w:hanging="360"/>
      </w:pPr>
    </w:lvl>
  </w:abstractNum>
  <w:abstractNum w:abstractNumId="7">
    <w:nsid w:val="FFFFFF89"/>
    <w:multiLevelType w:val="singleLevel"/>
    <w:tmpl w:val="E74AB1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9-09 10:48:5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F5EBD26-0370-432A-BA5A-E2C91653DB64"/>
    <w:docVar w:name="LW_COVERPAGE_TYPE" w:val="1"/>
    <w:docVar w:name="LW_CROSSREFERENCE" w:val="&lt;UNUSED&gt;"/>
    <w:docVar w:name="LW_DocType" w:val="COM"/>
    <w:docVar w:name="LW_EMISSION" w:val="4.9.2019"/>
    <w:docVar w:name="LW_EMISSION_ISODATE" w:val="2019-09-04"/>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80"/>
    <w:docVar w:name="LW_REF.II.NEW.CP_YEAR" w:val="2019"/>
    <w:docVar w:name="LW_REF.INST.NEW" w:val="COM"/>
    <w:docVar w:name="LW_REF.INST.NEW_ADOPTED" w:val="final"/>
    <w:docVar w:name="LW_REF.INST.NEW_TEXT" w:val="(2019) 3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09/2013 \u1086?\u1090?\u1085?\u1086?\u1089?\u1085?\u1086? \u1045?\u1074?\u1088?\u1086?\u1087?\u1077?\u1081?\u1089?\u1082?\u1080?\u1103? \u1092?\u1086?\u1085?\u1076? \u1079?\u1072? \u1087?\u1088?\u1080?\u1089?\u1087?\u1086?\u1089?\u1086?\u1073?\u1103?\u1074?\u1072?\u1085?\u1077? \u1082?\u1098?\u1084? \u1075?\u1083?\u1086?\u1073?\u1072?\u1083?\u1080?\u1079?\u1072?\u1094?\u1080?\u1103?\u1090?\u1072? (2014\u8212?2020 \u1075?.)"/>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aliases w:val="footnote text,footnote,fn,Fußnote,stile 1"/>
    <w:basedOn w:val="Normal"/>
    <w:uiPriority w:val="99"/>
    <w:semiHidden/>
    <w:unhideWhenUsed/>
    <w:qFormat/>
    <w:pPr>
      <w:spacing w:before="0" w:after="0"/>
      <w:ind w:left="720" w:hanging="720"/>
    </w:pPr>
    <w:rPr>
      <w:rFonts w:eastAsia="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aliases w:val="footnote text,footnote,fn,Fußnote,stile 1"/>
    <w:basedOn w:val="Normal"/>
    <w:uiPriority w:val="99"/>
    <w:semiHidden/>
    <w:unhideWhenUsed/>
    <w:qFormat/>
    <w:pPr>
      <w:spacing w:before="0" w:after="0"/>
      <w:ind w:left="720" w:hanging="720"/>
    </w:pPr>
    <w:rPr>
      <w:rFonts w:eastAsia="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9751">
      <w:bodyDiv w:val="1"/>
      <w:marLeft w:val="0"/>
      <w:marRight w:val="0"/>
      <w:marTop w:val="0"/>
      <w:marBottom w:val="0"/>
      <w:divBdr>
        <w:top w:val="none" w:sz="0" w:space="0" w:color="auto"/>
        <w:left w:val="none" w:sz="0" w:space="0" w:color="auto"/>
        <w:bottom w:val="none" w:sz="0" w:space="0" w:color="auto"/>
        <w:right w:val="none" w:sz="0" w:space="0" w:color="auto"/>
      </w:divBdr>
    </w:div>
    <w:div w:id="727654056">
      <w:bodyDiv w:val="1"/>
      <w:marLeft w:val="0"/>
      <w:marRight w:val="0"/>
      <w:marTop w:val="0"/>
      <w:marBottom w:val="0"/>
      <w:divBdr>
        <w:top w:val="none" w:sz="0" w:space="0" w:color="auto"/>
        <w:left w:val="none" w:sz="0" w:space="0" w:color="auto"/>
        <w:bottom w:val="none" w:sz="0" w:space="0" w:color="auto"/>
        <w:right w:val="none" w:sz="0" w:space="0" w:color="auto"/>
      </w:divBdr>
    </w:div>
    <w:div w:id="132180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2013/1309/oj" TargetMode="External"/><Relationship Id="rId2" Type="http://schemas.openxmlformats.org/officeDocument/2006/relationships/hyperlink" Target="http://eur-lex.europa.eu/legal-content/BG/AUTO/?uri=OJ:L:2009:167:TOC" TargetMode="External"/><Relationship Id="rId1" Type="http://schemas.openxmlformats.org/officeDocument/2006/relationships/hyperlink" Target="http://eur-lex.europa.eu/legal-content/EN/AUTO/?uri=OJ:L:2006:406:TOC" TargetMode="External"/><Relationship Id="rId5" Type="http://schemas.openxmlformats.org/officeDocument/2006/relationships/hyperlink" Target="https://eur-lex.europa.eu/legal-content/BG/TXT/HTML/?uri=CELEX:32006R1893&amp;from=EN" TargetMode="External"/><Relationship Id="rId4" Type="http://schemas.openxmlformats.org/officeDocument/2006/relationships/hyperlink" Target="http://data.europa.eu/eli/reg/2018/1046/oj?locale=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E037F7-C44F-49C2-984E-0819652F2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1966</Words>
  <Characters>11448</Characters>
  <Application>Microsoft Office Word</Application>
  <DocSecurity>0</DocSecurity>
  <Lines>212</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2019-09-06T09:56:00Z</dcterms:created>
  <dcterms:modified xsi:type="dcterms:W3CDTF">2019-09-09T08:48:00Z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Category">
    <vt:lpwstr>COM/PL/ORG</vt:lpwstr>
  </property>
  <property fmtid="{D5CDD505-2E9C-101B-9397-08002B2CF9AE}" pid="8" name="DQCStatus">
    <vt:lpwstr>Green (DQC version 03)</vt:lpwstr>
  </property>
</Properties>
</file>