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40EF2CA-041E-4E0E-9487-B30EF37FB7E5" style="width:450pt;height:348.7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szCs w:val="24"/>
        </w:rPr>
      </w:pPr>
      <w:bookmarkStart w:id="1" w:name="_GoBack"/>
      <w:bookmarkEnd w:id="1"/>
      <w:r>
        <w:rPr>
          <w:noProof/>
          <w:szCs w:val="24"/>
        </w:rPr>
        <w:lastRenderedPageBreak/>
        <w:t>СЪОБЩЕНИЕ НА КОМИСИЯТА ДО ЕВРОПЕЙСКИЯ ПАРЛАМЕНТ, ЕВРОПЕЙСКИЯ СЪВЕТ, СЪВЕТА, ЕВРОПЕЙСКАТА ЦЕНТРАЛНА БАНКА, ЕВРОПЕЙСКИЯ ИКОНОМИЧЕСКИ И СОЦИАЛЕН КОМИТЕТ, КОМИТЕТА НА РЕГИОНИТЕ И ЕВРОПЕЙСКАТА ИНВЕСТИЦИОННА БАНКА</w:t>
      </w:r>
    </w:p>
    <w:p>
      <w:pPr>
        <w:pStyle w:val="Titreobjet"/>
        <w:rPr>
          <w:noProof/>
          <w:szCs w:val="24"/>
        </w:rPr>
      </w:pPr>
      <w:r>
        <w:rPr>
          <w:noProof/>
          <w:szCs w:val="24"/>
        </w:rPr>
        <w:t>Приключване на подготовката за оттеглянето на Обединеното кралство от Европейския съюз на 1 ноември 2019 г.</w:t>
      </w:r>
    </w:p>
    <w:p>
      <w:pPr>
        <w:pStyle w:val="Heading1"/>
        <w:numPr>
          <w:ilvl w:val="0"/>
          <w:numId w:val="26"/>
        </w:numPr>
        <w:spacing w:before="360" w:after="240"/>
        <w:jc w:val="both"/>
        <w:rPr>
          <w:rFonts w:cs="Times New Roman"/>
          <w:b/>
          <w:noProof/>
          <w:color w:val="auto"/>
          <w:szCs w:val="24"/>
        </w:rPr>
      </w:pPr>
      <w:r>
        <w:rPr>
          <w:rFonts w:cs="Times New Roman"/>
          <w:b/>
          <w:bCs/>
          <w:smallCaps/>
          <w:noProof/>
          <w:szCs w:val="24"/>
          <w:u w:color="000000"/>
          <w:bdr w:val="nil"/>
        </w:rPr>
        <w:t>Въведение</w:t>
      </w:r>
    </w:p>
    <w:p>
      <w:pPr>
        <w:spacing w:after="240" w:line="240" w:lineRule="auto"/>
        <w:jc w:val="both"/>
        <w:rPr>
          <w:rFonts w:ascii="Times New Roman" w:eastAsia="Arial Unicode MS" w:hAnsi="Times New Roman" w:cs="Times New Roman"/>
          <w:noProof/>
          <w:sz w:val="24"/>
          <w:szCs w:val="24"/>
          <w:u w:color="000000"/>
          <w:bdr w:val="nil"/>
        </w:rPr>
      </w:pPr>
      <w:r>
        <w:rPr>
          <w:rFonts w:ascii="Times New Roman" w:hAnsi="Times New Roman" w:cs="Times New Roman"/>
          <w:noProof/>
          <w:sz w:val="24"/>
          <w:szCs w:val="24"/>
          <w:u w:color="000000"/>
          <w:bdr w:val="nil"/>
        </w:rPr>
        <w:t>На 29 март 2017 г. Обединеното кралство уведоми за намерението си да се оттегли от Европейския съюз, като се позова на процедурата, предвидена в член 50 от Договора за Европейския съюз (ДЕС). На 11 април 2019 г., по искане на Обединеното кралство, Европейският съвет (член 50) одобри</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u w:color="000000"/>
          <w:bdr w:val="nil"/>
        </w:rPr>
        <w:t xml:space="preserve"> допълнително удължаване на срока, предвиден в член 50, параграф 3 от ДЕС, до 31 октомври 2019 г. Освен ако Обединеното кралство ратифицира Споразумението за оттегляне до 31 октомври 2019 г.</w:t>
      </w:r>
      <w:r>
        <w:rPr>
          <w:rStyle w:val="FootnoteReference"/>
          <w:rFonts w:ascii="Times New Roman" w:eastAsia="Arial Unicode MS" w:hAnsi="Times New Roman" w:cs="Times New Roman"/>
          <w:noProof/>
          <w:sz w:val="24"/>
          <w:szCs w:val="24"/>
          <w:u w:color="000000"/>
          <w:bdr w:val="nil"/>
        </w:rPr>
        <w:footnoteReference w:id="3"/>
      </w:r>
      <w:r>
        <w:rPr>
          <w:rFonts w:ascii="Times New Roman" w:hAnsi="Times New Roman" w:cs="Times New Roman"/>
          <w:noProof/>
          <w:sz w:val="24"/>
          <w:szCs w:val="24"/>
          <w:u w:color="000000"/>
          <w:bdr w:val="nil"/>
        </w:rPr>
        <w:t xml:space="preserve"> или поиска трето удължаване, което Европейският съвет (член 50) одобри с единодушие, от 1 ноември 2019 г. Обединеното кралство ще бъде трета държава без споразумение за гарантиране на организирано оттегляне. </w:t>
      </w:r>
    </w:p>
    <w:p>
      <w:pPr>
        <w:spacing w:after="240" w:line="240" w:lineRule="auto"/>
        <w:jc w:val="both"/>
        <w:rPr>
          <w:rFonts w:ascii="Times New Roman" w:eastAsia="Arial Unicode MS" w:hAnsi="Times New Roman" w:cs="Times New Roman"/>
          <w:noProof/>
          <w:sz w:val="24"/>
          <w:szCs w:val="24"/>
          <w:u w:color="000000"/>
          <w:bdr w:val="nil"/>
        </w:rPr>
      </w:pPr>
      <w:r>
        <w:rPr>
          <w:rFonts w:ascii="Times New Roman" w:hAnsi="Times New Roman" w:cs="Times New Roman"/>
          <w:noProof/>
          <w:sz w:val="24"/>
          <w:szCs w:val="24"/>
          <w:u w:color="000000"/>
          <w:bdr w:val="nil"/>
        </w:rPr>
        <w:t>От самото начало на преговорите ясното становище на Комисията бе, че организираното оттегляне на Обединеното кралство от Европейския съюз въз основа на Споразумението за оттегляне е най-доброто решение. Както Комисията е подчертавала многократно, оттеглянето без споразумение ще доведе до значителни сътресения както в Обединеното кралство, така и в ЕС-27. Извънредните мерки могат само да смекчат най-сериозните смущения от оттеглянето без споразумение.</w:t>
      </w:r>
    </w:p>
    <w:p>
      <w:pPr>
        <w:spacing w:after="240" w:line="240" w:lineRule="auto"/>
        <w:jc w:val="both"/>
        <w:rPr>
          <w:rFonts w:ascii="Times New Roman" w:eastAsia="Arial Unicode MS" w:hAnsi="Times New Roman" w:cs="Times New Roman"/>
          <w:noProof/>
          <w:sz w:val="24"/>
          <w:szCs w:val="24"/>
          <w:u w:color="000000"/>
          <w:bdr w:val="nil"/>
        </w:rPr>
      </w:pPr>
      <w:r>
        <w:rPr>
          <w:rFonts w:ascii="Times New Roman" w:hAnsi="Times New Roman" w:cs="Times New Roman"/>
          <w:noProof/>
          <w:sz w:val="24"/>
          <w:szCs w:val="24"/>
          <w:u w:color="000000"/>
          <w:bdr w:val="nil"/>
        </w:rPr>
        <w:t>Крайният срок — 31 октомври 2019 г., е след само осем седмици. Краткото време, което остава, и политическата ситуация в Обединеното кралство увеличиха риска Обединеното кралство да се оттегли на тази дата без споразумение. В съответствие с подхода, на който Европейският съвет (член 50) наблягаше в хода на целия процес, всички участници трябва да продължат да се подготвят за всички възможни резултати. Ето защо сега всички участници следва да направят необходимите окончателни корекции в своите планове във връзка с евентуално оттегляне без споразумение на 1 ноември 2019 г. Те следва да не изхождат от предположението, че Обединеното кралство ще поиска трето удължаване на срока и че то ще бъде одобрено от Европейския съвет (член 50) преди 31 октомври.</w:t>
      </w:r>
    </w:p>
    <w:p>
      <w:pPr>
        <w:rPr>
          <w:rFonts w:ascii="Times New Roman" w:hAnsi="Times New Roman" w:cs="Times New Roman"/>
          <w:noProof/>
          <w:sz w:val="24"/>
          <w:szCs w:val="24"/>
          <w:u w:color="000000"/>
          <w:bdr w:val="nil"/>
        </w:rPr>
      </w:pPr>
      <w:r>
        <w:rPr>
          <w:rFonts w:ascii="Times New Roman" w:hAnsi="Times New Roman" w:cs="Times New Roman"/>
          <w:noProof/>
          <w:sz w:val="24"/>
          <w:szCs w:val="24"/>
        </w:rPr>
        <w:br w:type="page"/>
      </w:r>
    </w:p>
    <w:p>
      <w:pPr>
        <w:pStyle w:val="Heading1"/>
        <w:numPr>
          <w:ilvl w:val="0"/>
          <w:numId w:val="26"/>
        </w:numPr>
        <w:spacing w:before="360" w:after="240"/>
        <w:rPr>
          <w:rFonts w:eastAsia="Arial Unicode MS" w:cs="Times New Roman"/>
          <w:b/>
          <w:bCs/>
          <w:smallCaps/>
          <w:noProof/>
          <w:color w:val="auto"/>
          <w:szCs w:val="24"/>
          <w:u w:color="000000"/>
          <w:bdr w:val="nil"/>
        </w:rPr>
      </w:pPr>
      <w:r>
        <w:rPr>
          <w:rFonts w:cs="Times New Roman"/>
          <w:b/>
          <w:bCs/>
          <w:smallCaps/>
          <w:noProof/>
          <w:szCs w:val="24"/>
          <w:u w:color="000000"/>
          <w:bdr w:val="nil"/>
        </w:rPr>
        <w:lastRenderedPageBreak/>
        <w:t>Права на гражданите</w:t>
      </w:r>
    </w:p>
    <w:p>
      <w:pPr>
        <w:spacing w:after="240" w:line="240" w:lineRule="auto"/>
        <w:jc w:val="both"/>
        <w:rPr>
          <w:rFonts w:ascii="Times New Roman" w:eastAsia="Arial Unicode MS" w:hAnsi="Times New Roman" w:cs="Times New Roman"/>
          <w:noProof/>
          <w:sz w:val="24"/>
          <w:szCs w:val="24"/>
          <w:u w:color="000000"/>
          <w:bdr w:val="nil"/>
        </w:rPr>
      </w:pPr>
      <w:r>
        <w:rPr>
          <w:rFonts w:ascii="Times New Roman" w:hAnsi="Times New Roman" w:cs="Times New Roman"/>
          <w:noProof/>
          <w:sz w:val="24"/>
          <w:szCs w:val="24"/>
          <w:u w:color="000000"/>
          <w:bdr w:val="nil"/>
        </w:rPr>
        <w:t>Комисията последователно е заявявала, че закрилата на гражданите на ЕС в Обединеното кралство, както и на гражданите на Обединеното кралство в Европейския съюз представлява приоритет. Както бе посочено в петото съобщение относно готовността за Брексит от 12 юни 2019 г.</w:t>
      </w:r>
      <w:r>
        <w:rPr>
          <w:rStyle w:val="FootnoteReference"/>
          <w:rFonts w:ascii="Times New Roman" w:hAnsi="Times New Roman" w:cs="Times New Roman"/>
          <w:noProof/>
          <w:sz w:val="24"/>
          <w:szCs w:val="24"/>
          <w:u w:color="000000"/>
          <w:bdr w:val="nil"/>
        </w:rPr>
        <w:footnoteReference w:id="4"/>
      </w:r>
      <w:r>
        <w:rPr>
          <w:rFonts w:ascii="Times New Roman" w:hAnsi="Times New Roman" w:cs="Times New Roman"/>
          <w:noProof/>
          <w:sz w:val="24"/>
          <w:szCs w:val="24"/>
          <w:u w:color="000000"/>
          <w:bdr w:val="nil"/>
        </w:rPr>
        <w:t>, държавите — членки на ЕС-27, са въвели национални извънредни мерки, за да се гарантира, че лицата с националност на Обединеното кралство и членовете на техните семейства, които не са граждани на ЕС, ще могат да продължат да пребивават законно в периода непосредствено след евентуално оттегляне без споразумение. Комисията работи с държавите — членки на ЕС-27, за да гарантира съгласуваност в цялостния подход, като същевременно отчита, че е необходима гъвкавост на национално равнище. Комисията предоставя актуализиран обзор на всички национални извънредни мерки относно правата на пребиваване на своите уебстраници за готовността за Брексит</w:t>
      </w:r>
      <w:r>
        <w:rPr>
          <w:rStyle w:val="FootnoteReference"/>
          <w:rFonts w:ascii="Times New Roman" w:hAnsi="Times New Roman" w:cs="Times New Roman"/>
          <w:noProof/>
          <w:sz w:val="24"/>
          <w:szCs w:val="24"/>
          <w:u w:color="000000"/>
          <w:bdr w:val="nil"/>
        </w:rPr>
        <w:footnoteReference w:id="5"/>
      </w:r>
      <w:r>
        <w:rPr>
          <w:rFonts w:ascii="Times New Roman" w:hAnsi="Times New Roman" w:cs="Times New Roman"/>
          <w:noProof/>
          <w:sz w:val="24"/>
          <w:szCs w:val="24"/>
          <w:u w:color="000000"/>
          <w:bdr w:val="nil"/>
        </w:rPr>
        <w:t xml:space="preserve">. </w:t>
      </w:r>
    </w:p>
    <w:p>
      <w:pPr>
        <w:spacing w:after="240" w:line="240" w:lineRule="auto"/>
        <w:jc w:val="both"/>
        <w:rPr>
          <w:rFonts w:ascii="Times New Roman" w:eastAsia="Arial Unicode MS" w:hAnsi="Times New Roman" w:cs="Times New Roman"/>
          <w:noProof/>
          <w:sz w:val="24"/>
          <w:szCs w:val="24"/>
          <w:u w:color="000000"/>
          <w:bdr w:val="nil"/>
        </w:rPr>
      </w:pPr>
      <w:r>
        <w:rPr>
          <w:rFonts w:ascii="Times New Roman" w:hAnsi="Times New Roman" w:cs="Times New Roman"/>
          <w:noProof/>
          <w:sz w:val="24"/>
          <w:szCs w:val="24"/>
          <w:u w:color="000000"/>
          <w:bdr w:val="nil"/>
        </w:rPr>
        <w:t>Гражданите на ЕС, пребиваващи в Обединеното кралство, могат да намерят информация за правата си за пребиваване в Обединеното кралство на уебсайта на правителството на Обединеното кралство</w:t>
      </w:r>
      <w:r>
        <w:rPr>
          <w:rStyle w:val="FootnoteReference"/>
          <w:rFonts w:ascii="Times New Roman" w:eastAsia="Arial Unicode MS" w:hAnsi="Times New Roman" w:cs="Times New Roman"/>
          <w:noProof/>
          <w:sz w:val="24"/>
          <w:szCs w:val="24"/>
          <w:u w:color="000000"/>
          <w:bdr w:val="nil"/>
        </w:rPr>
        <w:footnoteReference w:id="6"/>
      </w:r>
      <w:r>
        <w:rPr>
          <w:rFonts w:ascii="Times New Roman" w:hAnsi="Times New Roman" w:cs="Times New Roman"/>
          <w:noProof/>
          <w:sz w:val="24"/>
          <w:szCs w:val="24"/>
          <w:u w:color="000000"/>
          <w:bdr w:val="nil"/>
        </w:rPr>
        <w:t>. В допълнение към усилията на дипломатическите представителства на държавите членки в Обединеното кралство, представителствата на Комисията в Обединеното кралство и съответните служби в Брюксел ще продължат да следят отблизо стъпките, предприети от Обединеното кралство по отношение на постоянното пребиваване на гражданите на Съюза в Обединеното кралство. Те ще предоставят информация и експертен опит на заинтересованите граждани в тази връзка.</w:t>
      </w:r>
    </w:p>
    <w:p>
      <w:pPr>
        <w:spacing w:after="240" w:line="240" w:lineRule="auto"/>
        <w:jc w:val="both"/>
        <w:rPr>
          <w:rFonts w:ascii="Times New Roman" w:hAnsi="Times New Roman" w:cs="Times New Roman"/>
          <w:noProof/>
          <w:sz w:val="24"/>
          <w:szCs w:val="24"/>
          <w:u w:color="000000"/>
          <w:bdr w:val="nil"/>
        </w:rPr>
      </w:pPr>
      <w:r>
        <w:rPr>
          <w:rFonts w:ascii="Times New Roman" w:hAnsi="Times New Roman" w:cs="Times New Roman"/>
          <w:noProof/>
          <w:sz w:val="24"/>
          <w:szCs w:val="24"/>
        </w:rPr>
        <w:t>При все че социалноосигурителните права на гражданите по отношение на Обединеното кралство преди оттеглянето са защитени от съответния регламент за извънредни мерки</w:t>
      </w:r>
      <w:r>
        <w:rPr>
          <w:rStyle w:val="FootnoteReference"/>
          <w:rFonts w:ascii="Times New Roman" w:hAnsi="Times New Roman" w:cs="Times New Roman"/>
          <w:noProof/>
          <w:sz w:val="24"/>
          <w:szCs w:val="24"/>
          <w:u w:color="000000"/>
          <w:bdr w:val="nil"/>
        </w:rPr>
        <w:footnoteReference w:id="7"/>
      </w:r>
      <w:r>
        <w:rPr>
          <w:rFonts w:ascii="Times New Roman" w:hAnsi="Times New Roman" w:cs="Times New Roman"/>
          <w:noProof/>
          <w:sz w:val="24"/>
          <w:szCs w:val="24"/>
        </w:rPr>
        <w:t xml:space="preserve">, някои държави членки въвеждат и едностранни извънредни мерки на национално равнище за периода след оттеглянето. Тези мерки допълват защитата на социалноосигурителните права, гарантирана на равнището на ЕС, например чрез прилагане на принципа на сумиране към периодите на заетост, осигуряване и пребиваване в Обединеното кралство след оттеглянето или чрез допълнителна защита на социалноосигурителните права на тези граждани след оттеглянето. </w:t>
      </w:r>
      <w:r>
        <w:rPr>
          <w:rFonts w:ascii="Times New Roman" w:hAnsi="Times New Roman" w:cs="Times New Roman"/>
          <w:noProof/>
          <w:sz w:val="24"/>
          <w:szCs w:val="24"/>
          <w:u w:color="000000"/>
          <w:bdr w:val="nil"/>
        </w:rPr>
        <w:t>На своите уебстраници за готовността за Брексит Комисията предоставя актуализиран обзор на всички национални извънредни мерки в областта на социалноосигурителните права</w:t>
      </w:r>
      <w:r>
        <w:rPr>
          <w:rStyle w:val="FootnoteReference"/>
          <w:rFonts w:ascii="Times New Roman" w:hAnsi="Times New Roman" w:cs="Times New Roman"/>
          <w:noProof/>
          <w:sz w:val="24"/>
          <w:szCs w:val="24"/>
          <w:u w:color="000000"/>
          <w:bdr w:val="nil"/>
        </w:rPr>
        <w:footnoteReference w:id="8"/>
      </w:r>
      <w:r>
        <w:rPr>
          <w:rFonts w:ascii="Times New Roman" w:hAnsi="Times New Roman" w:cs="Times New Roman"/>
          <w:noProof/>
          <w:sz w:val="24"/>
          <w:szCs w:val="24"/>
          <w:u w:color="000000"/>
          <w:bdr w:val="nil"/>
        </w:rPr>
        <w:t>.</w:t>
      </w:r>
    </w:p>
    <w:p>
      <w:pPr>
        <w:pStyle w:val="Heading1"/>
        <w:numPr>
          <w:ilvl w:val="0"/>
          <w:numId w:val="26"/>
        </w:numPr>
        <w:spacing w:before="360" w:after="240"/>
        <w:rPr>
          <w:rFonts w:eastAsia="Arial Unicode MS" w:cs="Times New Roman"/>
          <w:b/>
          <w:bCs/>
          <w:smallCaps/>
          <w:noProof/>
          <w:color w:val="auto"/>
          <w:szCs w:val="24"/>
          <w:u w:color="000000"/>
          <w:bdr w:val="nil"/>
        </w:rPr>
      </w:pPr>
      <w:r>
        <w:rPr>
          <w:rFonts w:cs="Times New Roman"/>
          <w:b/>
          <w:bCs/>
          <w:smallCaps/>
          <w:noProof/>
          <w:szCs w:val="24"/>
          <w:u w:color="000000"/>
          <w:bdr w:val="nil"/>
        </w:rPr>
        <w:lastRenderedPageBreak/>
        <w:t>Приключване на подготовката в избрани сектори</w:t>
      </w:r>
    </w:p>
    <w:p>
      <w:pPr>
        <w:pStyle w:val="NormalWeb"/>
        <w:spacing w:before="0" w:beforeAutospacing="0" w:after="240" w:afterAutospacing="0"/>
        <w:jc w:val="both"/>
        <w:rPr>
          <w:rFonts w:eastAsia="Arial Unicode MS"/>
          <w:noProof/>
          <w:u w:color="000000"/>
          <w:bdr w:val="nil"/>
        </w:rPr>
      </w:pPr>
      <w:r>
        <w:rPr>
          <w:noProof/>
          <w:u w:color="000000"/>
          <w:bdr w:val="nil"/>
        </w:rPr>
        <w:t xml:space="preserve">Във всяко от петте си предишни </w:t>
      </w:r>
      <w:r>
        <w:rPr>
          <w:noProof/>
        </w:rPr>
        <w:t>съобщения относно готовността за Брексит</w:t>
      </w:r>
      <w:r>
        <w:rPr>
          <w:rStyle w:val="FootnoteReference"/>
          <w:noProof/>
          <w:u w:color="000000"/>
          <w:bdr w:val="nil"/>
        </w:rPr>
        <w:footnoteReference w:id="9"/>
      </w:r>
      <w:r>
        <w:rPr>
          <w:noProof/>
          <w:u w:color="000000"/>
          <w:bdr w:val="nil"/>
        </w:rPr>
        <w:t xml:space="preserve"> Комисията приканваше заинтересованите страни да се подготвят. Тя ще продължи да се обръща към всички заинтересовани страни, за да предоставя информация и съвети. Държавите членки и частните субекти, включително сдруженията и търговските камари, следва също така да продължат да предоставят информация, за да помогнат на гражданите и предприятията да приключат подготовката си, включително чрез многобройните форуми, създадени специално с тази цел. </w:t>
      </w:r>
    </w:p>
    <w:p>
      <w:pPr>
        <w:pStyle w:val="NormalWeb"/>
        <w:spacing w:before="0" w:beforeAutospacing="0" w:after="240" w:afterAutospacing="0"/>
        <w:jc w:val="both"/>
        <w:rPr>
          <w:rFonts w:eastAsia="Arial Unicode MS"/>
          <w:noProof/>
          <w:u w:color="000000"/>
          <w:bdr w:val="nil"/>
        </w:rPr>
      </w:pPr>
      <w:r>
        <w:rPr>
          <w:noProof/>
          <w:u w:color="000000"/>
          <w:bdr w:val="nil"/>
        </w:rPr>
        <w:t>За да се подпомогнат предприятията да проверят състоянието на своята готовност и да определят действията, които все още са необходими за приключване на подготовката им с оглед на оттегляне без споразумение на 1 ноември 2019 г., Комисията предостави на своите уебстраници за готовността за Брексит „Контролен списък за готовността за Брексит“</w:t>
      </w:r>
      <w:r>
        <w:rPr>
          <w:rStyle w:val="FootnoteReference"/>
          <w:noProof/>
          <w:u w:color="000000"/>
          <w:bdr w:val="nil"/>
        </w:rPr>
        <w:footnoteReference w:id="10"/>
      </w:r>
      <w:r>
        <w:rPr>
          <w:noProof/>
          <w:u w:color="000000"/>
          <w:bdr w:val="nil"/>
        </w:rPr>
        <w:t>. Комисията публикува също така специфични секторни известия за заинтересованите страни по различни въпроси</w:t>
      </w:r>
      <w:r>
        <w:rPr>
          <w:rStyle w:val="FootnoteReference"/>
          <w:noProof/>
          <w:u w:color="000000"/>
          <w:bdr w:val="nil"/>
        </w:rPr>
        <w:footnoteReference w:id="11"/>
      </w:r>
      <w:r>
        <w:rPr>
          <w:noProof/>
          <w:u w:color="000000"/>
          <w:bdr w:val="nil"/>
        </w:rPr>
        <w:t xml:space="preserve">. Подобни инструменти бяха изготвени на национално равнище и от различни стопански асоциации. Всички икономически оператори се приканват да използват този вид инструменти. </w:t>
      </w:r>
    </w:p>
    <w:p>
      <w:pPr>
        <w:pStyle w:val="NormalWeb"/>
        <w:spacing w:before="0" w:beforeAutospacing="0" w:after="240" w:afterAutospacing="0"/>
        <w:jc w:val="both"/>
        <w:rPr>
          <w:noProof/>
        </w:rPr>
      </w:pPr>
      <w:r>
        <w:rPr>
          <w:noProof/>
        </w:rPr>
        <w:t>В настоящия раздел акцентът се поставя върху избрани области, в които е необходимо през идните месеци да продължи да се упражнява особена бдителност.</w:t>
      </w:r>
    </w:p>
    <w:p>
      <w:pPr>
        <w:pStyle w:val="Heading1"/>
        <w:keepLines w:val="0"/>
        <w:numPr>
          <w:ilvl w:val="1"/>
          <w:numId w:val="26"/>
        </w:numPr>
        <w:spacing w:after="240"/>
        <w:ind w:left="426" w:hanging="431"/>
        <w:rPr>
          <w:rFonts w:eastAsia="Arial Unicode MS" w:cs="Times New Roman"/>
          <w:b/>
          <w:bCs/>
          <w:noProof/>
          <w:color w:val="auto"/>
          <w:szCs w:val="24"/>
          <w:u w:color="000000"/>
          <w:bdr w:val="nil"/>
        </w:rPr>
      </w:pPr>
      <w:r>
        <w:rPr>
          <w:rFonts w:cs="Times New Roman"/>
          <w:b/>
          <w:bCs/>
          <w:noProof/>
          <w:szCs w:val="24"/>
          <w:u w:color="000000"/>
          <w:bdr w:val="nil"/>
        </w:rPr>
        <w:t>Гранични формалности и търговия</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u w:color="000000"/>
          <w:bdr w:val="nil"/>
        </w:rPr>
        <w:t xml:space="preserve">Всички сектори, които търгуват с Обединеното кралство, както със стоки, така и с услуги, ще бъдат засегнати от оттеглянето. Що се отнася по-специално до търговията със стоки, </w:t>
      </w:r>
      <w:r>
        <w:rPr>
          <w:rFonts w:ascii="Times New Roman" w:hAnsi="Times New Roman" w:cs="Times New Roman"/>
          <w:noProof/>
          <w:sz w:val="24"/>
          <w:szCs w:val="24"/>
        </w:rPr>
        <w:t xml:space="preserve">икономическите оператори трябва да се подготвят за важни последици </w:t>
      </w:r>
      <w:r>
        <w:rPr>
          <w:rFonts w:ascii="Times New Roman" w:hAnsi="Times New Roman" w:cs="Times New Roman"/>
          <w:noProof/>
          <w:sz w:val="24"/>
          <w:szCs w:val="24"/>
          <w:u w:color="000000"/>
          <w:bdr w:val="nil"/>
        </w:rPr>
        <w:t xml:space="preserve">в </w:t>
      </w:r>
      <w:r>
        <w:rPr>
          <w:rFonts w:ascii="Times New Roman" w:hAnsi="Times New Roman" w:cs="Times New Roman"/>
          <w:noProof/>
          <w:sz w:val="24"/>
          <w:szCs w:val="24"/>
        </w:rPr>
        <w:t>областта на митническите формалности, непрякото данъчно облагане и, когато е приложимо, санитарните и фитосанитарните проверки от 1 ноември 2019 г., ако Обединеното кралство се оттегли от Съюза без споразумение. Тези последици включват, наред с другото, прилагането на</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митнически формалности. Ще трябва да бъдат подавани декларации и митническите органи могат да изискват гаранции за потенциални или съществуващи митнически задължения. По отношение на някои стоки, въвеждани в ЕС от Обединеното кралство или напускащи ЕС към Обединеното кралство, може да се прилагат също така </w:t>
      </w:r>
      <w:r>
        <w:rPr>
          <w:rFonts w:ascii="Times New Roman" w:hAnsi="Times New Roman" w:cs="Times New Roman"/>
          <w:bCs/>
          <w:noProof/>
          <w:sz w:val="24"/>
          <w:szCs w:val="24"/>
        </w:rPr>
        <w:t>забрани или ограничения</w:t>
      </w:r>
      <w:r>
        <w:rPr>
          <w:rFonts w:ascii="Times New Roman" w:hAnsi="Times New Roman" w:cs="Times New Roman"/>
          <w:noProof/>
          <w:sz w:val="24"/>
          <w:szCs w:val="24"/>
        </w:rPr>
        <w:t>, което означава, че е възможно да се изискват лицензи за внос или износ.</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От 1 ноември 2019 г. стоките от Обединеното кралство, въвеждани в ЕС, също така ще подлежат на </w:t>
      </w:r>
      <w:r>
        <w:rPr>
          <w:rFonts w:ascii="Times New Roman" w:hAnsi="Times New Roman" w:cs="Times New Roman"/>
          <w:bCs/>
          <w:noProof/>
          <w:sz w:val="24"/>
          <w:szCs w:val="24"/>
        </w:rPr>
        <w:t>мита</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а стоките от ЕС могат да бъдат облагани с мита в Обединеното кралство. Средните тарифи на ЕС са около 2,7 % за неселскостопанските продукти, внасяни в Съюза, и 8,1 % за селскостопанските продукти</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Например данъчното облагане на млечните продукти е средно 44,8 %, на месото — 17,8 %, на рибата — 11,4 %, на дрехите — 11,5 %, а на автомобилите — 10 %</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Икономическите оператори от ЕС-27 следва да подложат на оценка своите вериги на доставки и да гарантират, че техните бизнес планове отчитат прилагането на тези мита. Държавите членки също така ще налагат </w:t>
      </w:r>
      <w:r>
        <w:rPr>
          <w:rFonts w:ascii="Times New Roman" w:hAnsi="Times New Roman" w:cs="Times New Roman"/>
          <w:bCs/>
          <w:noProof/>
          <w:sz w:val="24"/>
          <w:szCs w:val="24"/>
        </w:rPr>
        <w:t>данък върху добавената стойност на стоките</w:t>
      </w:r>
      <w:r>
        <w:rPr>
          <w:rFonts w:ascii="Times New Roman" w:hAnsi="Times New Roman" w:cs="Times New Roman"/>
          <w:noProof/>
          <w:sz w:val="24"/>
          <w:szCs w:val="24"/>
        </w:rPr>
        <w:t xml:space="preserve">, които се въвеждат в ЕС от Обединеното кралство. </w:t>
      </w:r>
    </w:p>
    <w:p>
      <w:pPr>
        <w:pStyle w:val="NormalWeb"/>
        <w:spacing w:before="0" w:beforeAutospacing="0" w:after="240" w:afterAutospacing="0"/>
        <w:jc w:val="both"/>
        <w:rPr>
          <w:rFonts w:eastAsia="Arial Unicode MS"/>
          <w:noProof/>
          <w:u w:color="000000"/>
          <w:bdr w:val="nil"/>
        </w:rPr>
      </w:pPr>
      <w:r>
        <w:rPr>
          <w:noProof/>
          <w:u w:color="000000"/>
          <w:bdr w:val="nil"/>
        </w:rPr>
        <w:t xml:space="preserve">За да се сведат до минимум смущенията на търговията със стоки, преминаващи границата, от първия ден след оттеглянето търговците, превозвачите и спедиторите от цяла Европа, които възнамеряват да придвижват стоки от или към Обединеното кралство, трябва да са готови да изпълнят всички изисквани формалности. Те трябва да направят тези приготовления, независимо от това къде са установени. Това е проблем, засягащ не само тези, които са установени в региони, съседни на Обединеното кралство, или които търгуват в големи обеми с Обединеното кралство. </w:t>
      </w:r>
    </w:p>
    <w:p>
      <w:pPr>
        <w:pStyle w:val="NormalWeb"/>
        <w:spacing w:before="0" w:beforeAutospacing="0" w:after="240" w:afterAutospacing="0"/>
        <w:jc w:val="both"/>
        <w:rPr>
          <w:rFonts w:eastAsia="Arial Unicode MS"/>
          <w:noProof/>
          <w:u w:color="000000"/>
          <w:bdr w:val="nil"/>
        </w:rPr>
      </w:pPr>
      <w:r>
        <w:rPr>
          <w:noProof/>
          <w:u w:color="000000"/>
          <w:bdr w:val="nil"/>
        </w:rPr>
        <w:t>Всички страни, участващи във веригата на доставки, трябва да бъдат запознати с отговорностите си при изпълнението на всички изисквани формалности и да гарантират, че изискваните документация и сертификати са изрядни. Подготовката за съответните формалности може да отнеме време и да включва контакти със съответните органи от двете страни на границата. Превозът на стоки съгласно общия транзитен режим намалява формалностите при преминаването на границата</w:t>
      </w:r>
      <w:r>
        <w:rPr>
          <w:rStyle w:val="FootnoteReference"/>
          <w:noProof/>
        </w:rPr>
        <w:footnoteReference w:id="15"/>
      </w:r>
      <w:r>
        <w:rPr>
          <w:noProof/>
          <w:u w:color="000000"/>
          <w:bdr w:val="nil"/>
        </w:rPr>
        <w:t xml:space="preserve">. Като се имат предвид възможните смущения на границите към момента на оттеглянето, търговците, превозвачите и спедиторите следва да следят положението по предпочитания от тях търговски маршрут и да предприемат съответни действия. </w:t>
      </w:r>
    </w:p>
    <w:p>
      <w:pPr>
        <w:pStyle w:val="NormalWeb"/>
        <w:spacing w:before="0" w:beforeAutospacing="0" w:after="240" w:afterAutospacing="0"/>
        <w:jc w:val="both"/>
        <w:rPr>
          <w:rFonts w:eastAsia="Arial Unicode MS"/>
          <w:noProof/>
          <w:u w:color="000000"/>
          <w:bdr w:val="nil"/>
        </w:rPr>
      </w:pPr>
      <w:r>
        <w:rPr>
          <w:noProof/>
          <w:u w:color="000000"/>
          <w:bdr w:val="nil"/>
        </w:rPr>
        <w:t>Износът на стоки с произход от ЕС трябва да отговаря на съответните изисквания, за да се ползва от търговските преференции, предоставени по силата на търговски споразумения</w:t>
      </w:r>
      <w:r>
        <w:rPr>
          <w:rStyle w:val="FootnoteReference"/>
          <w:noProof/>
          <w:u w:color="000000"/>
          <w:bdr w:val="nil"/>
        </w:rPr>
        <w:footnoteReference w:id="16"/>
      </w:r>
      <w:r>
        <w:rPr>
          <w:noProof/>
          <w:u w:color="000000"/>
          <w:bdr w:val="nil"/>
        </w:rPr>
        <w:t>. Материали, части и компоненти с произход от Обединеното кралство, които са вложени в стоки, произведени в ЕС, не се определят като продукти с произход от ЕС. Поради това операторите трябва да адаптират своите вериги за доставка и да гарантират, че изнесените стоки, както и всички документи и формалности, спазват изискванията на правилата за произход по силата на съответните търговски споразумения.</w:t>
      </w:r>
    </w:p>
    <w:p>
      <w:pPr>
        <w:pStyle w:val="NormalWeb"/>
        <w:spacing w:before="0" w:beforeAutospacing="0" w:after="240" w:afterAutospacing="0"/>
        <w:jc w:val="both"/>
        <w:rPr>
          <w:rFonts w:eastAsia="Arial Unicode MS"/>
          <w:noProof/>
          <w:u w:color="000000"/>
          <w:bdr w:val="nil"/>
        </w:rPr>
      </w:pPr>
      <w:r>
        <w:rPr>
          <w:noProof/>
          <w:u w:color="000000"/>
          <w:bdr w:val="nil"/>
        </w:rPr>
        <w:t>Комисията изготви редица известия и подробни документи с насоки в областта на митниците, произхода, данъка върху добавената стойност и акцизите, които могат да бъдат намерени онлайн</w:t>
      </w:r>
      <w:r>
        <w:rPr>
          <w:rStyle w:val="FootnoteReference"/>
          <w:noProof/>
        </w:rPr>
        <w:footnoteReference w:id="17"/>
      </w:r>
      <w:r>
        <w:rPr>
          <w:noProof/>
          <w:u w:color="000000"/>
          <w:bdr w:val="nil"/>
        </w:rPr>
        <w:t>. Кратки курсове за електронно обучение относно последиците от Брексит в областта на митниците и данъчното облагане и фишове за практическо въведение в основни митнически понятия също са достъпни онлайн</w:t>
      </w:r>
      <w:r>
        <w:rPr>
          <w:rStyle w:val="FootnoteReference"/>
          <w:noProof/>
        </w:rPr>
        <w:footnoteReference w:id="18"/>
      </w:r>
      <w:r>
        <w:rPr>
          <w:noProof/>
          <w:u w:color="000000"/>
          <w:bdr w:val="nil"/>
        </w:rPr>
        <w:t xml:space="preserve">. </w:t>
      </w:r>
    </w:p>
    <w:p>
      <w:pPr>
        <w:pStyle w:val="NormalWeb"/>
        <w:spacing w:before="0" w:beforeAutospacing="0" w:after="240" w:afterAutospacing="0"/>
        <w:jc w:val="both"/>
        <w:rPr>
          <w:rFonts w:eastAsia="Arial Unicode MS"/>
          <w:noProof/>
          <w:u w:color="000000"/>
          <w:bdr w:val="nil"/>
        </w:rPr>
      </w:pPr>
      <w:r>
        <w:rPr>
          <w:noProof/>
          <w:u w:color="000000"/>
          <w:bdr w:val="nil"/>
        </w:rPr>
        <w:t>В петото си съобщение относно готовността за Брексит от 12 юни 2019 г.</w:t>
      </w:r>
      <w:r>
        <w:rPr>
          <w:rStyle w:val="FootnoteReference"/>
          <w:noProof/>
        </w:rPr>
        <w:footnoteReference w:id="19"/>
      </w:r>
      <w:r>
        <w:rPr>
          <w:noProof/>
          <w:u w:color="000000"/>
          <w:bdr w:val="nil"/>
        </w:rPr>
        <w:t xml:space="preserve"> Комисията подчерта, че първата фаза на комуникационната кампания вече е показала, че някои предприятия са предприели действия, но усилията във всички държави членки трябва да продължат до датата на оттегляне. Комисията ще активизира своята многоезична комуникационна кампания</w:t>
      </w:r>
      <w:r>
        <w:rPr>
          <w:rStyle w:val="FootnoteReference"/>
          <w:noProof/>
        </w:rPr>
        <w:footnoteReference w:id="20"/>
      </w:r>
      <w:r>
        <w:rPr>
          <w:noProof/>
          <w:u w:color="000000"/>
          <w:bdr w:val="nil"/>
        </w:rPr>
        <w:t>, стартирана на 18 февруари 2019 г., насочена към предприятията от ЕС и за която цялата информация е публично достъпна</w:t>
      </w:r>
      <w:r>
        <w:rPr>
          <w:rStyle w:val="FootnoteReference"/>
          <w:noProof/>
        </w:rPr>
        <w:footnoteReference w:id="21"/>
      </w:r>
      <w:r>
        <w:rPr>
          <w:noProof/>
          <w:u w:color="000000"/>
          <w:bdr w:val="nil"/>
        </w:rPr>
        <w:t>.</w:t>
      </w:r>
      <w:r>
        <w:rPr>
          <w:noProof/>
        </w:rPr>
        <w:t>.</w:t>
      </w:r>
      <w:r>
        <w:rPr>
          <w:noProof/>
          <w:u w:color="000000"/>
          <w:bdr w:val="nil"/>
        </w:rPr>
        <w:t xml:space="preserve"> </w:t>
      </w:r>
    </w:p>
    <w:p>
      <w:pPr>
        <w:pStyle w:val="NormalWeb"/>
        <w:spacing w:before="0" w:beforeAutospacing="0" w:after="240" w:afterAutospacing="0"/>
        <w:jc w:val="both"/>
        <w:rPr>
          <w:rFonts w:eastAsia="Arial Unicode MS"/>
          <w:noProof/>
          <w:u w:color="000000"/>
          <w:bdr w:val="nil"/>
        </w:rPr>
      </w:pPr>
      <w:r>
        <w:rPr>
          <w:noProof/>
          <w:u w:color="000000"/>
          <w:bdr w:val="nil"/>
        </w:rPr>
        <w:t>От своя страна, държавите членки, и по-специално тези, които са основните входни и изходни точки за търговията на Европейския съюз с Обединеното кралство, са направили значителни инвестиции по отношение на човешките ресурси и инфраструктурата, както физическа (включително гранични инспекционни пунктове), така и технологична, за да се улесни движението на стоки по техните граници с Обединеното кралство. Освен това тези държави членки са се заели и ще продължат да се занимават през следващите месеци с информационни и комуникационни кампании, разясняващи на всички заинтересовани страни всички изисквани формалности както по отношение на митниците</w:t>
      </w:r>
      <w:r>
        <w:rPr>
          <w:rStyle w:val="FootnoteReference"/>
          <w:noProof/>
        </w:rPr>
        <w:footnoteReference w:id="22"/>
      </w:r>
      <w:r>
        <w:rPr>
          <w:noProof/>
          <w:u w:color="000000"/>
          <w:bdr w:val="nil"/>
        </w:rPr>
        <w:t>, така и по отношение на санитарния и фитосанитарния контрол</w:t>
      </w:r>
      <w:r>
        <w:rPr>
          <w:rStyle w:val="FootnoteReference"/>
          <w:noProof/>
        </w:rPr>
        <w:footnoteReference w:id="23"/>
      </w:r>
      <w:r>
        <w:rPr>
          <w:noProof/>
          <w:u w:color="000000"/>
          <w:bdr w:val="nil"/>
        </w:rPr>
        <w:t>. Търговците, превозвачите и спедиторите се приканват да се запознаят със съответните формалности, както и с работните процеси и технологичната инфраструктура, които се използват по предвидения от тях търговски маршрут</w:t>
      </w:r>
      <w:r>
        <w:rPr>
          <w:rStyle w:val="FootnoteReference"/>
          <w:noProof/>
        </w:rPr>
        <w:footnoteReference w:id="24"/>
      </w:r>
      <w:r>
        <w:rPr>
          <w:noProof/>
          <w:u w:color="000000"/>
          <w:bdr w:val="nil"/>
        </w:rPr>
        <w:t>.</w:t>
      </w:r>
      <w:r>
        <w:rPr>
          <w:noProof/>
        </w:rPr>
        <w:t>.</w:t>
      </w:r>
      <w:r>
        <w:rPr>
          <w:noProof/>
          <w:u w:color="000000"/>
          <w:bdr w:val="nil"/>
        </w:rPr>
        <w:t xml:space="preserve"> </w:t>
      </w:r>
    </w:p>
    <w:p>
      <w:pPr>
        <w:pStyle w:val="Heading1"/>
        <w:keepLines w:val="0"/>
        <w:numPr>
          <w:ilvl w:val="1"/>
          <w:numId w:val="26"/>
        </w:numPr>
        <w:spacing w:after="240"/>
        <w:ind w:left="426" w:hanging="431"/>
        <w:rPr>
          <w:rFonts w:eastAsia="Arial Unicode MS" w:cs="Times New Roman"/>
          <w:b/>
          <w:bCs/>
          <w:noProof/>
          <w:color w:val="auto"/>
          <w:szCs w:val="24"/>
          <w:u w:color="000000"/>
          <w:bdr w:val="nil"/>
        </w:rPr>
      </w:pPr>
      <w:r>
        <w:rPr>
          <w:rFonts w:cs="Times New Roman"/>
          <w:b/>
          <w:bCs/>
          <w:noProof/>
          <w:szCs w:val="24"/>
          <w:u w:color="000000"/>
          <w:bdr w:val="nil"/>
        </w:rPr>
        <w:t>Лекарствени продукти, медицински изделия и химични вещества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При все че подготовката за оттеглянето на Обединеното кралство в областта на лекарствените продукти, медицинските изделия и химичните вещества се ускори в края на март и в началото на април 2019 г., все още са необходими значителни окончателни усилия</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Комисията, заедно с Европейската агенция по лекарствата, мрежата на ръководителите на агенциите по лекарствата, мрежата на компетентните органи по медицинските изделия и Европейската агенция по химикали, продължава да се обръща към заинтересованите страни, за да им напомни за необходимостта от подготовка преди 31 октомври 2019 г. Без промяна остава фактът, че ако лекарствените продукти, медицинските изделия и химичните вещества не бъдат приведени в съответствие с правилата на ЕС, те не могат да бъдат пуснати на пазара на ЕС след тази дата. Комисията смята, че текущото удължаване на срока, предвиден в член 50, параграф 3 от ДЕС, предоставя достатъчно време за постигането на тази цел и не планира да приеме допълнителни извънредни мерки.</w:t>
      </w:r>
    </w:p>
    <w:p>
      <w:pPr>
        <w:keepNext/>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Лекарствени продукти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Лекарствените продукти за хуманна употреба и ветеринарните лекарствени продукти са или централно разрешени от Комисията, или са разрешени на национално равнище от държавите членки. Оттеглянето на Обединеното кралство засяга и двете категории лекарствени продукти. Както бе посочено в петото съобщение относно готовността за Брексит от 12 юни 2019 г.</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Европейската агенция по лекарствата бе вече близо до гарантиране на спазването на регулаторните изисквания за почти всички централно разрешени продукти през април 2019 г., като същевременно бе необходима допълнителна работа за продуктите, разрешени на национално равнище. Оттогава е постигнат значителен напредък, като над 80 % от продуктите, получили разрешение на национално равнище, са на път да постигнат до 31 октомври 2019 г. съответствие с регулаторните изисквания. Този напредък бе постигнат отчасти поради временното изключение, осигуряващо време на дружествата до края на 2019 г., за да прехвърлят своите съоръжения за изпитване на партиди от Обединеното кралство в ЕС-27. Независимо от това положително развитие, този индустриален сектор се насърчава настоятелно да гарантира, че до 31 октомври 2019 г. всички съответни разрешени продукти отговарят напълно на регулаторните изисквания и че прехвърлянето на съоръженията за изпитване на партиди е приключило към 31 декември 2019 г., за да се гарантира, че съответните продукти могат да продължат да бъдат пускани на пазара на ЕС. Освен това, с оглед на конкретните предизвикателства, пред които са изправени по-малките държави членки, разчитащи до голяма степен на разрешенията за пускане на пазара на Обединеното кралство в миналото, медицинският индустриален сектор има отговорност да работи с тези държави членки, за да се гарантира, че те ще продължат да имат достъп до лекарствени продукти.</w:t>
      </w:r>
    </w:p>
    <w:p>
      <w:pPr>
        <w:keepNext/>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Медицински изделия</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Данните от нотифицираните органи на Обединеното кралство показват, че прехвърлянето към нотифицираните органи на ЕС-27 на сертификати за медицински изделия, които са пуснати на пазара на ЕС-27, е в напреднал етап и за огромната част от изделията е на път да приключи до 31 октомври 2019 г. Работната група във връзка с Брексит на мрежата на компетентните органи по медицинските изделия, която работи в тясно сътрудничество с Комисията, в момента обобщава напредъка по останалите сертификати въз основа на резултатите от проведено през лятото на 2019 г. проучване със съответните производители и нотифицирани органи. Резултатите показват, че все още има производители, които не са предприели всички необходими мерки за прехвърляне към нотифициран орган на ЕС-27. Останалите производители и нотифицирани органи на Обединеното кралство настоятелно се насърчават да гарантират, че прехвърлянето на всички съответни сертификати и необходимите адаптации на етикетите на продуктите са приключени до датата на оттегляне, така че производителите да могат да продължат да пускат своите продукти на пазара на ЕС след тази дата. Комисията и мрежата на компетентните органи по медицинските изделия ще продължат да следят развитието на ситуацията през септември и октомври.</w:t>
      </w:r>
    </w:p>
    <w:p>
      <w:pPr>
        <w:keepNext/>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Химични вещества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областта на химичните вещества само 52 % от засегнатите регистранти по REACH</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са прехвърлили своите регистрации в ЕС-27 до средата на август 2019 г. Европейската агенция по химикали създаде в REACH-IT раздел във връзка с излизането на Обединеното кралство от ЕС, наречен Brexit window, за да предприеме необходимите стъпки за прехвърляне на техните регистрации по REACH преди датата на оттегляне. Този раздел ще остане отворен до 31 октомври 2019 г. Що се отнася до разрешенията по REACH, притежателите на разрешения, кандидатите за разрешения, както и потребителите надолу по веригата от Обединеното кралство, които доставят вещества или смеси в ЕС-27 като част от съществуващите вериги на доставка, се приканват настоятелно да предприемат необходимите стъпки, за да гарантират спазването на регулаторните изисквания за своите потребители надолу по веригата от ЕС-27. Съответно на потребителите надолу по веригата от ЕС-27 и на притежателите на разрешения, кандидатите за разрешения, както и потребителите надолу по веригата от Обединеното кралство се препоръчва да удостоверят със своите доставчици, че към 31 октомври 2019 г. съответните продукти ще бъдат в съответствие с регулаторните изисквания, и да предприемат съответни мерки, като използват наличните насоки</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Спазването на регулаторните изисквания е от решаващо значение, за да продължи пускането на пазара на химикали на пазара на ЕС след датата на оттегляне.</w:t>
      </w:r>
    </w:p>
    <w:p>
      <w:pPr>
        <w:pStyle w:val="Heading1"/>
        <w:keepLines w:val="0"/>
        <w:numPr>
          <w:ilvl w:val="1"/>
          <w:numId w:val="26"/>
        </w:numPr>
        <w:spacing w:after="240"/>
        <w:ind w:left="426" w:hanging="431"/>
        <w:rPr>
          <w:rFonts w:eastAsia="Arial Unicode MS" w:cs="Times New Roman"/>
          <w:b/>
          <w:bCs/>
          <w:noProof/>
          <w:color w:val="auto"/>
          <w:szCs w:val="24"/>
          <w:u w:color="000000"/>
          <w:bdr w:val="nil"/>
        </w:rPr>
      </w:pPr>
      <w:r>
        <w:rPr>
          <w:rFonts w:cs="Times New Roman"/>
          <w:b/>
          <w:bCs/>
          <w:noProof/>
          <w:szCs w:val="24"/>
          <w:u w:color="000000"/>
          <w:bdr w:val="nil"/>
        </w:rPr>
        <w:t>Финансови услуги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областта на финансовите услуги Комисията насърчава настоятелно застрахователните дружества и другите оператори на финансови услуги, които все още не са направили това, да приключат своите подготвителни мерки до 31 октомври 2019 г.</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 19 декември 2018 г. Комисията прие ограничен брой извънредни мерки, включително две ограничени във времето решения за еквивалентност, за да даде възможност на операторите от ЕС-27 да прехвърлят своите договорни отношения на доставчици на услуги, на които е позволено да извършват дейността си в рамките на ЕС-27. Първото от тези две решения позволява на Европейския орган за ценни книжа и пазари да признае временно централните контрагенти, които понастоящем са установени в Обединеното кралство, като им позволи да продължат да предоставят услуги в Съюза. Срокът на действието изтича на 30 март 2020 г. Второто позволява временно на централните депозитари на ценни книжа от Обединеното кралство да продължат да предоставят нотариални услуги, както и централно техническо обслужване на оператори в Съюза. Срокът на действието изтича на 30 март 2021 г. Освен това Комисията прие два делегирани регламента, за да се даде възможност на операторите от ЕС-27 с действащи договори за деривати, които не са преминали през клиринг, да заменят контрагентите от Обединеното кралство с контрагенти от ЕС в рамките на 12 месеца от оттеглянето на Обединеното кралство, без да губят пруденциалното третиране, от което се ползват понастоящем тези договори. Оценката на Комисията е, че предприятията до голяма степен са подготвени за </w:t>
      </w:r>
      <w:r>
        <w:rPr>
          <w:rFonts w:ascii="Times New Roman" w:hAnsi="Times New Roman" w:cs="Times New Roman"/>
          <w:noProof/>
          <w:sz w:val="24"/>
          <w:szCs w:val="24"/>
          <w:u w:color="000000"/>
          <w:bdr w:val="nil"/>
        </w:rPr>
        <w:t>оттегляне без споразумение</w:t>
      </w:r>
      <w:r>
        <w:rPr>
          <w:rFonts w:ascii="Times New Roman" w:hAnsi="Times New Roman" w:cs="Times New Roman"/>
          <w:noProof/>
          <w:sz w:val="24"/>
          <w:szCs w:val="24"/>
          <w:bdr w:val="none" w:sz="0" w:space="0" w:color="auto" w:frame="1"/>
        </w:rPr>
        <w:t>, включително чрез новация на своите действащи договори, за да заменят контрагентите от Обединеното кралство,</w:t>
      </w:r>
      <w:r>
        <w:rPr>
          <w:rFonts w:ascii="Times New Roman" w:hAnsi="Times New Roman" w:cs="Times New Roman"/>
          <w:noProof/>
          <w:sz w:val="24"/>
          <w:szCs w:val="24"/>
        </w:rPr>
        <w:t xml:space="preserve"> и че сега те трябва да приключат подготовката си в сроковете, определени от тези извънредни мерки. Поради това Комисията не смята за необходимо приемането на допълнителни извънредни мерки. Тя ще продължи да оценява ситуацията на пазарите след датата на оттегляне и да взема решения относно подходящите действия въз основа на действащото законодателство на ЕС към съответния момент, като отчита по-специално рамката, въведена с Регламента за европейската пазарна инфраструктура, по отношение на изискванията за признаване на централните контрагенти от трети държави. </w:t>
      </w:r>
    </w:p>
    <w:p>
      <w:pPr>
        <w:pStyle w:val="Heading1"/>
        <w:keepLines w:val="0"/>
        <w:numPr>
          <w:ilvl w:val="1"/>
          <w:numId w:val="26"/>
        </w:numPr>
        <w:spacing w:after="240"/>
        <w:ind w:left="426" w:hanging="431"/>
        <w:rPr>
          <w:rFonts w:eastAsia="Arial Unicode MS" w:cs="Times New Roman"/>
          <w:b/>
          <w:bCs/>
          <w:noProof/>
          <w:color w:val="auto"/>
          <w:szCs w:val="24"/>
          <w:u w:color="000000"/>
          <w:bdr w:val="nil"/>
        </w:rPr>
      </w:pPr>
      <w:r>
        <w:rPr>
          <w:rFonts w:cs="Times New Roman"/>
          <w:b/>
          <w:bCs/>
          <w:noProof/>
          <w:szCs w:val="24"/>
          <w:u w:color="000000"/>
          <w:bdr w:val="nil"/>
        </w:rPr>
        <w:t>Рибарство</w:t>
      </w:r>
    </w:p>
    <w:p>
      <w:pPr>
        <w:pStyle w:val="Heading1"/>
        <w:spacing w:before="360" w:after="240"/>
        <w:jc w:val="both"/>
        <w:rPr>
          <w:rFonts w:eastAsia="Arial Unicode MS" w:cs="Times New Roman"/>
          <w:b/>
          <w:bCs/>
          <w:smallCaps/>
          <w:noProof/>
          <w:color w:val="auto"/>
          <w:szCs w:val="24"/>
          <w:bdr w:val="none" w:sz="0" w:space="0" w:color="auto" w:frame="1"/>
        </w:rPr>
      </w:pPr>
      <w:r>
        <w:rPr>
          <w:rFonts w:cs="Times New Roman"/>
          <w:noProof/>
          <w:szCs w:val="24"/>
        </w:rPr>
        <w:t>В допълнение към извънредното законодателството (вж. раздел 3.2) в областта на рибарството Комисията продължи консултациите си с държавите членки относно координиран подход за подготовка за сценарий, при който на корабите на ЕС вече няма да бъде предоставен достъп до водите на Обединеното кралство. Налице е споделен ангажимент за сътрудничество и тясно координиране в посочения случай, включително чрез обща рамка за наблюдение на промените или нарушенията в риболовните дейности във водите на ЕС. Тази дейност ще се засили през идния период и Комисията е готова да улесни по-нататъшните анализ и обсъждания. На 18 юли 2019 г. службите на Комисията публикуваха и нов документ с въпроси и отговори относно последиците за риболовните дейности в случай на оттегляне без споразумение</w:t>
      </w:r>
      <w:r>
        <w:rPr>
          <w:rStyle w:val="FootnoteReference"/>
          <w:rFonts w:cs="Times New Roman"/>
          <w:noProof/>
          <w:szCs w:val="24"/>
        </w:rPr>
        <w:footnoteReference w:id="29"/>
      </w:r>
      <w:r>
        <w:rPr>
          <w:rFonts w:cs="Times New Roman"/>
          <w:noProof/>
          <w:szCs w:val="24"/>
        </w:rPr>
        <w:t>. В допълнение към темите за достъп до води (и контрол върху този достъп) и възможностите за риболов документът предоставя практическа информация по редица конкретни теми, като например санитарния контрол и митниците. Органите на държавите членки и рибарските сдружения се приканват да разпространят тази информация нашироко.</w:t>
      </w:r>
      <w:r>
        <w:rPr>
          <w:rFonts w:cs="Times New Roman"/>
          <w:b/>
          <w:bCs/>
          <w:smallCaps/>
          <w:noProof/>
          <w:szCs w:val="24"/>
          <w:bdr w:val="none" w:sz="0" w:space="0" w:color="auto" w:frame="1"/>
        </w:rPr>
        <w:t xml:space="preserve"> </w:t>
      </w:r>
    </w:p>
    <w:p>
      <w:pPr>
        <w:pStyle w:val="Heading1"/>
        <w:numPr>
          <w:ilvl w:val="0"/>
          <w:numId w:val="28"/>
        </w:numPr>
        <w:spacing w:before="360" w:after="240"/>
        <w:jc w:val="both"/>
        <w:rPr>
          <w:rFonts w:eastAsia="Arial Unicode MS" w:cs="Times New Roman"/>
          <w:b/>
          <w:bCs/>
          <w:smallCaps/>
          <w:noProof/>
          <w:color w:val="auto"/>
          <w:szCs w:val="24"/>
          <w:bdr w:val="none" w:sz="0" w:space="0" w:color="auto" w:frame="1"/>
        </w:rPr>
      </w:pPr>
      <w:r>
        <w:rPr>
          <w:rFonts w:cs="Times New Roman"/>
          <w:b/>
          <w:bCs/>
          <w:smallCaps/>
          <w:noProof/>
          <w:szCs w:val="24"/>
          <w:bdr w:val="none" w:sz="0" w:space="0" w:color="auto" w:frame="1"/>
        </w:rPr>
        <w:t>Техническа корекция на извънредните мерки и приемане на други актове, обявени по-рано</w:t>
      </w:r>
    </w:p>
    <w:p>
      <w:pPr>
        <w:spacing w:after="240" w:line="240" w:lineRule="auto"/>
        <w:jc w:val="both"/>
        <w:rPr>
          <w:rFonts w:ascii="Times New Roman" w:eastAsia="Arial Unicode MS" w:hAnsi="Times New Roman" w:cs="Times New Roman"/>
          <w:noProof/>
          <w:sz w:val="24"/>
          <w:szCs w:val="24"/>
          <w:bdr w:val="none" w:sz="0" w:space="0" w:color="auto" w:frame="1"/>
        </w:rPr>
      </w:pPr>
      <w:r>
        <w:rPr>
          <w:rFonts w:ascii="Times New Roman" w:hAnsi="Times New Roman" w:cs="Times New Roman"/>
          <w:noProof/>
          <w:sz w:val="24"/>
          <w:szCs w:val="24"/>
          <w:bdr w:val="none" w:sz="0" w:space="0" w:color="auto" w:frame="1"/>
        </w:rPr>
        <w:t>Както е посочено в петото Съобщение относно готовността за Брексит от 12 юни 2019 г.</w:t>
      </w:r>
      <w:r>
        <w:rPr>
          <w:rStyle w:val="FootnoteReference"/>
          <w:rFonts w:ascii="Times New Roman" w:eastAsia="Arial Unicode MS" w:hAnsi="Times New Roman" w:cs="Times New Roman"/>
          <w:noProof/>
          <w:sz w:val="24"/>
          <w:szCs w:val="24"/>
          <w:bdr w:val="none" w:sz="0" w:space="0" w:color="auto" w:frame="1"/>
        </w:rPr>
        <w:footnoteReference w:id="30"/>
      </w:r>
      <w:r>
        <w:rPr>
          <w:rFonts w:ascii="Times New Roman" w:hAnsi="Times New Roman" w:cs="Times New Roman"/>
          <w:noProof/>
          <w:sz w:val="24"/>
          <w:szCs w:val="24"/>
          <w:bdr w:val="none" w:sz="0" w:space="0" w:color="auto" w:frame="1"/>
        </w:rPr>
        <w:t xml:space="preserve">, Комисията направи преглед на всички мерки на равнище ЕС, приети с цел подготовка за оттеглянето на Обединеното кралство, и стигна до заключението, че тези законодателни и незаконодателни актове на ЕС продължават да отговарят на поставените цели. Следователно не е необходимо те да бъдат изменяни по същество. От друга страна, с оглед на новия график, произтичащ от настоящото удължаване на срока, са необходими някои целеви технически корекции в конкретни сектори. Те са обяснени в следващите раздели. </w:t>
      </w:r>
    </w:p>
    <w:p>
      <w:pPr>
        <w:spacing w:after="240" w:line="240" w:lineRule="auto"/>
        <w:jc w:val="both"/>
        <w:rPr>
          <w:rFonts w:ascii="Times New Roman" w:eastAsia="Arial Unicode MS" w:hAnsi="Times New Roman" w:cs="Times New Roman"/>
          <w:noProof/>
          <w:sz w:val="24"/>
          <w:szCs w:val="24"/>
          <w:bdr w:val="none" w:sz="0" w:space="0" w:color="auto" w:frame="1"/>
        </w:rPr>
      </w:pPr>
      <w:r>
        <w:rPr>
          <w:rFonts w:ascii="Times New Roman" w:hAnsi="Times New Roman" w:cs="Times New Roman"/>
          <w:noProof/>
          <w:sz w:val="24"/>
          <w:szCs w:val="24"/>
          <w:bdr w:val="none" w:sz="0" w:space="0" w:color="auto" w:frame="1"/>
        </w:rPr>
        <w:t>Що се отнася до незаконодателните извънредни актове, приети от Комисията в областта на законодателството на ЕС по санитарни въпроси предвид удължаването на срока по член 50, параграф 3 от ДЕС, Комисията ще направи повторна оценка на положението до датата на оттегляне и, при условие че Обединеното кралство продължи да предоставя необходимите гаранции, ще приеме отново мерките, за да гарантира прилагането им от 1 ноември 2019 г.</w:t>
      </w:r>
    </w:p>
    <w:p>
      <w:pPr>
        <w:pStyle w:val="Heading1"/>
        <w:keepLines w:val="0"/>
        <w:numPr>
          <w:ilvl w:val="1"/>
          <w:numId w:val="28"/>
        </w:numPr>
        <w:spacing w:after="240"/>
        <w:ind w:left="426" w:hanging="431"/>
        <w:rPr>
          <w:rFonts w:eastAsia="Arial Unicode MS" w:cs="Times New Roman"/>
          <w:b/>
          <w:bCs/>
          <w:noProof/>
          <w:color w:val="auto"/>
          <w:szCs w:val="24"/>
          <w:bdr w:val="none" w:sz="0" w:space="0" w:color="auto" w:frame="1"/>
        </w:rPr>
      </w:pPr>
      <w:r>
        <w:rPr>
          <w:rFonts w:cs="Times New Roman"/>
          <w:b/>
          <w:bCs/>
          <w:noProof/>
          <w:szCs w:val="24"/>
          <w:bdr w:val="none" w:sz="0" w:space="0" w:color="auto" w:frame="1"/>
        </w:rPr>
        <w:t>Транспорт</w:t>
      </w:r>
    </w:p>
    <w:p>
      <w:pPr>
        <w:spacing w:after="240" w:line="240" w:lineRule="auto"/>
        <w:jc w:val="both"/>
        <w:rPr>
          <w:rFonts w:ascii="Times New Roman" w:eastAsia="Arial Unicode MS" w:hAnsi="Times New Roman" w:cs="Times New Roman"/>
          <w:noProof/>
          <w:sz w:val="24"/>
          <w:szCs w:val="24"/>
          <w:bdr w:val="none" w:sz="0" w:space="0" w:color="auto" w:frame="1"/>
        </w:rPr>
      </w:pPr>
      <w:r>
        <w:rPr>
          <w:rFonts w:ascii="Times New Roman" w:hAnsi="Times New Roman" w:cs="Times New Roman"/>
          <w:noProof/>
          <w:sz w:val="24"/>
          <w:szCs w:val="24"/>
          <w:bdr w:val="none" w:sz="0" w:space="0" w:color="auto" w:frame="1"/>
        </w:rPr>
        <w:t>В областта на транспорта бяха въведени извънредни мерки с цел да се запазят основни транспортни връзки за най-засегнатите видове транспорт: въздушен, железопътен и автомобилен транспорт на пътници и товари.</w:t>
      </w:r>
    </w:p>
    <w:p>
      <w:pPr>
        <w:spacing w:after="240" w:line="240" w:lineRule="auto"/>
        <w:jc w:val="both"/>
        <w:rPr>
          <w:rFonts w:ascii="Times New Roman" w:eastAsia="Arial Unicode MS" w:hAnsi="Times New Roman" w:cs="Times New Roman"/>
          <w:noProof/>
          <w:sz w:val="24"/>
          <w:szCs w:val="24"/>
          <w:bdr w:val="none" w:sz="0" w:space="0" w:color="auto" w:frame="1"/>
        </w:rPr>
      </w:pPr>
      <w:r>
        <w:rPr>
          <w:rFonts w:ascii="Times New Roman" w:hAnsi="Times New Roman" w:cs="Times New Roman"/>
          <w:noProof/>
          <w:sz w:val="24"/>
          <w:szCs w:val="24"/>
          <w:bdr w:val="none" w:sz="0" w:space="0" w:color="auto" w:frame="1"/>
        </w:rPr>
        <w:t>В съответствие с принципите, на които се основават всички извънредни мерки, регламентите за извънредни мерки, позволяващи непрекъсната свързаност, са едностранни, ограничени по обхват и се прилагат за ограничени периоди от време. Регламентът за гарантиране на основна свързаност на товарния и пътническия автомобилен транспорт</w:t>
      </w:r>
      <w:r>
        <w:rPr>
          <w:rFonts w:ascii="Times New Roman" w:eastAsia="Arial Unicode MS" w:hAnsi="Times New Roman" w:cs="Times New Roman"/>
          <w:noProof/>
          <w:sz w:val="24"/>
          <w:szCs w:val="24"/>
          <w:bdr w:val="none" w:sz="0" w:space="0" w:color="auto" w:frame="1"/>
          <w:vertAlign w:val="superscript"/>
        </w:rPr>
        <w:footnoteReference w:id="31"/>
      </w:r>
      <w:r>
        <w:rPr>
          <w:rFonts w:ascii="Times New Roman" w:hAnsi="Times New Roman" w:cs="Times New Roman"/>
          <w:noProof/>
          <w:sz w:val="24"/>
          <w:szCs w:val="24"/>
          <w:bdr w:val="none" w:sz="0" w:space="0" w:color="auto" w:frame="1"/>
        </w:rPr>
        <w:t xml:space="preserve"> беше приет скоро след първото кратко удължаване на срока по член 50, параграф 3 от ДЕС, до 12 април 2019 г., с фиксирана дата на прилагане до 31 декември 2019 г., което беше съобразено с възможността за постигане на договорености за основна свързаност в контекста на многостранната квотна система на Европейската конференция на министрите на транспорта (ЕКМТ).</w:t>
      </w:r>
      <w:r>
        <w:rPr>
          <w:rFonts w:ascii="Times New Roman" w:hAnsi="Times New Roman" w:cs="Times New Roman"/>
          <w:noProof/>
          <w:sz w:val="24"/>
          <w:szCs w:val="24"/>
        </w:rPr>
        <w:t xml:space="preserve"> </w:t>
      </w:r>
      <w:r>
        <w:rPr>
          <w:rFonts w:ascii="Times New Roman" w:hAnsi="Times New Roman" w:cs="Times New Roman"/>
          <w:noProof/>
          <w:sz w:val="24"/>
          <w:szCs w:val="24"/>
          <w:bdr w:val="none" w:sz="0" w:space="0" w:color="auto" w:frame="1"/>
        </w:rPr>
        <w:t>Поради същите причини срокът на прилагане на Регламента за осигуряване на основни въздушни връзки</w:t>
      </w:r>
      <w:r>
        <w:rPr>
          <w:rFonts w:ascii="Times New Roman" w:eastAsia="Arial Unicode MS" w:hAnsi="Times New Roman" w:cs="Times New Roman"/>
          <w:noProof/>
          <w:sz w:val="24"/>
          <w:szCs w:val="24"/>
          <w:bdr w:val="none" w:sz="0" w:space="0" w:color="auto" w:frame="1"/>
          <w:vertAlign w:val="superscript"/>
        </w:rPr>
        <w:footnoteReference w:id="32"/>
      </w:r>
      <w:r>
        <w:rPr>
          <w:rFonts w:ascii="Times New Roman" w:hAnsi="Times New Roman" w:cs="Times New Roman"/>
          <w:noProof/>
          <w:sz w:val="24"/>
          <w:szCs w:val="24"/>
          <w:bdr w:val="none" w:sz="0" w:space="0" w:color="auto" w:frame="1"/>
        </w:rPr>
        <w:t xml:space="preserve"> беше приведен в съответствие с края на зимния сезон 2019/2020 г. на Международната асоциация за въздушен транспорт (IATA) и по този начин ще изтече на 30 март 2020 г.</w:t>
      </w:r>
    </w:p>
    <w:p>
      <w:pPr>
        <w:spacing w:after="240" w:line="240" w:lineRule="auto"/>
        <w:jc w:val="both"/>
        <w:rPr>
          <w:rFonts w:ascii="Times New Roman" w:eastAsia="Arial Unicode MS" w:hAnsi="Times New Roman" w:cs="Times New Roman"/>
          <w:noProof/>
          <w:sz w:val="24"/>
          <w:szCs w:val="24"/>
          <w:bdr w:val="none" w:sz="0" w:space="0" w:color="auto" w:frame="1"/>
        </w:rPr>
      </w:pPr>
      <w:r>
        <w:rPr>
          <w:rFonts w:ascii="Times New Roman" w:hAnsi="Times New Roman" w:cs="Times New Roman"/>
          <w:noProof/>
          <w:sz w:val="24"/>
          <w:szCs w:val="24"/>
          <w:bdr w:val="none" w:sz="0" w:space="0" w:color="auto" w:frame="1"/>
        </w:rPr>
        <w:t>Ето защо ако Обединеното кралство се оттегли от Европейския съюз без споразумение на 1 ноември 2019 г., срокът на прилагане на Регламент (ЕС) 2019/501 ще бъде ограничен до два месеца, а този на Регламент (ЕС) 2019/502 — до по-малко от половината от първоначално предвидения срок.</w:t>
      </w:r>
    </w:p>
    <w:p>
      <w:pPr>
        <w:spacing w:after="240" w:line="240" w:lineRule="auto"/>
        <w:jc w:val="both"/>
        <w:rPr>
          <w:rFonts w:ascii="Times New Roman" w:eastAsia="Arial Unicode MS" w:hAnsi="Times New Roman" w:cs="Times New Roman"/>
          <w:noProof/>
          <w:sz w:val="24"/>
          <w:szCs w:val="24"/>
          <w:bdr w:val="none" w:sz="0" w:space="0" w:color="auto" w:frame="1"/>
        </w:rPr>
      </w:pPr>
      <w:r>
        <w:rPr>
          <w:rFonts w:ascii="Times New Roman" w:hAnsi="Times New Roman" w:cs="Times New Roman"/>
          <w:noProof/>
          <w:sz w:val="24"/>
          <w:szCs w:val="24"/>
          <w:bdr w:val="none" w:sz="0" w:space="0" w:color="auto" w:frame="1"/>
        </w:rPr>
        <w:t>За да се гарантира, че тези регламенти за извънредни мерки постигат своите цели, както първоначално са дефинирани, включително по отношение на срока на тяхното прилагане, и с оглед на отлагането на датата на оттеглянето на Обединеното кралство със седем месеца, днес Комисията прие предложение за удължаване на срока на действие на Регламенти (ЕС) 2019/501 и (ЕС) 2019/502 за същия период от време. Поради това се предлага срокът на действие на Регламента за извънредни мерки за гарантиране на основна свързаност на товарния и пътническия автомобилен транспорт да бъде удължен до 31 юли 2020 г. Без да се засяга изключителната компетентност на Съюза, държавите членки следва да продължат да работят за увеличаване на броя на разрешенията по ECMT, които са на разположение за транспорт до Обединеното кралство в бъдеще. Предлага се също така да се удължи срокът на прилагане на Регламента за извънредни мерки за осигуряването на основни въздушни връзки до 24 октомври 2020 г., като се запази връзката със сезоните на IATA.</w:t>
      </w:r>
    </w:p>
    <w:p>
      <w:pPr>
        <w:spacing w:after="240" w:line="240" w:lineRule="auto"/>
        <w:jc w:val="both"/>
        <w:rPr>
          <w:rFonts w:ascii="Times New Roman" w:hAnsi="Times New Roman" w:cs="Times New Roman"/>
          <w:noProof/>
          <w:sz w:val="24"/>
          <w:szCs w:val="24"/>
          <w:bdr w:val="none" w:sz="0" w:space="0" w:color="auto" w:frame="1"/>
        </w:rPr>
      </w:pPr>
      <w:r>
        <w:rPr>
          <w:rFonts w:ascii="Times New Roman" w:hAnsi="Times New Roman" w:cs="Times New Roman"/>
          <w:noProof/>
          <w:sz w:val="24"/>
          <w:szCs w:val="24"/>
          <w:bdr w:val="none" w:sz="0" w:space="0" w:color="auto" w:frame="1"/>
        </w:rPr>
        <w:t>В областта на въздушния транспорт Регламент (ЕС) 2019/502, установяващ извънредни мерки, включва специален механизъм за спазване от страна на авиокомпаниите от ЕС на изискването мажоритарното дялово участие да се притежава и контролът да се упражнява от лица, установени в ЕС, след оттеглянето на Обединеното кралство от ЕС. Националните органи вече приключиха прегледа на плановете, представени от засегнатите авиокомпании, и информираха съответните авиокомпании и Комисията за положителните резултати от своята оценка. Комисията се свърза с отговорните национални органи и в някои случаи изрази съмнения дали представените планове ще гарантират съответствие с изискванията на ЕС. Засегнатите авиокомпании трябва да гарантират пълно спазване на изискването на ЕС за мажоритарно участие и контрол най-късно</w:t>
      </w:r>
      <w:r>
        <w:rPr>
          <w:rFonts w:ascii="Times New Roman" w:hAnsi="Times New Roman" w:cs="Times New Roman"/>
          <w:noProof/>
          <w:sz w:val="24"/>
          <w:szCs w:val="24"/>
        </w:rPr>
        <w:t xml:space="preserve"> </w:t>
      </w:r>
      <w:r>
        <w:rPr>
          <w:rFonts w:ascii="Times New Roman" w:hAnsi="Times New Roman" w:cs="Times New Roman"/>
          <w:noProof/>
          <w:sz w:val="24"/>
          <w:szCs w:val="24"/>
          <w:bdr w:val="none" w:sz="0" w:space="0" w:color="auto" w:frame="1"/>
        </w:rPr>
        <w:t>до края на срока, предвиден в Регламент (ЕС) 2019/502. Ако срокът на прилагане на Регламент (ЕС) 2019/502 е удължен в съответствие с днешното предложение, този срок изтича на 30 април 2020 г.</w:t>
      </w:r>
      <w:r>
        <w:rPr>
          <w:rStyle w:val="FootnoteReference"/>
          <w:rFonts w:ascii="Times New Roman" w:hAnsi="Times New Roman" w:cs="Times New Roman"/>
          <w:noProof/>
          <w:sz w:val="24"/>
          <w:szCs w:val="24"/>
          <w:bdr w:val="none" w:sz="0" w:space="0" w:color="auto" w:frame="1"/>
        </w:rPr>
        <w:footnoteReference w:id="33"/>
      </w:r>
      <w:r>
        <w:rPr>
          <w:rFonts w:ascii="Times New Roman" w:hAnsi="Times New Roman" w:cs="Times New Roman"/>
          <w:noProof/>
          <w:sz w:val="24"/>
          <w:szCs w:val="24"/>
          <w:bdr w:val="none" w:sz="0" w:space="0" w:color="auto" w:frame="1"/>
        </w:rPr>
        <w:t xml:space="preserve"> Отговорност на националните органи е да гарантират, че законодателството на ЕС се спазва и прилага ефективно към тази дата.</w:t>
      </w:r>
    </w:p>
    <w:p>
      <w:pPr>
        <w:spacing w:after="240" w:line="240" w:lineRule="auto"/>
        <w:jc w:val="both"/>
        <w:rPr>
          <w:rFonts w:ascii="Times New Roman" w:eastAsia="Arial Unicode MS" w:hAnsi="Times New Roman" w:cs="Times New Roman"/>
          <w:noProof/>
          <w:sz w:val="24"/>
          <w:szCs w:val="24"/>
          <w:bdr w:val="none" w:sz="0" w:space="0" w:color="auto" w:frame="1"/>
        </w:rPr>
      </w:pPr>
      <w:r>
        <w:rPr>
          <w:rFonts w:ascii="Times New Roman" w:hAnsi="Times New Roman" w:cs="Times New Roman"/>
          <w:noProof/>
          <w:sz w:val="24"/>
          <w:szCs w:val="24"/>
          <w:bdr w:val="none" w:sz="0" w:space="0" w:color="auto" w:frame="1"/>
        </w:rPr>
        <w:t>Въпреки че не е приета извънредна мярка за случаен превоз на пътници с автобус, беше извършена необходимата подготовка за осигуряване на свързаност в тази област, считано от датата на оттегляне, въз основа на международен инструмент — Спогодбата „Интербус“</w:t>
      </w:r>
      <w:r>
        <w:rPr>
          <w:rStyle w:val="FootnoteReference"/>
          <w:rFonts w:ascii="Times New Roman" w:eastAsia="Arial Unicode MS" w:hAnsi="Times New Roman" w:cs="Times New Roman"/>
          <w:noProof/>
          <w:sz w:val="24"/>
          <w:szCs w:val="24"/>
          <w:bdr w:val="none" w:sz="0" w:space="0" w:color="auto" w:frame="1"/>
        </w:rPr>
        <w:footnoteReference w:id="34"/>
      </w:r>
      <w:r>
        <w:rPr>
          <w:rFonts w:ascii="Times New Roman" w:hAnsi="Times New Roman" w:cs="Times New Roman"/>
          <w:noProof/>
          <w:sz w:val="24"/>
          <w:szCs w:val="24"/>
          <w:bdr w:val="none" w:sz="0" w:space="0" w:color="auto" w:frame="1"/>
        </w:rPr>
        <w:t xml:space="preserve">. Обединеното кралство депозира своя инструмент за присъединяване към тази спогодба, по която ще стане страна самостоятелно след оттеглянето си. </w:t>
      </w:r>
    </w:p>
    <w:p>
      <w:pPr>
        <w:pStyle w:val="Heading1"/>
        <w:keepLines w:val="0"/>
        <w:numPr>
          <w:ilvl w:val="1"/>
          <w:numId w:val="28"/>
        </w:numPr>
        <w:spacing w:after="240"/>
        <w:ind w:left="426" w:hanging="431"/>
        <w:rPr>
          <w:rFonts w:eastAsia="Arial Unicode MS" w:cs="Times New Roman"/>
          <w:b/>
          <w:bCs/>
          <w:noProof/>
          <w:color w:val="auto"/>
          <w:szCs w:val="24"/>
          <w:bdr w:val="none" w:sz="0" w:space="0" w:color="auto" w:frame="1"/>
        </w:rPr>
      </w:pPr>
      <w:r>
        <w:rPr>
          <w:rFonts w:cs="Times New Roman"/>
          <w:b/>
          <w:bCs/>
          <w:noProof/>
          <w:szCs w:val="24"/>
          <w:bdr w:val="none" w:sz="0" w:space="0" w:color="auto" w:frame="1"/>
        </w:rPr>
        <w:t xml:space="preserve">Риболовни дейности </w:t>
      </w:r>
    </w:p>
    <w:p>
      <w:pPr>
        <w:pStyle w:val="NormalWeb"/>
        <w:spacing w:before="0" w:beforeAutospacing="0" w:after="240" w:afterAutospacing="0"/>
        <w:jc w:val="both"/>
        <w:rPr>
          <w:noProof/>
        </w:rPr>
      </w:pPr>
      <w:r>
        <w:rPr>
          <w:noProof/>
        </w:rPr>
        <w:t xml:space="preserve">Като се има предвид рискът от оттегляне без споразумение на 1 ноември 2019 г. и значението на рибарството за икономическия живот на много крайбрежни общности, както и с цел да се осигури устойчив риболов в съответните води, е важно да се предвидят мерки, позволяващи непрекъснат реципрочен достъп за риболов на риболовните кораби на ЕС и на Обединеното кралство във водите на другата страна, в съответствие с условията, определени в съответните регламенти на Съвета за определяне на възможностите за риболов, при условие че заедно възможностите за риболов, определени от двете страни, са в съответствие с устойчивото управление на съответните запаси. С тази цел </w:t>
      </w:r>
      <w:r>
        <w:rPr>
          <w:noProof/>
          <w:bdr w:val="none" w:sz="0" w:space="0" w:color="auto" w:frame="1"/>
        </w:rPr>
        <w:t>днес Комисията прие</w:t>
      </w:r>
      <w:r>
        <w:rPr>
          <w:noProof/>
        </w:rPr>
        <w:t xml:space="preserve"> предложение за удължаване до края на 2020 г. на срока на действие на Регламента за извънредни мерки по отношение на разрешенията за риболов, приет през март 2019 г.</w:t>
      </w:r>
      <w:r>
        <w:rPr>
          <w:rStyle w:val="FootnoteReference"/>
          <w:noProof/>
        </w:rPr>
        <w:footnoteReference w:id="35"/>
      </w:r>
      <w:r>
        <w:rPr>
          <w:noProof/>
        </w:rPr>
        <w:t xml:space="preserve"> По този начин ще се запази опростена правна рамка, която да позволи на Европейския съюз да продължи да дава разрешения на кораби на Обединеното кралство да навлизат във водите на ЕС и да управлява исканията за разрешения, отправяни от кораби на ЕС, влизащи във водите на Обединеното кралство, ако са изпълнени условията за реципрочен достъп и устойчивост. Тази временна рамка, която осигурява правна сигурност за рибарите и гарантира опазването на рибните запаси, е необходима при липсата на споразумение в областта на рибарството с Обединеното кралство в новия му статут на трета държава. Въз основа на това и на предварителна координация с държавите членки Комисията е готова да представи на Обединеното кралство исканията за разрешение във връзка с плавателните съдове на ЕС веднага след оттеглянето на Обединеното кралство от Европейския съюз. Предложението запазва възможността за размяна на квоти с Обединеното кралство през 2020 г., при което Комисията ще бъде в състояние да разменя квоти с Обединеното кралство в съответствие с процедурата, изложена в предложението.</w:t>
      </w:r>
    </w:p>
    <w:p>
      <w:pPr>
        <w:pStyle w:val="Heading1"/>
        <w:keepLines w:val="0"/>
        <w:numPr>
          <w:ilvl w:val="1"/>
          <w:numId w:val="28"/>
        </w:numPr>
        <w:spacing w:after="240"/>
        <w:ind w:left="426" w:hanging="431"/>
        <w:rPr>
          <w:rFonts w:eastAsia="Arial Unicode MS" w:cs="Times New Roman"/>
          <w:b/>
          <w:bCs/>
          <w:noProof/>
          <w:color w:val="auto"/>
          <w:szCs w:val="24"/>
          <w:bdr w:val="none" w:sz="0" w:space="0" w:color="auto" w:frame="1"/>
        </w:rPr>
      </w:pPr>
      <w:r>
        <w:rPr>
          <w:rFonts w:cs="Times New Roman"/>
          <w:b/>
          <w:bCs/>
          <w:noProof/>
          <w:szCs w:val="24"/>
          <w:bdr w:val="none" w:sz="0" w:space="0" w:color="auto" w:frame="1"/>
        </w:rPr>
        <w:t xml:space="preserve">Бюджет на ЕС </w:t>
      </w:r>
    </w:p>
    <w:p>
      <w:pPr>
        <w:spacing w:after="240" w:line="240" w:lineRule="auto"/>
        <w:jc w:val="both"/>
        <w:rPr>
          <w:rFonts w:ascii="Times New Roman" w:eastAsia="Arial Unicode MS" w:hAnsi="Times New Roman" w:cs="Times New Roman"/>
          <w:noProof/>
          <w:sz w:val="24"/>
          <w:szCs w:val="24"/>
          <w:bdr w:val="none" w:sz="0" w:space="0" w:color="auto" w:frame="1"/>
        </w:rPr>
      </w:pPr>
      <w:r>
        <w:rPr>
          <w:rFonts w:ascii="Times New Roman" w:hAnsi="Times New Roman" w:cs="Times New Roman"/>
          <w:noProof/>
          <w:sz w:val="24"/>
          <w:szCs w:val="24"/>
          <w:bdr w:val="none" w:sz="0" w:space="0" w:color="auto" w:frame="1"/>
        </w:rPr>
        <w:t>В случай на оттегляне без споразумение, в много случаи Обединеното кралство и бенефициерите от Обединеното кралство няма да могат да кандидатстват за ново финансиране и повече няма да отговарят на условията за получаване на финансиране, или ще бъдат изправени пред прекратяване на настоящото им участие в програми на ЕС. Следователно плащанията ще трябва да бъдат спрени и могат да бъдат извършени само ако и когато бъде постигнато финансово споразумение между Европейския съюз и Обединеното кралство. В някои случаи може да е необходимо договорите да бъдат прекратени, ако вече не отговарят на изискванията за допустимост на програмите на ЕС, или да бъдат направени промени, за да се гарантира съвместимост с изискванията за допустимост</w:t>
      </w:r>
      <w:r>
        <w:rPr>
          <w:rStyle w:val="FootnoteReference"/>
          <w:rFonts w:ascii="Times New Roman" w:eastAsia="Arial Unicode MS" w:hAnsi="Times New Roman" w:cs="Times New Roman"/>
          <w:noProof/>
          <w:sz w:val="24"/>
          <w:szCs w:val="24"/>
          <w:bdr w:val="none" w:sz="0" w:space="0" w:color="auto" w:frame="1"/>
        </w:rPr>
        <w:footnoteReference w:id="36"/>
      </w:r>
      <w:r>
        <w:rPr>
          <w:rFonts w:ascii="Times New Roman" w:hAnsi="Times New Roman" w:cs="Times New Roman"/>
          <w:noProof/>
          <w:sz w:val="24"/>
          <w:szCs w:val="24"/>
          <w:bdr w:val="none" w:sz="0" w:space="0" w:color="auto" w:frame="1"/>
        </w:rPr>
        <w:t>. За да се сведат до минимум смущенията, породени от това, на 9 юли 2019 г. Европейският съюз прие регламент за извънредни мерки във връзка с бюджета на ЕС</w:t>
      </w:r>
      <w:r>
        <w:rPr>
          <w:rStyle w:val="FootnoteReference"/>
          <w:rFonts w:ascii="Times New Roman" w:eastAsia="Arial Unicode MS" w:hAnsi="Times New Roman" w:cs="Times New Roman"/>
          <w:noProof/>
          <w:sz w:val="24"/>
          <w:szCs w:val="24"/>
          <w:bdr w:val="none" w:sz="0" w:space="0" w:color="auto" w:frame="1"/>
        </w:rPr>
        <w:footnoteReference w:id="37"/>
      </w:r>
      <w:r>
        <w:rPr>
          <w:rFonts w:ascii="Times New Roman" w:hAnsi="Times New Roman" w:cs="Times New Roman"/>
          <w:noProof/>
          <w:sz w:val="24"/>
          <w:szCs w:val="24"/>
          <w:bdr w:val="none" w:sz="0" w:space="0" w:color="auto" w:frame="1"/>
        </w:rPr>
        <w:t>, в който се предвижда, че Обединеното кралство и бенефициерите от Обединеното кралство продължават да отговарят на условията за допустимост за разходите, направени през 2019 г., при условие че Обединеното кралство изпълни редица условия, по-специално да изплати своя дял в бюджета на ЕС за 2019 г. преди определена дата и да разреши извършването на необходимите одити и проверки, включително на своята територия, както е предвидено в съответните правила на ЕС. Успоредно с настоящото съобщение Комисията</w:t>
      </w:r>
      <w:r>
        <w:rPr>
          <w:rFonts w:ascii="Times New Roman" w:hAnsi="Times New Roman" w:cs="Times New Roman"/>
          <w:noProof/>
          <w:sz w:val="24"/>
          <w:szCs w:val="24"/>
        </w:rPr>
        <w:t xml:space="preserve"> се консултира с експерти от държавите членки, в съответствие с приложимите процедури, по проект на делегиран регламент за адаптиране на сроковете в регламента за извънредни мерки </w:t>
      </w:r>
      <w:r>
        <w:rPr>
          <w:rFonts w:ascii="Times New Roman" w:hAnsi="Times New Roman" w:cs="Times New Roman"/>
          <w:noProof/>
          <w:sz w:val="24"/>
          <w:szCs w:val="24"/>
          <w:bdr w:val="none" w:sz="0" w:space="0" w:color="auto" w:frame="1"/>
        </w:rPr>
        <w:t>с оглед на удължаването на срока, предвиден в член 50, параграф 3 от ДЕС</w:t>
      </w:r>
      <w:r>
        <w:rPr>
          <w:rFonts w:ascii="Times New Roman" w:hAnsi="Times New Roman" w:cs="Times New Roman"/>
          <w:noProof/>
          <w:sz w:val="24"/>
          <w:szCs w:val="24"/>
        </w:rPr>
        <w:t>.</w:t>
      </w:r>
    </w:p>
    <w:p>
      <w:pPr>
        <w:spacing w:after="240" w:line="240" w:lineRule="auto"/>
        <w:jc w:val="both"/>
        <w:rPr>
          <w:rFonts w:ascii="Times New Roman" w:eastAsia="Arial Unicode MS" w:hAnsi="Times New Roman" w:cs="Times New Roman"/>
          <w:noProof/>
          <w:sz w:val="24"/>
          <w:szCs w:val="24"/>
          <w:bdr w:val="none" w:sz="0" w:space="0" w:color="auto" w:frame="1"/>
        </w:rPr>
      </w:pPr>
      <w:r>
        <w:rPr>
          <w:rFonts w:ascii="Times New Roman" w:hAnsi="Times New Roman" w:cs="Times New Roman"/>
          <w:noProof/>
          <w:sz w:val="24"/>
          <w:szCs w:val="24"/>
          <w:bdr w:val="none" w:sz="0" w:space="0" w:color="auto" w:frame="1"/>
        </w:rPr>
        <w:t>След удължаването на срока по член 50, параграф 3 от ДЕС до 31 октомври 2019 г., мярката в настоящия си вид ще обхваща период от едва два месеца. Поради тази причина Комисията прие днес предложение, с което настоящият регламент за извънредни мерки за 2019 г. се възпроизвежда и за 2020 г. По този начин Обединеното кралство и бенефициерите от Обединеното кралство ще продължат да отговарят на условията за участие в програми от бюджета на ЕС и да получават финансиране до края на 2020 г., ако Обединеното кралство приеме условията на регламента за извънредни мерки за 2019 г., изплати бюджетните вноски за 2020 г. и разреши извършването на необходимите одити и проверки.</w:t>
      </w:r>
    </w:p>
    <w:p>
      <w:pPr>
        <w:pStyle w:val="Heading1"/>
        <w:keepLines w:val="0"/>
        <w:numPr>
          <w:ilvl w:val="1"/>
          <w:numId w:val="28"/>
        </w:numPr>
        <w:spacing w:after="240"/>
        <w:ind w:left="426" w:hanging="431"/>
        <w:rPr>
          <w:rFonts w:eastAsia="Arial Unicode MS" w:cs="Times New Roman"/>
          <w:b/>
          <w:bCs/>
          <w:noProof/>
          <w:color w:val="auto"/>
          <w:szCs w:val="24"/>
          <w:bdr w:val="none" w:sz="0" w:space="0" w:color="auto" w:frame="1"/>
        </w:rPr>
      </w:pPr>
      <w:r>
        <w:rPr>
          <w:rFonts w:cs="Times New Roman"/>
          <w:b/>
          <w:bCs/>
          <w:noProof/>
          <w:szCs w:val="24"/>
          <w:bdr w:val="none" w:sz="0" w:space="0" w:color="auto" w:frame="1"/>
        </w:rPr>
        <w:t>Извънредна финансова подкрепа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Както беше обявено в четвъртото съобщение относно готовността за Брексит от 10 април 2019 г.</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Комисията проучи как могат да се използват съществуващите програми и инструменти в подкрепа на най-засегнатите сектори, по-специално селското стопанство и рибарството, регионите и националните органи, които ще бъдат изправени пред значителни смущения въпреки тяхната подготовка. Целта на този пакет за финансова подкрепа е да осигури, в рамките на наличните ресурси, подкрепа за най-засегнатите от </w:t>
      </w:r>
      <w:r>
        <w:rPr>
          <w:rFonts w:ascii="Times New Roman" w:hAnsi="Times New Roman" w:cs="Times New Roman"/>
          <w:noProof/>
          <w:sz w:val="24"/>
          <w:szCs w:val="24"/>
          <w:bdr w:val="none" w:sz="0" w:space="0" w:color="auto" w:frame="1"/>
        </w:rPr>
        <w:t>оттегляне на Обединеното кралство без споразумение</w:t>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сектора на селското стопанство ще бъде предоставен пълният спектър на съществуващите инструменти за пазарна подкрепа и пряка финансова подкрепа за земеделските стопани, за да се смекчат най-лошите последици за пазарите на селскостопански хранителни продукти при сценария на оттегляне без споразумение. Следва да се предостави национална финансова подкрепа, която съответства на извънредните пазарни мерки на ЕС, като по този начин се умножи въздействието на намесата на Европейския съюз.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Днес Комисията прие предложение за разширяване на обхвата на фонд „Солидарност“ на Европейския съюз, за да обхване случаите на значителна финансова тежест за държавите членки, която може да бъде пряко приписана на </w:t>
      </w:r>
      <w:r>
        <w:rPr>
          <w:rFonts w:ascii="Times New Roman" w:hAnsi="Times New Roman" w:cs="Times New Roman"/>
          <w:noProof/>
          <w:sz w:val="24"/>
          <w:szCs w:val="24"/>
          <w:bdr w:val="none" w:sz="0" w:space="0" w:color="auto" w:frame="1"/>
        </w:rPr>
        <w:t>оттегляне без споразумение</w:t>
      </w:r>
      <w:r>
        <w:rPr>
          <w:rFonts w:ascii="Times New Roman" w:hAnsi="Times New Roman" w:cs="Times New Roman"/>
          <w:noProof/>
          <w:sz w:val="24"/>
          <w:szCs w:val="24"/>
        </w:rPr>
        <w:t xml:space="preserve"> и която не може да бъде избегната чрез предварителна подготовка. Това включва подкрепа за схеми за държавна помощ за предприятията, мерки за запазване на съществуващата заетост и </w:t>
      </w:r>
      <w:r>
        <w:rPr>
          <w:rFonts w:ascii="Times New Roman" w:hAnsi="Times New Roman" w:cs="Times New Roman"/>
          <w:iCs/>
          <w:noProof/>
          <w:sz w:val="24"/>
          <w:szCs w:val="24"/>
        </w:rPr>
        <w:t>гарантиране на функционирането на граничния, митническия, санитарния и фитосанитарния контрол</w:t>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Днес Комисията прие и предложение, с което се гарантира, че при определени условия Европейският фонд за приспособяване към глобализацията може да се използва за подпомагане на работници, съкратени вследствие на </w:t>
      </w:r>
      <w:r>
        <w:rPr>
          <w:rFonts w:ascii="Times New Roman" w:hAnsi="Times New Roman" w:cs="Times New Roman"/>
          <w:noProof/>
          <w:sz w:val="24"/>
          <w:szCs w:val="24"/>
          <w:bdr w:val="none" w:sz="0" w:space="0" w:color="auto" w:frame="1"/>
        </w:rPr>
        <w:t>оттеглянето без споразумение</w:t>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Освен двете законодателни мерки, посочени по-горе, могат да бъдат въведени и други интервенции, без да е необходимо изменение на законодателството. Комисията е готова да действа бързо, ако държавите членки решат да изменят своите програми по структурните и инвестиционните фондове</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за да разпределят част от наличните ресурси в рамките на националните си пакети за справяне с предизвикателствата, породени от </w:t>
      </w:r>
      <w:r>
        <w:rPr>
          <w:rFonts w:ascii="Times New Roman" w:hAnsi="Times New Roman" w:cs="Times New Roman"/>
          <w:noProof/>
          <w:sz w:val="24"/>
          <w:szCs w:val="24"/>
          <w:bdr w:val="none" w:sz="0" w:space="0" w:color="auto" w:frame="1"/>
        </w:rPr>
        <w:t>оттегляне без споразумение</w:t>
      </w:r>
      <w:r>
        <w:rPr>
          <w:rFonts w:ascii="Times New Roman" w:hAnsi="Times New Roman" w:cs="Times New Roman"/>
          <w:noProof/>
          <w:sz w:val="24"/>
          <w:szCs w:val="24"/>
        </w:rPr>
        <w:t>. Комисията ще предприеме бързи действия и ако държавите членки искат да променят разпределението на своите национални пакети в рамките на Европейския фонд за морско дело и рибарство. И накрая, Комисията е готова да предложи изменения на споразумението между Европейския съюз и Европейския инвестиционен фонд, за да се разреши използването на Програмата за конкурентоспособност на предприятията и малките и средните предприятия (COSME) за улесняване на достъпа до финансиране за малките и средните предприятия, които трябва да инвестират, за да променят стопанската си организация вследствие на оттеглянето на Обединеното кралство без споразумение, при спазването на подходящи условия и в рамките на наличния бюджет.</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оказване на по-непосредствена подкрепа на засегнатите заинтересовани страни, например малки и средни предприятия със значителна експозиция към Обединеното кралство, правилата на ЕС за държавната помощ предлагат гъвкави решения за национални мерки за подкрепа.</w:t>
      </w:r>
    </w:p>
    <w:p>
      <w:pPr>
        <w:pStyle w:val="Heading1"/>
        <w:numPr>
          <w:ilvl w:val="0"/>
          <w:numId w:val="28"/>
        </w:numPr>
        <w:spacing w:before="360" w:after="240"/>
        <w:rPr>
          <w:rFonts w:eastAsia="Arial Unicode MS" w:cs="Times New Roman"/>
          <w:b/>
          <w:bCs/>
          <w:smallCaps/>
          <w:noProof/>
          <w:color w:val="auto"/>
          <w:szCs w:val="24"/>
          <w:bdr w:val="none" w:sz="0" w:space="0" w:color="auto" w:frame="1"/>
        </w:rPr>
      </w:pPr>
      <w:r>
        <w:rPr>
          <w:rFonts w:cs="Times New Roman"/>
          <w:b/>
          <w:bCs/>
          <w:smallCaps/>
          <w:noProof/>
          <w:szCs w:val="24"/>
          <w:bdr w:val="none" w:sz="0" w:space="0" w:color="auto" w:frame="1"/>
        </w:rPr>
        <w:t>Ирландия</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При отсъствието на споразумение за оттегляне, оттеглянето на Обединеното кралство от ЕС ще доведе до две отделни фискални и регулаторни пространства на остров Ирландия. Съгласно международното право, и по-специално съгласно правилата на Световната търговска организация, от 1 ноември 2019 г. както ЕС, така и Обединеното кралство ще бъдат задължени да налагат върху продуктите на другата страна митата, които прилагат за стоките от всички други членове на Световната търговска организация без преференциален режим. Освен това правото на ЕС ще изисква всички стоки, влизащи в Ирландия от Обединеното кралство, да подлежат на съответните проверки и контрол, за да се защитят безопасността и здравето на гражданите на ЕС, да се запази целостта на вътрешния пазар и да се осигури спазването на данъчните задължения (мита, косвени данъци).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контекста на уникалната по рода си ситуация на остров Ирландия и в изпълнение на двойната цел да се защити целостта на вътрешния пазар, като същевременно се избегне твърда граница, Комисията и Ирландия продължават да работят заедно, за да набележат мерки както за извънредни решения в периода непосредствено след оттеглянето без споразумение, така и за по-стабилно решение в по-дългосрочен план. Предпазният механизъм, предвиден в Споразумението за оттегляне, е единственото решение, което гарантира зачитането на Споразумението от Разпети петък, осигурява спазването на задълженията по международното право и запазва целостта на вътрешния пазар. </w:t>
      </w:r>
    </w:p>
    <w:p>
      <w:pPr>
        <w:pStyle w:val="Heading1"/>
        <w:numPr>
          <w:ilvl w:val="0"/>
          <w:numId w:val="28"/>
        </w:numPr>
        <w:spacing w:before="360" w:after="240"/>
        <w:jc w:val="both"/>
        <w:rPr>
          <w:rFonts w:eastAsia="Arial Unicode MS" w:cs="Times New Roman"/>
          <w:b/>
          <w:bCs/>
          <w:smallCaps/>
          <w:noProof/>
          <w:color w:val="auto"/>
          <w:szCs w:val="24"/>
          <w:bdr w:val="none" w:sz="0" w:space="0" w:color="auto" w:frame="1"/>
        </w:rPr>
      </w:pPr>
      <w:r>
        <w:rPr>
          <w:rFonts w:cs="Times New Roman"/>
          <w:b/>
          <w:bCs/>
          <w:smallCaps/>
          <w:noProof/>
          <w:szCs w:val="24"/>
          <w:bdr w:val="none" w:sz="0" w:space="0" w:color="auto" w:frame="1"/>
        </w:rPr>
        <w:t>Реагиране на смущения след оттегляне без споразумение</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Ако Обединеното кралство се оттегли от Европейския съюз без споразумение, се очаква голям брой страни да са изправени пред сътресения, особено през първите дни. Комисията и държавите членки ще останат в тесен контакт, за да координират своите действия в отговор на всички проблеми, които биха могли да възникнат, и да определят най-добрите начини за преодоляването им. За периода непосредствено след оттеглянето </w:t>
      </w:r>
      <w:r>
        <w:rPr>
          <w:rFonts w:ascii="Times New Roman" w:hAnsi="Times New Roman" w:cs="Times New Roman"/>
          <w:noProof/>
          <w:sz w:val="24"/>
          <w:szCs w:val="24"/>
          <w:bdr w:val="none" w:sz="0" w:space="0" w:color="auto" w:frame="1"/>
        </w:rPr>
        <w:t>без споразумение</w:t>
      </w:r>
      <w:r>
        <w:rPr>
          <w:rFonts w:ascii="Times New Roman" w:hAnsi="Times New Roman" w:cs="Times New Roman"/>
          <w:noProof/>
          <w:sz w:val="24"/>
          <w:szCs w:val="24"/>
        </w:rPr>
        <w:t xml:space="preserve"> Комисията създаде </w:t>
      </w:r>
      <w:r>
        <w:rPr>
          <w:rFonts w:ascii="Times New Roman" w:hAnsi="Times New Roman" w:cs="Times New Roman"/>
          <w:noProof/>
          <w:sz w:val="24"/>
          <w:szCs w:val="24"/>
          <w:u w:val="single"/>
        </w:rPr>
        <w:t>информационен център за администрациите на държавите членки</w:t>
      </w:r>
      <w:r>
        <w:rPr>
          <w:rFonts w:ascii="Times New Roman" w:hAnsi="Times New Roman" w:cs="Times New Roman"/>
          <w:noProof/>
          <w:sz w:val="24"/>
          <w:szCs w:val="24"/>
        </w:rPr>
        <w:t xml:space="preserve">, който ще им предостави бърз достъп до експертния опит на службите на Комисията чрез установяването на пряк канал за комуникация, с цел също така да се улесни необходимата координация между националните органи. </w:t>
      </w:r>
      <w:r>
        <w:rPr>
          <w:rFonts w:ascii="Times New Roman" w:hAnsi="Times New Roman" w:cs="Times New Roman"/>
          <w:noProof/>
          <w:sz w:val="24"/>
          <w:szCs w:val="24"/>
          <w:u w:val="single"/>
        </w:rPr>
        <w:t>Гражданите, предприятията и други заинтересовани страни в ЕС</w:t>
      </w:r>
      <w:r>
        <w:rPr>
          <w:rFonts w:ascii="Times New Roman" w:hAnsi="Times New Roman" w:cs="Times New Roman"/>
          <w:noProof/>
          <w:sz w:val="24"/>
          <w:szCs w:val="24"/>
        </w:rPr>
        <w:t xml:space="preserve"> могат да се свържат със своите национални или местни администрации по обичайните канали. Те могат също така да се обърнат към центъра за обаждания Europe Direct по всякакви въпроси (безплатен телефон 00 800 6 7 8 9 10 11 от всяка точка в Европейския съюз). В периода около оттеглянето центърът за обаждания Europe Direct ще работи с удължено работно време.</w:t>
      </w:r>
    </w:p>
    <w:p>
      <w:pPr>
        <w:pStyle w:val="Heading1"/>
        <w:numPr>
          <w:ilvl w:val="0"/>
          <w:numId w:val="28"/>
        </w:numPr>
        <w:spacing w:before="360" w:after="240"/>
        <w:rPr>
          <w:rFonts w:eastAsia="Arial Unicode MS" w:cs="Times New Roman"/>
          <w:b/>
          <w:bCs/>
          <w:smallCaps/>
          <w:noProof/>
          <w:color w:val="auto"/>
          <w:szCs w:val="24"/>
          <w:bdr w:val="none" w:sz="0" w:space="0" w:color="auto" w:frame="1"/>
        </w:rPr>
      </w:pPr>
      <w:r>
        <w:rPr>
          <w:rFonts w:cs="Times New Roman"/>
          <w:b/>
          <w:bCs/>
          <w:smallCaps/>
          <w:noProof/>
          <w:szCs w:val="24"/>
          <w:bdr w:val="none" w:sz="0" w:space="0" w:color="auto" w:frame="1"/>
        </w:rPr>
        <w:t>Заключения</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Въпреки целта на ЕС е да се постигне организирано оттегляне на Обединеното кралство, Комисията отново заявява, че всеки трябва да се подготви за евентуално оттегляне на Обединеното кралство без споразумение от 1 ноември 2019 г. Комисията продължава да призовава всички заинтересовани страни да приключат подготовката си и подчертава по-специално необходимостта стопанските среди да предприемат действия в чувствителни области като лекарствените продукти, медицинските изделия и химикалите. Тя също така настоятелно призовава всички оператори от ЕС, които ще търгуват с Обединеното кралство или ще транспортират стоки до и от Обединеното кралство след оттеглянето, да вземат предвид необходимостта от преминаването на митнически, санитарни и фитосанитарни проверки и процедури, както и логистичните предизвикателства, които могат да се очакват в новия правен контекст, във връзка с преминаването на границите с Обединеното кралство.</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Успоредно с настоящото съобщение Комисията прие три законодателни предложения, за да вземе предвид отлагането на датата на оттегляне, като удължи при необходимост срока на действие на съществуващите извънредни мерки в областта на транспорта и рибарството или осигури рамка за 2020 г. в контекста на бюджета на ЕС. Освен това тя прие още две законодателни предложения като част от пакет, който дава възможност за спешна финансова подкрепа при необходимост. И накрая, тя изпрати за консултация на експерти от държавите членки, в съответствие с приложимите процедури, делегиран акт за адаптиране към настоящата дата на оттегляне на сроковете, предвидени в регламента за извънредни мерки относно бюджета на ЕС за 2019 г.</w:t>
      </w:r>
      <w:r>
        <w:rPr>
          <w:rStyle w:val="FootnoteReference"/>
          <w:rFonts w:ascii="Times New Roman" w:eastAsia="Arial Unicode MS" w:hAnsi="Times New Roman" w:cs="Times New Roman"/>
          <w:noProof/>
          <w:sz w:val="24"/>
          <w:szCs w:val="24"/>
          <w:bdr w:val="none" w:sz="0" w:space="0" w:color="auto" w:frame="1"/>
        </w:rPr>
        <w:footnoteReference w:id="40"/>
      </w:r>
      <w:r>
        <w:rPr>
          <w:rFonts w:ascii="Times New Roman" w:hAnsi="Times New Roman" w:cs="Times New Roman"/>
          <w:noProof/>
          <w:sz w:val="24"/>
          <w:szCs w:val="24"/>
        </w:rPr>
        <w:t xml:space="preserve"> Комисията призовава съзаконодателите да осигурят бързо приемане на предлаганите законодателни актове, за да могат при необходимост те да бъдат в сила към датата на оттегляне на Обединеното кралство.</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периода около датата на оттегляне Комисията ще удължи работното време на своя информационен център за гражданите и предприятията и ще създаде специален информационен център за органите на държавите членки със задачата да предоставя експертен опит и да улеснява необходимата координация между националните органи. Комисията също така призовава държавите членки да засилят комуникационните дейности, които бяха в ход по-рано тази година, и да информират заинтересованите страни на национално равнище, както и да предприемат необходимите мерки, за да могат да отговорят на евентуални смущения, по-специално в периода, непосредствено следващ оттеглянето без споразумение.</w:t>
      </w:r>
    </w:p>
    <w:p>
      <w:pPr>
        <w:pStyle w:val="NormalWeb"/>
        <w:spacing w:before="0" w:beforeAutospacing="0" w:after="240" w:afterAutospacing="0"/>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134"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01088121"/>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394605"/>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60"/>
        <w:ind w:left="284" w:hanging="284"/>
      </w:pPr>
      <w:r>
        <w:rPr>
          <w:rStyle w:val="FootnoteReference"/>
        </w:rPr>
        <w:footnoteRef/>
      </w:r>
      <w:r>
        <w:t xml:space="preserve"> </w:t>
      </w:r>
      <w:r>
        <w:tab/>
        <w:t>Решение (ЕС) 2019/584 на Европейския съвет (ОВ L 101, 11.4.2019 г., стр. 1). В решението се предвижда също така, че ако Обединеното кралство ратифицира Споразумението за оттегляне преди 31 октомври, оттеглянето ще се осъществи на първия ден от месеца след приключването на процедурата по ратификация. Преди това Европейският съвет взе решение за първо удължаване на 22 март 2019 г. (Решение (ЕС) 2019/476 на Европейския съвет, ОВ L 80I, 22.3.2019 г., стр. 1) по искане на Обединеното кралство.</w:t>
      </w:r>
    </w:p>
  </w:footnote>
  <w:footnote w:id="3">
    <w:p>
      <w:pPr>
        <w:pStyle w:val="FootnoteText"/>
        <w:spacing w:after="60"/>
        <w:ind w:left="284" w:hanging="284"/>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vertAlign w:val="baseline"/>
        </w:rPr>
        <w:t>Споразумение за оттеглянето на Обединено кралство Великобритания и Северна Ирландия от Европейския съюз и Европейската общност за атомна енергия (OВ C 144I, 25.4.2019 г., стр. 1).</w:t>
      </w:r>
    </w:p>
  </w:footnote>
  <w:footnote w:id="4">
    <w:p>
      <w:pPr>
        <w:pStyle w:val="FootnoteText"/>
        <w:spacing w:after="60"/>
        <w:ind w:left="284" w:hanging="284"/>
      </w:pPr>
      <w:r>
        <w:rPr>
          <w:rStyle w:val="FootnoteReference"/>
        </w:rPr>
        <w:footnoteRef/>
      </w:r>
      <w:r>
        <w:t xml:space="preserve"> </w:t>
      </w:r>
      <w:r>
        <w:tab/>
        <w:t>COM(2019) 276 final.</w:t>
      </w:r>
    </w:p>
  </w:footnote>
  <w:footnote w:id="5">
    <w:p>
      <w:pPr>
        <w:pStyle w:val="FootnoteText"/>
        <w:spacing w:after="60"/>
        <w:ind w:left="284" w:hanging="284"/>
      </w:pPr>
      <w:r>
        <w:rPr>
          <w:rStyle w:val="FootnoteReference"/>
        </w:rPr>
        <w:footnoteRef/>
      </w:r>
      <w:r>
        <w:t xml:space="preserve"> </w:t>
      </w:r>
      <w:r>
        <w:tab/>
      </w:r>
      <w:hyperlink r:id="rId1" w:history="1">
        <w:r>
          <w:rPr>
            <w:rStyle w:val="Hyperlink"/>
          </w:rPr>
          <w:t>https://ec.europa.eu/info/files/overview-table-residence-rights-uk-nationals-eu27-member-states_en</w:t>
        </w:r>
      </w:hyperlink>
      <w:r>
        <w:t>.</w:t>
      </w:r>
    </w:p>
  </w:footnote>
  <w:footnote w:id="6">
    <w:p>
      <w:pPr>
        <w:pStyle w:val="FootnoteText"/>
        <w:spacing w:after="60"/>
        <w:ind w:left="284" w:hanging="284"/>
      </w:pPr>
      <w:r>
        <w:rPr>
          <w:rStyle w:val="FootnoteReference"/>
        </w:rPr>
        <w:footnoteRef/>
      </w:r>
      <w:r>
        <w:t xml:space="preserve"> </w:t>
      </w:r>
      <w:r>
        <w:tab/>
      </w:r>
      <w:hyperlink r:id="rId2" w:history="1">
        <w:r>
          <w:rPr>
            <w:rStyle w:val="Hyperlink"/>
          </w:rPr>
          <w:t>https://www.gov.uk/eusettledstatus</w:t>
        </w:r>
      </w:hyperlink>
      <w:r>
        <w:t xml:space="preserve">. </w:t>
      </w:r>
    </w:p>
  </w:footnote>
  <w:footnote w:id="7">
    <w:p>
      <w:pPr>
        <w:pStyle w:val="FootnoteText"/>
        <w:spacing w:after="60"/>
        <w:ind w:left="284" w:hanging="284"/>
      </w:pPr>
      <w:r>
        <w:rPr>
          <w:rStyle w:val="FootnoteReference"/>
        </w:rPr>
        <w:footnoteRef/>
      </w:r>
      <w:r>
        <w:t xml:space="preserve"> </w:t>
      </w:r>
      <w:r>
        <w:tab/>
        <w:t>Регламент (ЕС) 2019/500 на Европейския парламент и на Съвета от 25 март 2019 г. за определяне на извънредни мерки в областта на координацията на системите за социална сигурност след оттеглянето на Обединеното кралство от Съюза (OВ L 85I, 27.3.2019, стp. 35).</w:t>
      </w:r>
    </w:p>
  </w:footnote>
  <w:footnote w:id="8">
    <w:p>
      <w:pPr>
        <w:pStyle w:val="FootnoteText"/>
        <w:spacing w:after="60"/>
        <w:ind w:left="284" w:hanging="284"/>
      </w:pPr>
      <w:r>
        <w:rPr>
          <w:rStyle w:val="FootnoteReference"/>
        </w:rPr>
        <w:footnoteRef/>
      </w:r>
      <w:r>
        <w:t xml:space="preserve"> </w:t>
      </w:r>
      <w:r>
        <w:tab/>
      </w:r>
      <w:hyperlink r:id="rId3" w:history="1">
        <w:r>
          <w:rPr>
            <w:rStyle w:val="Hyperlink"/>
          </w:rPr>
          <w:t>https://ec.europa.eu/info/files/overview-national-measures-area-social-security-coordination_en</w:t>
        </w:r>
      </w:hyperlink>
      <w:r>
        <w:t>.</w:t>
      </w:r>
    </w:p>
  </w:footnote>
  <w:footnote w:id="9">
    <w:p>
      <w:pPr>
        <w:pStyle w:val="FootnoteText"/>
        <w:spacing w:after="60"/>
        <w:ind w:left="284" w:hanging="284"/>
      </w:pPr>
      <w:r>
        <w:rPr>
          <w:rStyle w:val="FootnoteReference"/>
        </w:rPr>
        <w:footnoteRef/>
      </w:r>
      <w:r>
        <w:t xml:space="preserve"> </w:t>
      </w:r>
      <w:r>
        <w:tab/>
        <w:t>19.7.2018 г.: COM(2018) 556 final/2; 13.11.2018 г.: COM(2018) 880 final; 19.12.2018 г.: COM(2018) 890 final; 10.4.2019 г.: COM (2019) 195 final; 12.06.2019 г.: COM(2019) 276 final.</w:t>
      </w:r>
    </w:p>
  </w:footnote>
  <w:footnote w:id="10">
    <w:p>
      <w:pPr>
        <w:pStyle w:val="FootnoteText"/>
        <w:spacing w:after="60"/>
        <w:ind w:left="284" w:hanging="284"/>
        <w:rPr>
          <w:rStyle w:val="FootnoteReference"/>
          <w:vertAlign w:val="baseline"/>
        </w:rPr>
      </w:pPr>
      <w:r>
        <w:rPr>
          <w:rStyle w:val="FootnoteReference"/>
        </w:rPr>
        <w:footnoteRef/>
      </w:r>
      <w:r>
        <w:rPr>
          <w:rStyle w:val="FootnoteReference"/>
        </w:rPr>
        <w:t xml:space="preserve"> </w:t>
      </w:r>
      <w:r>
        <w:rPr>
          <w:vertAlign w:val="superscript"/>
        </w:rPr>
        <w:tab/>
      </w:r>
      <w:hyperlink r:id="rId4" w:history="1">
        <w:r>
          <w:rPr>
            <w:rStyle w:val="Hyperlink"/>
          </w:rPr>
          <w:t>https://ec.europa.eu/info/files/brexit-preparedness-checklist</w:t>
        </w:r>
      </w:hyperlink>
      <w:r>
        <w:t>.</w:t>
      </w:r>
    </w:p>
  </w:footnote>
  <w:footnote w:id="11">
    <w:p>
      <w:pPr>
        <w:pStyle w:val="FootnoteText"/>
        <w:spacing w:after="60"/>
        <w:ind w:left="284" w:hanging="284"/>
      </w:pPr>
      <w:r>
        <w:rPr>
          <w:rStyle w:val="FootnoteReference"/>
        </w:rPr>
        <w:footnoteRef/>
      </w:r>
      <w:r>
        <w:t xml:space="preserve"> </w:t>
      </w:r>
      <w:r>
        <w:tab/>
      </w:r>
      <w:hyperlink r:id="rId5" w:history="1">
        <w:r>
          <w:rPr>
            <w:rStyle w:val="Hyperlink"/>
          </w:rPr>
          <w:t>https://ec.europa.eu/info/brexit/brexit-preparedness/preparedness-notices_en</w:t>
        </w:r>
      </w:hyperlink>
      <w:r>
        <w:t>.</w:t>
      </w:r>
    </w:p>
  </w:footnote>
  <w:footnote w:id="12">
    <w:p>
      <w:pPr>
        <w:pStyle w:val="FootnoteText"/>
        <w:spacing w:after="60"/>
        <w:ind w:left="284" w:hanging="284"/>
        <w:rPr>
          <w:spacing w:val="-4"/>
        </w:rPr>
      </w:pPr>
      <w:r>
        <w:rPr>
          <w:rStyle w:val="FootnoteReference"/>
        </w:rPr>
        <w:footnoteRef/>
      </w:r>
      <w:r>
        <w:rPr>
          <w:rStyle w:val="FootnoteReference"/>
        </w:rPr>
        <w:t xml:space="preserve"> </w:t>
      </w:r>
      <w:r>
        <w:tab/>
      </w:r>
      <w:r>
        <w:rPr>
          <w:rStyle w:val="FootnoteReference"/>
          <w:spacing w:val="-4"/>
          <w:vertAlign w:val="baseline"/>
        </w:rPr>
        <w:t>Тарифите, приложими за стоки, внесени от О</w:t>
      </w:r>
      <w:r>
        <w:rPr>
          <w:spacing w:val="-4"/>
        </w:rPr>
        <w:t xml:space="preserve">бединеното </w:t>
      </w:r>
      <w:r>
        <w:rPr>
          <w:rStyle w:val="FootnoteReference"/>
          <w:spacing w:val="-4"/>
          <w:vertAlign w:val="baseline"/>
        </w:rPr>
        <w:t>кралство на митническата територия на Съюза, от датата</w:t>
      </w:r>
      <w:r>
        <w:rPr>
          <w:spacing w:val="-4"/>
        </w:rPr>
        <w:t xml:space="preserve"> на оттегляне</w:t>
      </w:r>
      <w:r>
        <w:rPr>
          <w:rStyle w:val="FootnoteReference"/>
          <w:spacing w:val="-4"/>
          <w:vertAlign w:val="baseline"/>
        </w:rPr>
        <w:t xml:space="preserve"> ще бъдат същите като тарифите за стоки</w:t>
      </w:r>
      <w:r>
        <w:rPr>
          <w:spacing w:val="-4"/>
        </w:rPr>
        <w:t xml:space="preserve"> с произход</w:t>
      </w:r>
      <w:r>
        <w:rPr>
          <w:rStyle w:val="FootnoteReference"/>
          <w:spacing w:val="-4"/>
          <w:vertAlign w:val="baseline"/>
        </w:rPr>
        <w:t xml:space="preserve"> от трети държави, с които ЕС няма преференциални търговски споразумения</w:t>
      </w:r>
      <w:r>
        <w:rPr>
          <w:spacing w:val="-4"/>
        </w:rPr>
        <w:t>. Приложимите тарифи могат да бъдат намерени</w:t>
      </w:r>
      <w:r>
        <w:rPr>
          <w:rStyle w:val="FootnoteReference"/>
          <w:spacing w:val="-4"/>
          <w:vertAlign w:val="baseline"/>
        </w:rPr>
        <w:t xml:space="preserve"> в базата данни ТАРИК ( </w:t>
      </w:r>
      <w:hyperlink r:id="rId6" w:history="1">
        <w:r>
          <w:rPr>
            <w:rStyle w:val="Hyperlink"/>
            <w:spacing w:val="-4"/>
          </w:rPr>
          <w:t>https://ec.europa.eu/taxation_customs/dds2/taric/taric_consultation.jsp?Lang=bg</w:t>
        </w:r>
      </w:hyperlink>
      <w:r>
        <w:rPr>
          <w:rStyle w:val="FootnoteReference"/>
          <w:spacing w:val="-4"/>
          <w:vertAlign w:val="baseline"/>
        </w:rPr>
        <w:t>).</w:t>
      </w:r>
    </w:p>
  </w:footnote>
  <w:footnote w:id="13">
    <w:p>
      <w:pPr>
        <w:pStyle w:val="FootnoteText"/>
        <w:spacing w:after="60"/>
        <w:ind w:left="284" w:hanging="284"/>
      </w:pPr>
      <w:r>
        <w:rPr>
          <w:rStyle w:val="FootnoteReference"/>
        </w:rPr>
        <w:footnoteRef/>
      </w:r>
      <w:r>
        <w:rPr>
          <w:vertAlign w:val="superscript"/>
        </w:rPr>
        <w:t xml:space="preserve"> </w:t>
      </w:r>
      <w:r>
        <w:rPr>
          <w:vertAlign w:val="superscript"/>
        </w:rPr>
        <w:tab/>
      </w:r>
      <w:hyperlink r:id="rId7" w:history="1">
        <w:r>
          <w:rPr>
            <w:rStyle w:val="Hyperlink"/>
          </w:rPr>
          <w:t>https://www.wto.org/english/res_e/booksp_e/tariff_profiles19_e.pdf</w:t>
        </w:r>
      </w:hyperlink>
      <w:r>
        <w:rPr>
          <w:rStyle w:val="Hyperlink"/>
        </w:rPr>
        <w:t>.</w:t>
      </w:r>
      <w:r>
        <w:t xml:space="preserve"> </w:t>
      </w:r>
    </w:p>
  </w:footnote>
  <w:footnote w:id="14">
    <w:p>
      <w:pPr>
        <w:pStyle w:val="FootnoteText"/>
        <w:spacing w:after="60"/>
        <w:ind w:left="284" w:hanging="284"/>
      </w:pPr>
      <w:r>
        <w:rPr>
          <w:rStyle w:val="FootnoteReference"/>
        </w:rPr>
        <w:footnoteRef/>
      </w:r>
      <w:r>
        <w:t xml:space="preserve"> </w:t>
      </w:r>
      <w:r>
        <w:tab/>
        <w:t>Източник: Профил на Световната митническа тарифа на СТО от 2019 г.</w:t>
      </w:r>
    </w:p>
  </w:footnote>
  <w:footnote w:id="15">
    <w:p>
      <w:pPr>
        <w:pStyle w:val="FootnoteText"/>
        <w:spacing w:after="60"/>
        <w:ind w:left="284" w:hanging="284"/>
      </w:pPr>
      <w:r>
        <w:rPr>
          <w:rStyle w:val="FootnoteReference"/>
        </w:rPr>
        <w:footnoteRef/>
      </w:r>
      <w:r>
        <w:t xml:space="preserve"> </w:t>
      </w:r>
      <w:r>
        <w:tab/>
      </w:r>
      <w:hyperlink r:id="rId8" w:history="1">
        <w:r>
          <w:rPr>
            <w:rStyle w:val="Hyperlink"/>
          </w:rPr>
          <w:t>https://ec.europa.eu/taxation_customs/business/customs-procedures/what-is-customs-transit/common-union-transit_en</w:t>
        </w:r>
      </w:hyperlink>
      <w:r>
        <w:rPr>
          <w:rStyle w:val="Hyperlink"/>
        </w:rPr>
        <w:t>.</w:t>
      </w:r>
    </w:p>
  </w:footnote>
  <w:footnote w:id="16">
    <w:p>
      <w:pPr>
        <w:pStyle w:val="FootnoteText"/>
        <w:ind w:left="284" w:hanging="284"/>
      </w:pPr>
      <w:r>
        <w:rPr>
          <w:rStyle w:val="FootnoteReference"/>
        </w:rPr>
        <w:footnoteRef/>
      </w:r>
      <w:r>
        <w:t xml:space="preserve"> </w:t>
      </w:r>
      <w:r>
        <w:tab/>
        <w:t xml:space="preserve">Вж. също известието на Комисията до заинтересованите страни по този въпрос: </w:t>
      </w:r>
      <w:hyperlink r:id="rId9" w:history="1">
        <w:r>
          <w:rPr>
            <w:rStyle w:val="Hyperlink"/>
          </w:rPr>
          <w:t>https://ec.europa.eu/info/files/preferential-rules-origin</w:t>
        </w:r>
      </w:hyperlink>
      <w:r>
        <w:t xml:space="preserve">. </w:t>
      </w:r>
    </w:p>
  </w:footnote>
  <w:footnote w:id="17">
    <w:p>
      <w:pPr>
        <w:pStyle w:val="FootnoteText"/>
        <w:spacing w:after="60"/>
        <w:ind w:left="284" w:hanging="284"/>
      </w:pPr>
      <w:r>
        <w:rPr>
          <w:rStyle w:val="FootnoteReference"/>
        </w:rPr>
        <w:footnoteRef/>
      </w:r>
      <w:r>
        <w:t xml:space="preserve"> </w:t>
      </w:r>
      <w:r>
        <w:tab/>
      </w:r>
      <w:hyperlink r:id="rId10" w:anchor="heading_2" w:history="1">
        <w:r>
          <w:rPr>
            <w:rStyle w:val="Hyperlink"/>
          </w:rPr>
          <w:t>https://ec.europa.eu/taxation_customs/uk_withdrawal_en#heading_2</w:t>
        </w:r>
      </w:hyperlink>
      <w:r>
        <w:t xml:space="preserve">. </w:t>
      </w:r>
    </w:p>
  </w:footnote>
  <w:footnote w:id="18">
    <w:p>
      <w:pPr>
        <w:pStyle w:val="FootnoteText"/>
        <w:spacing w:after="60"/>
        <w:ind w:left="284" w:hanging="284"/>
      </w:pPr>
      <w:r>
        <w:rPr>
          <w:rStyle w:val="FootnoteReference"/>
        </w:rPr>
        <w:footnoteRef/>
      </w:r>
      <w:r>
        <w:t xml:space="preserve"> </w:t>
      </w:r>
      <w:r>
        <w:tab/>
      </w:r>
      <w:hyperlink r:id="rId11" w:history="1">
        <w:r>
          <w:rPr>
            <w:rStyle w:val="Hyperlink"/>
          </w:rPr>
          <w:t>https://ec.europa.eu/taxation_customs/eu-training/general-overview_en</w:t>
        </w:r>
      </w:hyperlink>
      <w:r>
        <w:t xml:space="preserve">. </w:t>
      </w:r>
    </w:p>
  </w:footnote>
  <w:footnote w:id="19">
    <w:p>
      <w:pPr>
        <w:pStyle w:val="FootnoteText"/>
        <w:spacing w:after="60"/>
        <w:ind w:left="284" w:hanging="284"/>
      </w:pPr>
      <w:r>
        <w:rPr>
          <w:rStyle w:val="FootnoteReference"/>
        </w:rPr>
        <w:footnoteRef/>
      </w:r>
      <w:r>
        <w:t xml:space="preserve"> </w:t>
      </w:r>
      <w:r>
        <w:tab/>
        <w:t>COM(2019) 276 final.</w:t>
      </w:r>
    </w:p>
  </w:footnote>
  <w:footnote w:id="20">
    <w:p>
      <w:pPr>
        <w:pStyle w:val="FootnoteText"/>
        <w:spacing w:after="60"/>
        <w:ind w:left="284" w:hanging="284"/>
      </w:pPr>
      <w:r>
        <w:rPr>
          <w:rStyle w:val="FootnoteReference"/>
        </w:rPr>
        <w:footnoteRef/>
      </w:r>
      <w:r>
        <w:t xml:space="preserve"> </w:t>
      </w:r>
      <w:r>
        <w:tab/>
      </w:r>
      <w:hyperlink r:id="rId12" w:history="1">
        <w:r>
          <w:rPr>
            <w:rStyle w:val="Hyperlink"/>
          </w:rPr>
          <w:t>https://ec.europa.eu/taxation_customs/uk_withdrawal_en#</w:t>
        </w:r>
      </w:hyperlink>
      <w:r>
        <w:t>.</w:t>
      </w:r>
    </w:p>
  </w:footnote>
  <w:footnote w:id="21">
    <w:p>
      <w:pPr>
        <w:pStyle w:val="FootnoteText"/>
        <w:spacing w:after="60"/>
        <w:ind w:left="284" w:hanging="284"/>
      </w:pPr>
      <w:r>
        <w:rPr>
          <w:rStyle w:val="FootnoteReference"/>
        </w:rPr>
        <w:footnoteRef/>
      </w:r>
      <w:r>
        <w:t xml:space="preserve"> </w:t>
      </w:r>
      <w:r>
        <w:tab/>
      </w:r>
      <w:hyperlink r:id="rId13" w:anchor="heading_4" w:history="1">
        <w:r>
          <w:rPr>
            <w:rStyle w:val="Hyperlink"/>
          </w:rPr>
          <w:t>https://ec.europa.eu/taxation_customs/uk_withdrawal_en#heading_4</w:t>
        </w:r>
      </w:hyperlink>
      <w:r>
        <w:t>.</w:t>
      </w:r>
    </w:p>
  </w:footnote>
  <w:footnote w:id="22">
    <w:p>
      <w:pPr>
        <w:pStyle w:val="FootnoteText"/>
        <w:spacing w:after="60"/>
        <w:ind w:left="284" w:hanging="284"/>
      </w:pPr>
      <w:r>
        <w:rPr>
          <w:rStyle w:val="FootnoteReference"/>
        </w:rPr>
        <w:footnoteRef/>
      </w:r>
      <w:r>
        <w:t xml:space="preserve"> </w:t>
      </w:r>
      <w:r>
        <w:tab/>
        <w:t xml:space="preserve">Например специална информация относно Брексит, свързана с митническите формалности, е на разположение за Белгия на адрес: </w:t>
      </w:r>
      <w:hyperlink r:id="rId14" w:history="1">
        <w:r>
          <w:rPr>
            <w:rStyle w:val="Hyperlink"/>
          </w:rPr>
          <w:t>https://finance.belgium.be/en/customs_excises/enterprises/brexit</w:t>
        </w:r>
      </w:hyperlink>
      <w:r>
        <w:t xml:space="preserve">; за Франция на адрес: </w:t>
      </w:r>
      <w:hyperlink r:id="rId15" w:history="1">
        <w:r>
          <w:rPr>
            <w:rStyle w:val="Hyperlink"/>
          </w:rPr>
          <w:t>http://douane.gouv.fr/articles/c957-entreprises-preparez-vous-au-brexit</w:t>
        </w:r>
      </w:hyperlink>
      <w:r>
        <w:t xml:space="preserve">; и за Нидерландия на адрес: </w:t>
      </w:r>
      <w:hyperlink r:id="rId16" w:history="1">
        <w:r>
          <w:rPr>
            <w:rStyle w:val="Hyperlink"/>
          </w:rPr>
          <w:t>https://www.getreadyforbrexit.eu/en</w:t>
        </w:r>
      </w:hyperlink>
      <w:r>
        <w:t xml:space="preserve">. </w:t>
      </w:r>
    </w:p>
    <w:p>
      <w:pPr>
        <w:pStyle w:val="FootnoteText"/>
        <w:spacing w:after="60"/>
        <w:ind w:left="284"/>
      </w:pPr>
      <w:r>
        <w:t>Освен това информация за ползвателите на пристанищата на Обединеното кралство и на Евротунела може да бъде намерена на адрес:</w:t>
      </w:r>
      <w:r>
        <w:tab/>
      </w:r>
      <w:r>
        <w:br/>
      </w:r>
      <w:hyperlink r:id="rId17" w:history="1">
        <w:r>
          <w:rPr>
            <w:rStyle w:val="Hyperlink"/>
          </w:rPr>
          <w:t>https://www.gov.uk/government/publications/communications-pack-roll-on-roll-off-ports-and-eurotunnel-in-the-event-of-a-no-deal-eu-exit/information-for-users-of-roll-on-roll-off-ports-and-eurotunnel-in-a-no-deal-scenario</w:t>
        </w:r>
      </w:hyperlink>
      <w:r>
        <w:t xml:space="preserve">. </w:t>
      </w:r>
    </w:p>
  </w:footnote>
  <w:footnote w:id="23">
    <w:p>
      <w:pPr>
        <w:pStyle w:val="FootnoteText"/>
        <w:spacing w:after="60"/>
        <w:ind w:left="284" w:hanging="284"/>
      </w:pPr>
      <w:r>
        <w:rPr>
          <w:rStyle w:val="FootnoteReference"/>
        </w:rPr>
        <w:footnoteRef/>
      </w:r>
      <w:r>
        <w:t xml:space="preserve"> </w:t>
      </w:r>
      <w:r>
        <w:tab/>
        <w:t xml:space="preserve">Например специална информация относно Брексит, свързана със санитарния и фитосанитарния контрол, е на разположение за Белгия на адрес: </w:t>
      </w:r>
      <w:hyperlink r:id="rId18" w:history="1">
        <w:r>
          <w:rPr>
            <w:rStyle w:val="Hyperlink"/>
          </w:rPr>
          <w:t>http://www.favv-afsca.fgov.be/brexit/</w:t>
        </w:r>
      </w:hyperlink>
      <w:r>
        <w:t xml:space="preserve">; за Франция на адрес: </w:t>
      </w:r>
      <w:hyperlink r:id="rId19" w:history="1">
        <w:r>
          <w:rPr>
            <w:rStyle w:val="Hyperlink"/>
          </w:rPr>
          <w:t>https://agriculture.gouv.fr/le-brexit-et-les-controles-sanitaires-et-phytosanitaires</w:t>
        </w:r>
      </w:hyperlink>
      <w:r>
        <w:rPr>
          <w:rStyle w:val="Hyperlink"/>
        </w:rPr>
        <w:t xml:space="preserve"> </w:t>
      </w:r>
      <w:r>
        <w:t xml:space="preserve">; и за Нидерландия на адрес: </w:t>
      </w:r>
      <w:hyperlink r:id="rId20" w:history="1">
        <w:r>
          <w:rPr>
            <w:rStyle w:val="Hyperlink"/>
          </w:rPr>
          <w:t>https://www.nvwa.nl/onderwerpen/brexit/</w:t>
        </w:r>
      </w:hyperlink>
      <w:r>
        <w:t xml:space="preserve">. </w:t>
      </w:r>
    </w:p>
  </w:footnote>
  <w:footnote w:id="24">
    <w:p>
      <w:pPr>
        <w:pStyle w:val="FootnoteText"/>
        <w:spacing w:after="60"/>
        <w:ind w:left="284" w:hanging="284"/>
      </w:pPr>
      <w:r>
        <w:rPr>
          <w:rStyle w:val="FootnoteReference"/>
        </w:rPr>
        <w:footnoteRef/>
      </w:r>
      <w:r>
        <w:t xml:space="preserve"> </w:t>
      </w:r>
      <w:r>
        <w:tab/>
        <w:t xml:space="preserve">Вж. например информация за „интелигентната граница“, разработена от френските митници (на разположение на адрес </w:t>
      </w:r>
      <w:hyperlink r:id="rId21" w:history="1">
        <w:r>
          <w:rPr>
            <w:rStyle w:val="Hyperlink"/>
          </w:rPr>
          <w:t>http://www.douane.gouv.fr/articles/a16171-the-smart-border</w:t>
        </w:r>
      </w:hyperlink>
      <w:r>
        <w:rPr>
          <w:rStyle w:val="Hyperlink"/>
        </w:rPr>
        <w:t>)</w:t>
      </w:r>
      <w:r>
        <w:t xml:space="preserve">; относно холандската общностна пристанищна система (на разположение на адрес: </w:t>
      </w:r>
      <w:hyperlink r:id="rId22" w:history="1">
        <w:r>
          <w:rPr>
            <w:rStyle w:val="Hyperlink"/>
          </w:rPr>
          <w:t>https://www.portbase.com/en/</w:t>
        </w:r>
      </w:hyperlink>
      <w:r>
        <w:t xml:space="preserve">); и относно използваните системи в белгийските пристанища Зеебрюге (на разположение на адрес: </w:t>
      </w:r>
      <w:hyperlink r:id="rId23" w:history="1">
        <w:r>
          <w:rPr>
            <w:rStyle w:val="Hyperlink"/>
          </w:rPr>
          <w:t>https://rxseaport.eu/en/</w:t>
        </w:r>
      </w:hyperlink>
      <w:r>
        <w:t xml:space="preserve">) и Антверпен (на разположение на адрес: </w:t>
      </w:r>
      <w:hyperlink r:id="rId24" w:history="1">
        <w:r>
          <w:rPr>
            <w:rStyle w:val="Hyperlink"/>
          </w:rPr>
          <w:t>https://www.nxtport.com/</w:t>
        </w:r>
      </w:hyperlink>
      <w:r>
        <w:t xml:space="preserve">). </w:t>
      </w:r>
    </w:p>
  </w:footnote>
  <w:footnote w:id="25">
    <w:p>
      <w:pPr>
        <w:pStyle w:val="FootnoteText"/>
        <w:spacing w:after="60"/>
        <w:ind w:left="284" w:hanging="284"/>
      </w:pPr>
      <w:r>
        <w:rPr>
          <w:rStyle w:val="FootnoteReference"/>
        </w:rPr>
        <w:footnoteRef/>
      </w:r>
      <w:r>
        <w:t xml:space="preserve"> </w:t>
      </w:r>
      <w:r>
        <w:tab/>
        <w:t>Посочените по-долу данни относно продуктите, които все още трябва да бъдат приведени в съответствие с регулаторните изисквания, са предпазливи оценки, които не отчитат факта, че за някои от тези продукти може да не се изисква предприемане на действия за готовност за Брексит поради търговски съображения, които не са известни на Комисията. Например някои продукти могат да са продавани на пазара само в Обединеното кралство, вече да не са на пазара или да са в процес на замяна с друг продукт.</w:t>
      </w:r>
    </w:p>
  </w:footnote>
  <w:footnote w:id="26">
    <w:p>
      <w:pPr>
        <w:pStyle w:val="FootnoteText"/>
        <w:spacing w:after="60"/>
        <w:ind w:left="284" w:hanging="284"/>
      </w:pPr>
      <w:r>
        <w:rPr>
          <w:rStyle w:val="FootnoteReference"/>
        </w:rPr>
        <w:footnoteRef/>
      </w:r>
      <w:r>
        <w:t xml:space="preserve"> </w:t>
      </w:r>
      <w:r>
        <w:tab/>
        <w:t>COM(2019) 276 final.</w:t>
      </w:r>
    </w:p>
  </w:footnote>
  <w:footnote w:id="27">
    <w:p>
      <w:pPr>
        <w:pStyle w:val="FootnoteText"/>
        <w:spacing w:after="60"/>
        <w:ind w:left="284" w:hanging="284"/>
      </w:pPr>
      <w:r>
        <w:rPr>
          <w:rStyle w:val="FootnoteReference"/>
        </w:rPr>
        <w:footnoteRef/>
      </w:r>
      <w:r>
        <w:t xml:space="preserve"> </w:t>
      </w:r>
      <w: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и за създаване на Европейска агенция по химикали, за изменение на Директива 1999/45/ЕО и за отмяна на Регламент (ЕИО) № 793/93 на Съвета, Регламент (ЕО) № 1488/94 на Комисията, както и на Директива 76/769/ЕИО на Съвета и директиви 91/155/ЕИО, 93/67/ЕИО, 93/105/ЕО и 2000/21/ЕО на Комисията, ОВ L 396, 30.12.2006 г., стр. 1.</w:t>
      </w:r>
    </w:p>
  </w:footnote>
  <w:footnote w:id="28">
    <w:p>
      <w:pPr>
        <w:pStyle w:val="FootnoteText"/>
        <w:spacing w:after="60"/>
        <w:ind w:left="284" w:hanging="284"/>
      </w:pPr>
      <w:r>
        <w:rPr>
          <w:rStyle w:val="FootnoteReference"/>
        </w:rPr>
        <w:footnoteRef/>
      </w:r>
      <w:r>
        <w:t xml:space="preserve"> </w:t>
      </w:r>
      <w:r>
        <w:tab/>
      </w:r>
      <w:hyperlink r:id="rId25" w:anchor="envgrow" w:history="1">
        <w:r>
          <w:rPr>
            <w:rStyle w:val="Hyperlink"/>
          </w:rPr>
          <w:t>https://ec.europa.eu/info/brexit/brexit-preparedness/preparedness-notices_en#envgrow</w:t>
        </w:r>
      </w:hyperlink>
      <w:r>
        <w:t xml:space="preserve">; и </w:t>
      </w:r>
      <w:hyperlink r:id="rId26" w:history="1">
        <w:r>
          <w:rPr>
            <w:rStyle w:val="Hyperlink"/>
          </w:rPr>
          <w:t>https://echa.europa.eu/uk-withdrawal-from-the-eu</w:t>
        </w:r>
      </w:hyperlink>
      <w:r>
        <w:t>.</w:t>
      </w:r>
    </w:p>
  </w:footnote>
  <w:footnote w:id="29">
    <w:p>
      <w:pPr>
        <w:pStyle w:val="FootnoteText"/>
        <w:spacing w:after="60"/>
        <w:ind w:left="284" w:hanging="284"/>
      </w:pPr>
      <w:r>
        <w:rPr>
          <w:rStyle w:val="FootnoteReference"/>
        </w:rPr>
        <w:footnoteRef/>
      </w:r>
      <w:r>
        <w:t xml:space="preserve"> </w:t>
      </w:r>
      <w:r>
        <w:tab/>
      </w:r>
      <w:hyperlink r:id="rId27" w:history="1">
        <w:r>
          <w:rPr>
            <w:rStyle w:val="Hyperlink"/>
          </w:rPr>
          <w:t>https://ec.europa.eu/info/sites/info/files/fisheries-qanda_en.pdf</w:t>
        </w:r>
      </w:hyperlink>
      <w:r>
        <w:t xml:space="preserve">. </w:t>
      </w:r>
    </w:p>
  </w:footnote>
  <w:footnote w:id="30">
    <w:p>
      <w:pPr>
        <w:pStyle w:val="FootnoteText"/>
        <w:spacing w:after="60"/>
        <w:ind w:left="284" w:hanging="284"/>
      </w:pPr>
      <w:r>
        <w:rPr>
          <w:rStyle w:val="FootnoteReference"/>
        </w:rPr>
        <w:footnoteRef/>
      </w:r>
      <w:r>
        <w:t xml:space="preserve"> </w:t>
      </w:r>
      <w:r>
        <w:tab/>
        <w:t>COM(2019) 276 final.</w:t>
      </w:r>
    </w:p>
  </w:footnote>
  <w:footnote w:id="31">
    <w:p>
      <w:pPr>
        <w:pStyle w:val="FootnoteText"/>
        <w:spacing w:after="60"/>
        <w:ind w:left="284" w:hanging="284"/>
      </w:pPr>
      <w:r>
        <w:rPr>
          <w:rStyle w:val="FootnoteReference"/>
        </w:rPr>
        <w:footnoteRef/>
      </w:r>
      <w:r>
        <w:tab/>
        <w:t>Регламент (ЕС) 2019/501 на Европейския парламент и на Съвета от 25 март 2019 г. относно общите правила за гарантиране на основна свързаност на товарния и пътническия автомобилен транспорт във връзка с оттеглянето на Обединено кралство Великобритания и Северна Ирландия от Съюза, ОВ L 85I, 27.3.2019 г., стр. 39.</w:t>
      </w:r>
    </w:p>
  </w:footnote>
  <w:footnote w:id="32">
    <w:p>
      <w:pPr>
        <w:pStyle w:val="FootnoteText"/>
        <w:spacing w:after="60"/>
        <w:ind w:left="284" w:hanging="284"/>
      </w:pPr>
      <w:r>
        <w:rPr>
          <w:rStyle w:val="FootnoteReference"/>
        </w:rPr>
        <w:footnoteRef/>
      </w:r>
      <w:r>
        <w:tab/>
        <w:t>Регламент (ЕС) 2019/502 на Европейския парламент и на Съвета от 25 март 2019 г. относно общи правила за осигуряването на основни въздушни връзки предвид оттеглянето на Обединеното кралство Великобритания и Северна Ирландия от Съюза, ОВ L 85I, 27.3.2019 г., стр. 49.</w:t>
      </w:r>
    </w:p>
  </w:footnote>
  <w:footnote w:id="33">
    <w:p>
      <w:pPr>
        <w:pStyle w:val="FootnoteText"/>
        <w:spacing w:after="60"/>
        <w:ind w:left="284" w:hanging="284"/>
      </w:pPr>
      <w:r>
        <w:rPr>
          <w:rStyle w:val="FootnoteReference"/>
        </w:rPr>
        <w:footnoteRef/>
      </w:r>
      <w:r>
        <w:tab/>
        <w:t>Член 7, параграф 1 от Регламент (ЕС) № 2019/502.</w:t>
      </w:r>
    </w:p>
  </w:footnote>
  <w:footnote w:id="34">
    <w:p>
      <w:pPr>
        <w:pStyle w:val="FootnoteText"/>
        <w:ind w:left="284" w:hanging="284"/>
      </w:pPr>
      <w:r>
        <w:rPr>
          <w:rStyle w:val="FootnoteReference"/>
        </w:rPr>
        <w:footnoteRef/>
      </w:r>
      <w:r>
        <w:tab/>
        <w:t>Спогодба за международни случайни превози на пътници, извършвани с автобуси (Спогодба „Интербус“), ОВ L321, 26.11.2002 г., стр. 13.</w:t>
      </w:r>
    </w:p>
  </w:footnote>
  <w:footnote w:id="35">
    <w:p>
      <w:pPr>
        <w:pStyle w:val="FootnoteText"/>
        <w:spacing w:after="60"/>
        <w:ind w:left="284" w:hanging="284"/>
      </w:pPr>
      <w:r>
        <w:rPr>
          <w:rStyle w:val="FootnoteReference"/>
        </w:rPr>
        <w:footnoteRef/>
      </w:r>
      <w:r>
        <w:tab/>
        <w:t>Регламент (ЕС) 2019/498 на Европейския парламент и на Съвета от 25 март 2019 г. за изменение на Регламент (ЕС) 2017/2403 по отношение на разрешенията за риболов за риболовни кораби на Съюза във водите на Обединеното кралство и на риболовните операции на риболовни кораби на Обединеното кралство във водите на Съюза, ОВ L 85I, 27.3.2019 г., стр. 25.</w:t>
      </w:r>
    </w:p>
  </w:footnote>
  <w:footnote w:id="36">
    <w:p>
      <w:pPr>
        <w:pStyle w:val="FootnoteText"/>
        <w:spacing w:after="60"/>
        <w:ind w:left="284" w:hanging="284"/>
      </w:pPr>
      <w:r>
        <w:rPr>
          <w:rStyle w:val="FootnoteReference"/>
        </w:rPr>
        <w:footnoteRef/>
      </w:r>
      <w:r>
        <w:tab/>
        <w:t>Например получателите на безвъзмездни средства от Европейския съвет за научни изследвания по програма „Хоризонт 2020“ имат възможност да прехвърлят своите безвъзмездни средства в друга държава. Ще бъдат публикувани насоки относно съвместимостта със съответните изисквания за допустимост.</w:t>
      </w:r>
    </w:p>
  </w:footnote>
  <w:footnote w:id="37">
    <w:p>
      <w:pPr>
        <w:pStyle w:val="FootnoteText"/>
        <w:spacing w:after="60"/>
        <w:ind w:left="284" w:hanging="284"/>
      </w:pPr>
      <w:r>
        <w:rPr>
          <w:rStyle w:val="FootnoteReference"/>
        </w:rPr>
        <w:footnoteRef/>
      </w:r>
      <w:r>
        <w:tab/>
        <w:t xml:space="preserve">Регламент (ЕС, Евратом) 2019/1197 на Съвета от 9 юли 2019 г. относно мерките за изпълнението и финансирането на общия бюджет на Съюза през 2019 г., свързани с оттеглянето на Обединеното кралство от Съюза, OВ L 189, 15.7.2019 г., стр. 1. </w:t>
      </w:r>
    </w:p>
  </w:footnote>
  <w:footnote w:id="38">
    <w:p>
      <w:pPr>
        <w:pStyle w:val="FootnoteText"/>
        <w:spacing w:after="60"/>
        <w:ind w:left="284" w:hanging="284"/>
      </w:pPr>
      <w:r>
        <w:rPr>
          <w:rStyle w:val="FootnoteReference"/>
        </w:rPr>
        <w:footnoteRef/>
      </w:r>
      <w:r>
        <w:t xml:space="preserve"> </w:t>
      </w:r>
      <w:r>
        <w:tab/>
        <w:t>COM(2019) 195 final.</w:t>
      </w:r>
    </w:p>
  </w:footnote>
  <w:footnote w:id="39">
    <w:p>
      <w:pPr>
        <w:pStyle w:val="FootnoteText"/>
        <w:spacing w:after="60"/>
        <w:ind w:left="284" w:hanging="284"/>
      </w:pPr>
      <w:r>
        <w:rPr>
          <w:rStyle w:val="FootnoteReference"/>
        </w:rPr>
        <w:footnoteRef/>
      </w:r>
      <w:r>
        <w:tab/>
        <w:t>Европейски фонд за регионално развитие, Европейски земеделски фонд за развитие на селските райони, Европейски социален фонд, Кохезионен фонд и Европейски фонд за морско дело и рибарство.</w:t>
      </w:r>
    </w:p>
  </w:footnote>
  <w:footnote w:id="40">
    <w:p>
      <w:pPr>
        <w:pStyle w:val="FootnoteText"/>
        <w:spacing w:after="60"/>
        <w:ind w:left="284" w:hanging="284"/>
      </w:pPr>
      <w:r>
        <w:rPr>
          <w:rStyle w:val="FootnoteReference"/>
        </w:rPr>
        <w:footnoteRef/>
      </w:r>
      <w:r>
        <w:tab/>
        <w:t xml:space="preserve">Регламент (ЕС, Евратом) 2019/1197 на Съвета от 9 юли 2019 г. относно мерките за изпълнението и финансирането на общия бюджет на Съюза през 2019 г., свързани с оттеглянето на Обединеното кралство от Съюза, OВ L 189, 15.7.2019 г., стр.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8C0"/>
    <w:multiLevelType w:val="hybridMultilevel"/>
    <w:tmpl w:val="509E4720"/>
    <w:lvl w:ilvl="0" w:tplc="08090019">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nsid w:val="0D5406AB"/>
    <w:multiLevelType w:val="hybridMultilevel"/>
    <w:tmpl w:val="CBAE75D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nsid w:val="0D632FB9"/>
    <w:multiLevelType w:val="hybridMultilevel"/>
    <w:tmpl w:val="8884BF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F1530E"/>
    <w:multiLevelType w:val="hybridMultilevel"/>
    <w:tmpl w:val="58844E90"/>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4">
    <w:nsid w:val="1A9D29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121696"/>
    <w:multiLevelType w:val="hybridMultilevel"/>
    <w:tmpl w:val="8EDC0F4A"/>
    <w:lvl w:ilvl="0" w:tplc="172C5F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8921177"/>
    <w:multiLevelType w:val="hybridMultilevel"/>
    <w:tmpl w:val="5FF836B0"/>
    <w:lvl w:ilvl="0" w:tplc="08090003">
      <w:start w:val="1"/>
      <w:numFmt w:val="bullet"/>
      <w:lvlText w:val="o"/>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297A5C76"/>
    <w:multiLevelType w:val="hybridMultilevel"/>
    <w:tmpl w:val="A46E7C4C"/>
    <w:lvl w:ilvl="0" w:tplc="4DAC2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523DA4"/>
    <w:multiLevelType w:val="hybridMultilevel"/>
    <w:tmpl w:val="1EE6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8B1F4D"/>
    <w:multiLevelType w:val="hybridMultilevel"/>
    <w:tmpl w:val="98266B68"/>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20C4665"/>
    <w:multiLevelType w:val="hybridMultilevel"/>
    <w:tmpl w:val="CAACA1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1866E21"/>
    <w:multiLevelType w:val="hybridMultilevel"/>
    <w:tmpl w:val="3FC28354"/>
    <w:lvl w:ilvl="0" w:tplc="9008FB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45E23C08"/>
    <w:multiLevelType w:val="hybridMultilevel"/>
    <w:tmpl w:val="98F20AE0"/>
    <w:lvl w:ilvl="0" w:tplc="EA8A3D5A">
      <w:start w:val="1"/>
      <w:numFmt w:val="decimal"/>
      <w:lvlText w:val="%1."/>
      <w:lvlJc w:val="left"/>
      <w:pPr>
        <w:ind w:left="1353" w:hanging="360"/>
      </w:pPr>
      <w:rPr>
        <w:rFonts w:eastAsia="Arial Unicode MS" w:cs="Arial Unicode M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613D34"/>
    <w:multiLevelType w:val="hybridMultilevel"/>
    <w:tmpl w:val="5D2E3BCA"/>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C0240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5D13DE"/>
    <w:multiLevelType w:val="hybridMultilevel"/>
    <w:tmpl w:val="8EDC0F4A"/>
    <w:lvl w:ilvl="0" w:tplc="172C5FB2">
      <w:start w:val="1"/>
      <w:numFmt w:val="lowerRoman"/>
      <w:lvlText w:val="%1."/>
      <w:lvlJc w:val="left"/>
      <w:pPr>
        <w:ind w:left="851" w:hanging="72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6">
    <w:nsid w:val="5D583119"/>
    <w:multiLevelType w:val="hybridMultilevel"/>
    <w:tmpl w:val="F886CD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FC27D6"/>
    <w:multiLevelType w:val="hybridMultilevel"/>
    <w:tmpl w:val="EAE61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3E05565"/>
    <w:multiLevelType w:val="hybridMultilevel"/>
    <w:tmpl w:val="29B6841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69D535D"/>
    <w:multiLevelType w:val="hybridMultilevel"/>
    <w:tmpl w:val="718CA7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43485E"/>
    <w:multiLevelType w:val="hybridMultilevel"/>
    <w:tmpl w:val="FCB69320"/>
    <w:lvl w:ilvl="0" w:tplc="B6AA3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431CEB"/>
    <w:multiLevelType w:val="hybridMultilevel"/>
    <w:tmpl w:val="6D1E7F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411C0E"/>
    <w:multiLevelType w:val="hybridMultilevel"/>
    <w:tmpl w:val="8EDC0F4A"/>
    <w:lvl w:ilvl="0" w:tplc="172C5FB2">
      <w:start w:val="1"/>
      <w:numFmt w:val="lowerRoman"/>
      <w:lvlText w:val="%1."/>
      <w:lvlJc w:val="left"/>
      <w:pPr>
        <w:ind w:left="851" w:hanging="72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23">
    <w:nsid w:val="6B8932A6"/>
    <w:multiLevelType w:val="hybridMultilevel"/>
    <w:tmpl w:val="6D1E7F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1003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D2301A1"/>
    <w:multiLevelType w:val="hybridMultilevel"/>
    <w:tmpl w:val="581462EE"/>
    <w:lvl w:ilvl="0" w:tplc="A9861BB6">
      <w:start w:val="1"/>
      <w:numFmt w:val="decimal"/>
      <w:lvlText w:val="%1."/>
      <w:lvlJc w:val="left"/>
      <w:pPr>
        <w:ind w:left="644" w:hanging="360"/>
      </w:pPr>
      <w:rPr>
        <w:rFonts w:eastAsia="Arial Unicode MS" w:cs="Arial Unicode M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89160D"/>
    <w:multiLevelType w:val="hybridMultilevel"/>
    <w:tmpl w:val="53A430D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1"/>
  </w:num>
  <w:num w:numId="3">
    <w:abstractNumId w:val="20"/>
  </w:num>
  <w:num w:numId="4">
    <w:abstractNumId w:val="5"/>
  </w:num>
  <w:num w:numId="5">
    <w:abstractNumId w:val="12"/>
  </w:num>
  <w:num w:numId="6">
    <w:abstractNumId w:val="2"/>
  </w:num>
  <w:num w:numId="7">
    <w:abstractNumId w:val="22"/>
  </w:num>
  <w:num w:numId="8">
    <w:abstractNumId w:val="15"/>
  </w:num>
  <w:num w:numId="9">
    <w:abstractNumId w:val="8"/>
  </w:num>
  <w:num w:numId="10">
    <w:abstractNumId w:val="7"/>
  </w:num>
  <w:num w:numId="11">
    <w:abstractNumId w:val="23"/>
  </w:num>
  <w:num w:numId="12">
    <w:abstractNumId w:val="21"/>
  </w:num>
  <w:num w:numId="13">
    <w:abstractNumId w:val="16"/>
  </w:num>
  <w:num w:numId="14">
    <w:abstractNumId w:val="6"/>
  </w:num>
  <w:num w:numId="15">
    <w:abstractNumId w:val="17"/>
  </w:num>
  <w:num w:numId="16">
    <w:abstractNumId w:val="13"/>
  </w:num>
  <w:num w:numId="17">
    <w:abstractNumId w:val="18"/>
  </w:num>
  <w:num w:numId="18">
    <w:abstractNumId w:val="19"/>
  </w:num>
  <w:num w:numId="19">
    <w:abstractNumId w:val="25"/>
  </w:num>
  <w:num w:numId="20">
    <w:abstractNumId w:val="1"/>
  </w:num>
  <w:num w:numId="21">
    <w:abstractNumId w:val="26"/>
  </w:num>
  <w:num w:numId="22">
    <w:abstractNumId w:val="3"/>
  </w:num>
  <w:num w:numId="23">
    <w:abstractNumId w:val="9"/>
  </w:num>
  <w:num w:numId="24">
    <w:abstractNumId w:val="10"/>
  </w:num>
  <w:num w:numId="25">
    <w:abstractNumId w:val="4"/>
  </w:num>
  <w:num w:numId="26">
    <w:abstractNumId w:val="14"/>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C40EF2CA-041E-4E0E-9487-B30EF37FB7E5"/>
    <w:docVar w:name="LW_COVERPAGE_TYPE" w:val="1"/>
    <w:docVar w:name="LW_CROSSREFERENCE" w:val="&lt;UNUSED&gt;"/>
    <w:docVar w:name="LW_DATE.ADOPT.CP_ISODATE" w:val="&lt;EMPTY&gt;"/>
    <w:docVar w:name="LW_DocType" w:val="NORMAL"/>
    <w:docVar w:name="LW_EMISSION" w:val="4.9.2019"/>
    <w:docVar w:name="LW_EMISSION_ISODATE" w:val="2019-09-04"/>
    <w:docVar w:name="LW_EMISSION_LOCATION" w:val="BRX"/>
    <w:docVar w:name="LW_EMISSION_PREFIX" w:val="Брюксел, "/>
    <w:docVar w:name="LW_EMISSION_SUFFIX" w:val=" \u1075?."/>
    <w:docVar w:name="LW_ID_DOCTYPE_NONLW" w:val="CP-009"/>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5?\u1088?\u1080?\u1082?\u1083?\u1102?\u1095?\u1074?\u1072?\u1085?\u1077? \u1085?\u1072? \u1087?\u1086?\u1076?\u1075?\u1086?\u1090?\u1086?\u1074?\u1082?\u1072?\u1090?\u1072? \u1079?\u1072? \u1086?\u1090?\u1090?\u1077?\u1075?\u1083?\u1103?\u1085?\u1077?\u1090?\u1086? \u1085?\u1072? \u1054?\u1073?\u1077?\u1076?\u1080?\u1085?\u1077?\u1085?\u1086?\u1090?\u1086? \u1082?\u1088?\u1072?\u1083?\u1089?\u1090?\u1074?\u1086? \u1086?\u1090? \u1045?\u1074?\u1088?\u1086?\u1087?\u1077?\u1081?\u1089?\u1082?\u1080?\u1103? \u1089?\u1098?\u1102?\u1079? \u1085?\u1072? 1 \u1085?\u1086?\u1077?\u1084?\u1074?\u1088?\u1080? 2019 \u1075?."/>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24"/>
      <w:szCs w:val="32"/>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24"/>
      <w:szCs w:val="32"/>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86590">
      <w:bodyDiv w:val="1"/>
      <w:marLeft w:val="0"/>
      <w:marRight w:val="0"/>
      <w:marTop w:val="0"/>
      <w:marBottom w:val="0"/>
      <w:divBdr>
        <w:top w:val="none" w:sz="0" w:space="0" w:color="auto"/>
        <w:left w:val="none" w:sz="0" w:space="0" w:color="auto"/>
        <w:bottom w:val="none" w:sz="0" w:space="0" w:color="auto"/>
        <w:right w:val="none" w:sz="0" w:space="0" w:color="auto"/>
      </w:divBdr>
    </w:div>
    <w:div w:id="530726766">
      <w:bodyDiv w:val="1"/>
      <w:marLeft w:val="0"/>
      <w:marRight w:val="0"/>
      <w:marTop w:val="0"/>
      <w:marBottom w:val="0"/>
      <w:divBdr>
        <w:top w:val="none" w:sz="0" w:space="0" w:color="auto"/>
        <w:left w:val="none" w:sz="0" w:space="0" w:color="auto"/>
        <w:bottom w:val="none" w:sz="0" w:space="0" w:color="auto"/>
        <w:right w:val="none" w:sz="0" w:space="0" w:color="auto"/>
      </w:divBdr>
    </w:div>
    <w:div w:id="947813582">
      <w:bodyDiv w:val="1"/>
      <w:marLeft w:val="0"/>
      <w:marRight w:val="0"/>
      <w:marTop w:val="0"/>
      <w:marBottom w:val="0"/>
      <w:divBdr>
        <w:top w:val="none" w:sz="0" w:space="0" w:color="auto"/>
        <w:left w:val="none" w:sz="0" w:space="0" w:color="auto"/>
        <w:bottom w:val="none" w:sz="0" w:space="0" w:color="auto"/>
        <w:right w:val="none" w:sz="0" w:space="0" w:color="auto"/>
      </w:divBdr>
    </w:div>
    <w:div w:id="981425054">
      <w:bodyDiv w:val="1"/>
      <w:marLeft w:val="0"/>
      <w:marRight w:val="0"/>
      <w:marTop w:val="0"/>
      <w:marBottom w:val="0"/>
      <w:divBdr>
        <w:top w:val="none" w:sz="0" w:space="0" w:color="auto"/>
        <w:left w:val="none" w:sz="0" w:space="0" w:color="auto"/>
        <w:bottom w:val="none" w:sz="0" w:space="0" w:color="auto"/>
        <w:right w:val="none" w:sz="0" w:space="0" w:color="auto"/>
      </w:divBdr>
    </w:div>
    <w:div w:id="1201477574">
      <w:bodyDiv w:val="1"/>
      <w:marLeft w:val="0"/>
      <w:marRight w:val="0"/>
      <w:marTop w:val="0"/>
      <w:marBottom w:val="0"/>
      <w:divBdr>
        <w:top w:val="none" w:sz="0" w:space="0" w:color="auto"/>
        <w:left w:val="none" w:sz="0" w:space="0" w:color="auto"/>
        <w:bottom w:val="none" w:sz="0" w:space="0" w:color="auto"/>
        <w:right w:val="none" w:sz="0" w:space="0" w:color="auto"/>
      </w:divBdr>
    </w:div>
    <w:div w:id="1221479005">
      <w:bodyDiv w:val="1"/>
      <w:marLeft w:val="0"/>
      <w:marRight w:val="0"/>
      <w:marTop w:val="0"/>
      <w:marBottom w:val="0"/>
      <w:divBdr>
        <w:top w:val="none" w:sz="0" w:space="0" w:color="auto"/>
        <w:left w:val="none" w:sz="0" w:space="0" w:color="auto"/>
        <w:bottom w:val="none" w:sz="0" w:space="0" w:color="auto"/>
        <w:right w:val="none" w:sz="0" w:space="0" w:color="auto"/>
      </w:divBdr>
    </w:div>
    <w:div w:id="146107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business/customs-procedures/what-is-customs-transit/common-union-transit_en" TargetMode="External"/><Relationship Id="rId13" Type="http://schemas.openxmlformats.org/officeDocument/2006/relationships/hyperlink" Target="https://ec.europa.eu/taxation_customs/uk_withdrawal_en" TargetMode="External"/><Relationship Id="rId18" Type="http://schemas.openxmlformats.org/officeDocument/2006/relationships/hyperlink" Target="http://www.favv-afsca.fgov.be/brexit/" TargetMode="External"/><Relationship Id="rId26" Type="http://schemas.openxmlformats.org/officeDocument/2006/relationships/hyperlink" Target="https://echa.europa.eu/uk-withdrawal-from-the-eu" TargetMode="External"/><Relationship Id="rId3" Type="http://schemas.openxmlformats.org/officeDocument/2006/relationships/hyperlink" Target="https://ec.europa.eu/info/files/overview-national-measures-area-social-security-coordination_en" TargetMode="External"/><Relationship Id="rId21" Type="http://schemas.openxmlformats.org/officeDocument/2006/relationships/hyperlink" Target="http://www.douane.gouv.fr/articles/a16171-the-smart-border" TargetMode="External"/><Relationship Id="rId7" Type="http://schemas.openxmlformats.org/officeDocument/2006/relationships/hyperlink" Target="https://www.wto.org/english/res_e/booksp_e/tariff_profiles19_e.pdf" TargetMode="External"/><Relationship Id="rId12" Type="http://schemas.openxmlformats.org/officeDocument/2006/relationships/hyperlink" Target="https://ec.europa.eu/taxation_customs/uk_withdrawal_en" TargetMode="External"/><Relationship Id="rId17" Type="http://schemas.openxmlformats.org/officeDocument/2006/relationships/hyperlink" Target="https://www.gov.uk/government/publications/communications-pack-roll-on-roll-off-ports-and-eurotunnel-in-the-event-of-a-no-deal-eu-exit/information-for-users-of-roll-on-roll-off-ports-and-eurotunnel-in-a-no-deal-scenario" TargetMode="External"/><Relationship Id="rId25" Type="http://schemas.openxmlformats.org/officeDocument/2006/relationships/hyperlink" Target="https://ec.europa.eu/info/brexit/brexit-preparedness/preparedness-notices_en" TargetMode="External"/><Relationship Id="rId2" Type="http://schemas.openxmlformats.org/officeDocument/2006/relationships/hyperlink" Target="https://www.gov.uk/eusettledstatus" TargetMode="External"/><Relationship Id="rId16" Type="http://schemas.openxmlformats.org/officeDocument/2006/relationships/hyperlink" Target="https://www.getreadyforbrexit.eu/en" TargetMode="External"/><Relationship Id="rId20" Type="http://schemas.openxmlformats.org/officeDocument/2006/relationships/hyperlink" Target="https://urldefense.proofpoint.com/v2/url?u=https-3A__www.nvwa.nl_onderwerpen_brexit_&amp;d=DwMGaQ&amp;c=8NwulVB6ucrjuSGiwL_ckQ&amp;r=Szg7VZmvkiY9fqhmOGtQxCAianlIFYN6psOq9ULY7RA&amp;m=3ZGq__Vf2nDksWaxvHXy-wuOIoCeUWTwAk0eL5LYFWA&amp;s=fGoqpfITXFvdurN6uQz-bWRGYqORShH6dzbo6uV-6xs&amp;e=" TargetMode="External"/><Relationship Id="rId1" Type="http://schemas.openxmlformats.org/officeDocument/2006/relationships/hyperlink" Target="https://ec.europa.eu/info/files/overview-table-residence-rights-uk-nationals-eu27-member-states_en" TargetMode="External"/><Relationship Id="rId6" Type="http://schemas.openxmlformats.org/officeDocument/2006/relationships/hyperlink" Target="https://ec.europa.eu/taxation_customs/dds2/taric/taric_consultation.jsp?Lang=bg" TargetMode="External"/><Relationship Id="rId11" Type="http://schemas.openxmlformats.org/officeDocument/2006/relationships/hyperlink" Target="https://ec.europa.eu/taxation_customs/eu-training/general-overview_en" TargetMode="External"/><Relationship Id="rId24" Type="http://schemas.openxmlformats.org/officeDocument/2006/relationships/hyperlink" Target="https://www.nxtport.com/" TargetMode="External"/><Relationship Id="rId5" Type="http://schemas.openxmlformats.org/officeDocument/2006/relationships/hyperlink" Target="https://ec.europa.eu/info/brexit/brexit-preparedness/preparedness-notices_en" TargetMode="External"/><Relationship Id="rId15" Type="http://schemas.openxmlformats.org/officeDocument/2006/relationships/hyperlink" Target="http://douane.gouv.fr/articles/c957-entreprises-preparez-vous-au-brexit" TargetMode="External"/><Relationship Id="rId23" Type="http://schemas.openxmlformats.org/officeDocument/2006/relationships/hyperlink" Target="https://rxseaport.eu/en/" TargetMode="External"/><Relationship Id="rId10" Type="http://schemas.openxmlformats.org/officeDocument/2006/relationships/hyperlink" Target="https://ec.europa.eu/taxation_customs/uk_withdrawal_en" TargetMode="External"/><Relationship Id="rId19" Type="http://schemas.openxmlformats.org/officeDocument/2006/relationships/hyperlink" Target="https://agriculture.gouv.fr/le-brexit-et-les-controles-sanitaires-et-phytosanitaires" TargetMode="External"/><Relationship Id="rId4" Type="http://schemas.openxmlformats.org/officeDocument/2006/relationships/hyperlink" Target="https://ec.europa.eu/info/files/brexit-preparedness-checklist" TargetMode="External"/><Relationship Id="rId9" Type="http://schemas.openxmlformats.org/officeDocument/2006/relationships/hyperlink" Target="https://ec.europa.eu/info/files/preferential-rules-origin" TargetMode="External"/><Relationship Id="rId14" Type="http://schemas.openxmlformats.org/officeDocument/2006/relationships/hyperlink" Target="https://finance.belgium.be/en/customs_excises/enterprises/brexit" TargetMode="External"/><Relationship Id="rId22" Type="http://schemas.openxmlformats.org/officeDocument/2006/relationships/hyperlink" Target="https://www.portbase.com/en/" TargetMode="External"/><Relationship Id="rId27" Type="http://schemas.openxmlformats.org/officeDocument/2006/relationships/hyperlink" Target="https://ec.europa.eu/info/sites/info/files/fisheries-qanda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8E67AAA-0224-4E22-B02D-C53E9E81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5582</Words>
  <Characters>32494</Characters>
  <Application>Microsoft Office Word</Application>
  <DocSecurity>0</DocSecurity>
  <Lines>524</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2019-08-29T10:25:00Z</cp:lastPrinted>
  <dcterms:created xsi:type="dcterms:W3CDTF">2019-09-09T06:52:00Z</dcterms:created>
  <dcterms:modified xsi:type="dcterms:W3CDTF">2019-09-10T09:00:00Z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y fmtid="{D5CDD505-2E9C-101B-9397-08002B2CF9AE}" pid="8" name="CPTemplateID">
    <vt:lpwstr>CP-009</vt:lpwstr>
  </property>
</Properties>
</file>