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55F793E8-6C32-40D4-BBB4-AD30FAD7ABA1" style="width:450.35pt;height:320.6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widowControl w:val="0"/>
        <w:spacing w:after="240" w:line="240"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 ВЪВЕДЕНИЕ</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Настоящият документ е деветнадесетият доклад за по-нататъшния напредък по създаването на ефективен и истински Съюз на сигурност и обхваща развитието в две основни насоки: борбата с тероризма, организираната престъпност и средствата, които ги подкрепят; и укрепването на нашите защитни механизми и изграждането на устойчивост по отношение на тези заплахи.</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Европейците с право очакват Съюзът да осигури тяхната безопасност. Комисията на Юнкер определи сигурността като първостепенен приоритет от самото начало на своя мандат. В документа на Европейския съвет, озаглавен „Нова стратегическа програма за периода 2019—2024 г.“ целта за „защита на гражданите и свободите“ заема челно място сред четирите основни приоритета на Съюза</w:t>
      </w:r>
      <w:r>
        <w:rPr>
          <w:rStyle w:val="FootnoteReference"/>
          <w:noProof/>
          <w:sz w:val="24"/>
          <w:szCs w:val="24"/>
        </w:rPr>
        <w:footnoteReference w:id="2"/>
      </w:r>
      <w:r>
        <w:rPr>
          <w:rFonts w:ascii="Times New Roman" w:hAnsi="Times New Roman" w:cs="Times New Roman"/>
          <w:noProof/>
          <w:sz w:val="24"/>
          <w:szCs w:val="24"/>
        </w:rPr>
        <w:t>. Освен това Европейският съвет обяви също така, че ще надгражда и укрепва усилията на Съюза в борбата с тероризма и трансграничната престъпност, включително чрез подобряване на сътрудничеството и обмена на информация и чрез по-нататъшно разработване на общи инструменти.</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Благодарение на тясното сътрудничество между Европейския парламент, Съвета и Комисията, ЕС постигна значителен напредък в съвместната работа за създаване на ефективен и истински Съюз на сигурност, като предприе редица приоритетни законодателни инициативи и въведе широк набор от незаконодателни мерки за подпомагане на държавите членки и за повишаване на сигурността на всички граждани</w:t>
      </w:r>
      <w:r>
        <w:rPr>
          <w:rStyle w:val="FootnoteReference"/>
          <w:noProof/>
          <w:sz w:val="24"/>
          <w:szCs w:val="24"/>
        </w:rPr>
        <w:footnoteReference w:id="3"/>
      </w:r>
      <w:r>
        <w:rPr>
          <w:rFonts w:ascii="Times New Roman" w:hAnsi="Times New Roman" w:cs="Times New Roman"/>
          <w:noProof/>
          <w:sz w:val="24"/>
          <w:szCs w:val="24"/>
        </w:rPr>
        <w:t>. Съюзът предприе решителни мерки за ограничаване на пространството за действие на терористи и престъпници, лишавайки терористите от средства за извършване на нападения, като забрани придобиването и използването на определени огнестрелни оръжия и взривни вещества и ограничи достъпа до финансиране. Освен това ЕС засили обмена на информация между държавите членки и отстрани пропуските и слабите места по отношение на информацията, като в същото време се противодейства на радикализацията, защитата на европейските граждани онлайн, справянето с кибернетичните заплахи и улесняваните от киберпространството заплахи, укрепването на управлението на външните граници на Съюза и засилването на международното сътрудничество в областта на сигурността.</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същото време все още има известен брой приоритетни инициативи в рамките на Съюза на сигурност, които предстои да бъдат приети от съзаконодателите. След учредяването на 9-ия законодателен мандат на Европейския парламент на 2 юли 2019 г., с настоящия доклад:</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се определя къде са необходими действия от страна на съзаконодателите за справяне с непосредствените заплахи. Съществува особено спешна необходимост от </w:t>
      </w:r>
      <w:r>
        <w:rPr>
          <w:rFonts w:ascii="Times New Roman" w:hAnsi="Times New Roman" w:cs="Times New Roman"/>
          <w:b/>
          <w:noProof/>
          <w:sz w:val="24"/>
          <w:szCs w:val="24"/>
        </w:rPr>
        <w:t>противодействие на терористичната пропаганда и радикализацията онлайн</w:t>
      </w:r>
      <w:r>
        <w:rPr>
          <w:rFonts w:ascii="Times New Roman" w:hAnsi="Times New Roman" w:cs="Times New Roman"/>
          <w:noProof/>
          <w:sz w:val="24"/>
          <w:szCs w:val="24"/>
        </w:rPr>
        <w:t>;</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се определят текущи приоритетни инициативи в рамките на Съюза на сигурност, които изискват допълнителни действия от страна на </w:t>
      </w:r>
      <w:r>
        <w:rPr>
          <w:rFonts w:ascii="Times New Roman" w:hAnsi="Times New Roman" w:cs="Times New Roman"/>
          <w:noProof/>
          <w:sz w:val="24"/>
          <w:szCs w:val="24"/>
        </w:rPr>
        <w:lastRenderedPageBreak/>
        <w:t xml:space="preserve">съзаконодателите за повишаване на </w:t>
      </w:r>
      <w:r>
        <w:rPr>
          <w:rFonts w:ascii="Times New Roman" w:hAnsi="Times New Roman" w:cs="Times New Roman"/>
          <w:b/>
          <w:noProof/>
          <w:sz w:val="24"/>
          <w:szCs w:val="24"/>
        </w:rPr>
        <w:t>киберсигурността</w:t>
      </w:r>
      <w:r>
        <w:rPr>
          <w:rFonts w:ascii="Times New Roman" w:hAnsi="Times New Roman" w:cs="Times New Roman"/>
          <w:noProof/>
          <w:sz w:val="24"/>
          <w:szCs w:val="24"/>
        </w:rPr>
        <w:t xml:space="preserve"> и улесняване на достъпа до </w:t>
      </w:r>
      <w:r>
        <w:rPr>
          <w:rFonts w:ascii="Times New Roman" w:hAnsi="Times New Roman" w:cs="Times New Roman"/>
          <w:b/>
          <w:noProof/>
          <w:sz w:val="24"/>
          <w:szCs w:val="24"/>
        </w:rPr>
        <w:t>електронни доказателства</w:t>
      </w:r>
      <w:r>
        <w:rPr>
          <w:rFonts w:ascii="Times New Roman" w:hAnsi="Times New Roman" w:cs="Times New Roman"/>
          <w:noProof/>
          <w:sz w:val="24"/>
          <w:szCs w:val="24"/>
        </w:rPr>
        <w:t xml:space="preserve"> и за завършване на работата по разработването на по-мощни и по-интелигентни информационни системи за управление на сигурността, границите и миграцията;</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се актуализира информацията за започнатата през март 2019 г. съвместна и спешна работа за оценка и укрепване на </w:t>
      </w:r>
      <w:r>
        <w:rPr>
          <w:rFonts w:ascii="Times New Roman" w:hAnsi="Times New Roman" w:cs="Times New Roman"/>
          <w:b/>
          <w:noProof/>
          <w:sz w:val="24"/>
          <w:szCs w:val="24"/>
        </w:rPr>
        <w:t>сигурността на 5G мрежите</w:t>
      </w:r>
      <w:r>
        <w:rPr>
          <w:rFonts w:ascii="Times New Roman" w:hAnsi="Times New Roman" w:cs="Times New Roman"/>
          <w:noProof/>
          <w:sz w:val="24"/>
          <w:szCs w:val="24"/>
        </w:rPr>
        <w:t xml:space="preserve"> въз основа на националните оценки на риска, подадени от държавите членки до 15 юли 2019 г.;</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се разглежда пакет от четири доклада, свързани с </w:t>
      </w:r>
      <w:r>
        <w:rPr>
          <w:rFonts w:ascii="Times New Roman" w:hAnsi="Times New Roman" w:cs="Times New Roman"/>
          <w:b/>
          <w:noProof/>
          <w:sz w:val="24"/>
          <w:szCs w:val="24"/>
        </w:rPr>
        <w:t>борбата с изпирането на пари</w:t>
      </w:r>
      <w:r>
        <w:rPr>
          <w:rFonts w:ascii="Times New Roman" w:hAnsi="Times New Roman" w:cs="Times New Roman"/>
          <w:noProof/>
          <w:sz w:val="24"/>
          <w:szCs w:val="24"/>
        </w:rPr>
        <w:t>, приет от Комисията на 24 юли 2019 г., в който се анализират настоящите рискове и уязвими места при изпирането на пари и се оценява как релевантната уредба на ЕС се прилага в частния и в публичния сектор;</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се предоставя актуална информация за напредъка, постигнат от март 2019 г. досега</w:t>
      </w:r>
      <w:r>
        <w:rPr>
          <w:rStyle w:val="FootnoteReference"/>
          <w:noProof/>
          <w:sz w:val="24"/>
          <w:szCs w:val="24"/>
        </w:rPr>
        <w:footnoteReference w:id="4"/>
      </w:r>
      <w:r>
        <w:rPr>
          <w:rFonts w:ascii="Times New Roman" w:hAnsi="Times New Roman" w:cs="Times New Roman"/>
          <w:noProof/>
          <w:sz w:val="24"/>
          <w:szCs w:val="24"/>
        </w:rPr>
        <w:t>, в изпълнението на законодателните мерки в рамките на Съюза на сигурност, като оперативната съвместимост на информационните системи е един от основните приоритети за бързо и пълно изпълнение от страна на държавите членки;</w:t>
      </w:r>
    </w:p>
    <w:p>
      <w:pPr>
        <w:pStyle w:val="ListParagraph"/>
        <w:widowControl w:val="0"/>
        <w:numPr>
          <w:ilvl w:val="0"/>
          <w:numId w:val="3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се прави преглед на текущата работа за противодействие на дезинформацията и за защита на изборите срещу заплахи, свързани с киберпространството, на усилията за повишаване на подготвеността и защитата срещу заплахи за сигурността и на сътрудничеството с международни партньори по въпросите на сигурността.</w:t>
      </w:r>
    </w:p>
    <w:p>
      <w:pPr>
        <w:widowControl w:val="0"/>
        <w:spacing w:after="24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II. ИЗПЪЛНЕНИЕ НА ЗАКОНОДАТЕЛНИТЕ ПРИОРИТЕТИ</w:t>
      </w:r>
    </w:p>
    <w:p>
      <w:pPr>
        <w:spacing w:after="240" w:line="240" w:lineRule="auto"/>
        <w:jc w:val="both"/>
        <w:rPr>
          <w:rFonts w:ascii="Times New Roman" w:eastAsia="Calibri" w:hAnsi="Times New Roman" w:cs="Times New Roman"/>
          <w:i/>
          <w:iCs/>
          <w:noProof/>
          <w:sz w:val="24"/>
          <w:szCs w:val="24"/>
        </w:rPr>
      </w:pPr>
      <w:r>
        <w:rPr>
          <w:rFonts w:ascii="Times New Roman" w:hAnsi="Times New Roman" w:cs="Times New Roman"/>
          <w:i/>
          <w:iCs/>
          <w:noProof/>
          <w:sz w:val="24"/>
          <w:szCs w:val="24"/>
        </w:rPr>
        <w:t>1. Предотвратяване на радикализацията онлайн и в рамките на общностите</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Предотвратяването на радикализацията е в основата на реакцията на ЕС срещу тероризма, както онлайн, така и в рамките на нашите общности.</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Потресаващото нападение в Крайстчърч, Нова Зеландия, на 15 март 2019 г. послужи като ужасяващо напомняне за това как интернет може да бъде използван за терористични цели, независимо дали те се подклаждат от джихадизъм, крайно десен екстремизъм или друга екстремистка идеология. Скоростта и мащабът, с които видеозаписът от нападението в Крайстчърч на живо се разпространи в интернет платформите, подчерта жизненоважното значение от това те да разполагат с подходящи мерки, за да пресекат бързото разпространение на такова съдържание.</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Вследствие на тези събития държавните и правителствените ръководители на някои държави членки и трети държави, председателят Юнкер и онлайн платформите подкрепиха на 15 май 2019 г. „</w:t>
      </w:r>
      <w:r>
        <w:rPr>
          <w:rFonts w:ascii="Times New Roman" w:hAnsi="Times New Roman" w:cs="Times New Roman"/>
          <w:b/>
          <w:noProof/>
          <w:sz w:val="24"/>
          <w:szCs w:val="24"/>
        </w:rPr>
        <w:t>Призива за действие след Крайстчърч</w:t>
      </w:r>
      <w:r>
        <w:rPr>
          <w:rFonts w:ascii="Times New Roman" w:hAnsi="Times New Roman" w:cs="Times New Roman"/>
          <w:noProof/>
          <w:sz w:val="24"/>
          <w:szCs w:val="24"/>
        </w:rPr>
        <w:t>“</w:t>
      </w:r>
      <w:r>
        <w:rPr>
          <w:rStyle w:val="FootnoteReference"/>
          <w:noProof/>
          <w:sz w:val="24"/>
          <w:szCs w:val="24"/>
        </w:rPr>
        <w:footnoteReference w:id="5"/>
      </w:r>
      <w:r>
        <w:rPr>
          <w:rFonts w:ascii="Times New Roman" w:hAnsi="Times New Roman" w:cs="Times New Roman"/>
          <w:noProof/>
          <w:sz w:val="24"/>
          <w:szCs w:val="24"/>
        </w:rPr>
        <w:t xml:space="preserve">, с който се предвиждат колективни действия за премахване на терористичното и насилническото екстремистко съдържание онлайн. Допълнителни ангажименти в това отношение бяха </w:t>
      </w:r>
      <w:r>
        <w:rPr>
          <w:rFonts w:ascii="Times New Roman" w:hAnsi="Times New Roman" w:cs="Times New Roman"/>
          <w:noProof/>
          <w:sz w:val="24"/>
          <w:szCs w:val="24"/>
        </w:rPr>
        <w:lastRenderedPageBreak/>
        <w:t>поети по време на Г-7</w:t>
      </w:r>
      <w:r>
        <w:rPr>
          <w:rStyle w:val="FootnoteReference"/>
          <w:noProof/>
          <w:sz w:val="24"/>
          <w:szCs w:val="24"/>
        </w:rPr>
        <w:footnoteReference w:id="6"/>
      </w:r>
      <w:r>
        <w:rPr>
          <w:rFonts w:ascii="Times New Roman" w:hAnsi="Times New Roman" w:cs="Times New Roman"/>
          <w:noProof/>
          <w:sz w:val="24"/>
          <w:szCs w:val="24"/>
        </w:rPr>
        <w:t xml:space="preserve"> и Г-20</w:t>
      </w:r>
      <w:r>
        <w:rPr>
          <w:rStyle w:val="FootnoteReference"/>
          <w:noProof/>
          <w:sz w:val="24"/>
          <w:szCs w:val="24"/>
        </w:rPr>
        <w:footnoteReference w:id="7"/>
      </w:r>
      <w:r>
        <w:rPr>
          <w:rFonts w:ascii="Times New Roman" w:hAnsi="Times New Roman" w:cs="Times New Roman"/>
          <w:noProof/>
          <w:sz w:val="24"/>
          <w:szCs w:val="24"/>
        </w:rPr>
        <w:t>.</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вече реагира на осезаемата и реална опасност, свързана с терористичното съдържание онлайн, със </w:t>
      </w:r>
      <w:r>
        <w:rPr>
          <w:rFonts w:ascii="Times New Roman" w:hAnsi="Times New Roman" w:cs="Times New Roman"/>
          <w:b/>
          <w:noProof/>
          <w:sz w:val="24"/>
          <w:szCs w:val="24"/>
        </w:rPr>
        <w:t>законодателното предложение</w:t>
      </w:r>
      <w:r>
        <w:rPr>
          <w:rFonts w:ascii="Times New Roman" w:hAnsi="Times New Roman" w:cs="Times New Roman"/>
          <w:noProof/>
          <w:sz w:val="24"/>
          <w:szCs w:val="24"/>
        </w:rPr>
        <w:t>, обявено от председателя Юнкер в своята реч за състоянието на Съюза през 2018 г., с което се предлага ясна и хармонизирана правна уредба за предотвратяване на злоупотребата с доставчици на хостинг услуги с цел разпространение на терористично съдържание онлайн</w:t>
      </w:r>
      <w:r>
        <w:rPr>
          <w:rStyle w:val="FootnoteReference"/>
          <w:noProof/>
          <w:sz w:val="24"/>
          <w:szCs w:val="24"/>
        </w:rPr>
        <w:footnoteReference w:id="8"/>
      </w:r>
      <w:r>
        <w:rPr>
          <w:rFonts w:ascii="Times New Roman" w:hAnsi="Times New Roman" w:cs="Times New Roman"/>
          <w:noProof/>
          <w:sz w:val="24"/>
          <w:szCs w:val="24"/>
        </w:rPr>
        <w:t>. Предложените мерки ще задължат интернет платформите да свалят терористичното съдържание в рамките на един час, когато получат заповед за премахване от компетентните органи на която и да е държава членка. Освен това, ако с дадена платформа се злоупотребява с цел разпространение на терористично съдържание, тя ще бъде длъжна да приложи проактивни мерки за откриване на това съдържание и предотвратяване на неговата повторна поява — с ясни правила и гаранции. Органите на държавите членки ще трябва да разполагат със специализиран капацитет за правоприлагане, на който да осигурят необходимите ресурси за ефективно откриване на терористично съдържание и за издаване на заповеди за премахване.</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Това ще позволи изграждането на бърза и ефективна система в целия Съюз и ще въведе стабилни предпазни механизми, включително ефективни механизми за подаване на жалби и осигуряване на съдебна защита. Предложените мерки ще спомогнат да се гарантира гладкото функциониране на цифровия единен пазар, като същевременно се увеличи сигурността и се повиши доверието онлайн, и се засилят гаранциите за зачитане на свободата на изразяване на мнение и на информация.</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декември 2018 г., в рамките на Съвета, министрите на правосъдието и вътрешните работи постигнаха съгласие за общ подход към предложението. Европейският парламент прие становището си на първо четене през април 2019 г.</w:t>
      </w:r>
      <w:r>
        <w:rPr>
          <w:rFonts w:ascii="Times New Roman" w:hAnsi="Times New Roman" w:cs="Times New Roman"/>
          <w:b/>
          <w:noProof/>
          <w:sz w:val="24"/>
          <w:szCs w:val="24"/>
        </w:rPr>
        <w:t xml:space="preserve"> Комисията призовава и двамата съзаконодатели да започнат възможно най-бързо междуинституционални преговори по тази приоритетна инициатива за премахване на терористичното съдържание онлайн</w:t>
      </w:r>
      <w:r>
        <w:rPr>
          <w:rFonts w:ascii="Times New Roman" w:hAnsi="Times New Roman" w:cs="Times New Roman"/>
          <w:noProof/>
          <w:sz w:val="24"/>
          <w:szCs w:val="24"/>
        </w:rPr>
        <w:t xml:space="preserve"> с цел бързо постигане на съгласие за нормативна уредба на ЕС с ясни правила и гаранции.</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noProof/>
          <w:sz w:val="24"/>
          <w:szCs w:val="24"/>
        </w:rPr>
        <w:t xml:space="preserve">Успоредно с това Комисията продължава сътрудничеството с онлайн платформите в рамките на </w:t>
      </w:r>
      <w:r>
        <w:rPr>
          <w:rFonts w:ascii="Times New Roman" w:hAnsi="Times New Roman" w:cs="Times New Roman"/>
          <w:b/>
          <w:noProof/>
          <w:sz w:val="24"/>
          <w:szCs w:val="24"/>
        </w:rPr>
        <w:t>интернет форума на ЕС</w:t>
      </w:r>
      <w:r>
        <w:rPr>
          <w:rStyle w:val="FootnoteReference"/>
          <w:b/>
          <w:noProof/>
          <w:sz w:val="24"/>
          <w:szCs w:val="24"/>
        </w:rPr>
        <w:footnoteReference w:id="9"/>
      </w:r>
      <w:r>
        <w:rPr>
          <w:rFonts w:ascii="Times New Roman" w:hAnsi="Times New Roman" w:cs="Times New Roman"/>
          <w:noProof/>
          <w:sz w:val="24"/>
          <w:szCs w:val="24"/>
        </w:rPr>
        <w:t xml:space="preserve">. Както беше обявено от председателя Юнкер на срещата в Париж на 15 май 2019 г. за „Призива за действие след Крайстчърч“, Комисията заедно с Европол започна работа по разработването на </w:t>
      </w:r>
      <w:r>
        <w:rPr>
          <w:rFonts w:ascii="Times New Roman" w:hAnsi="Times New Roman" w:cs="Times New Roman"/>
          <w:b/>
          <w:noProof/>
          <w:sz w:val="24"/>
          <w:szCs w:val="24"/>
        </w:rPr>
        <w:t>протокол на ЕС за действие при кризи</w:t>
      </w:r>
      <w:r>
        <w:rPr>
          <w:rFonts w:ascii="Times New Roman" w:hAnsi="Times New Roman" w:cs="Times New Roman"/>
          <w:noProof/>
          <w:sz w:val="24"/>
          <w:szCs w:val="24"/>
        </w:rPr>
        <w:t>, за да се даде възможност на правителствата и интернет платформите да реагират бързо и по съгласуван начин на разпространението на терористично съдържание онлайн, например непосредствено след терористично нападение. Тази работа е част от усилията на международно равнище за изпълнение на „</w:t>
      </w:r>
      <w:r>
        <w:rPr>
          <w:rFonts w:ascii="Times New Roman" w:hAnsi="Times New Roman" w:cs="Times New Roman"/>
          <w:bCs/>
          <w:noProof/>
          <w:sz w:val="24"/>
          <w:szCs w:val="24"/>
        </w:rPr>
        <w:t>Призива за действие след Крайстчърч</w:t>
      </w:r>
      <w:r>
        <w:rPr>
          <w:rFonts w:ascii="Times New Roman" w:hAnsi="Times New Roman" w:cs="Times New Roman"/>
          <w:noProof/>
          <w:sz w:val="24"/>
          <w:szCs w:val="24"/>
        </w:rPr>
        <w:t xml:space="preserve">“. В допълнение към по-нататъшните обсъждания с държавите членки и отрасъла и симулационно учение, планирано за септември 2019 г., за симулирането на извънредна ситуация, на 7 октомври 2019 г. Комисията ще свика среща на министрите в рамките на интернет форум на ЕС с цел одобряване на </w:t>
      </w:r>
      <w:r>
        <w:rPr>
          <w:rFonts w:ascii="Times New Roman" w:hAnsi="Times New Roman" w:cs="Times New Roman"/>
          <w:bCs/>
          <w:noProof/>
          <w:sz w:val="24"/>
          <w:szCs w:val="24"/>
        </w:rPr>
        <w:t>протокола на ЕС за действие при кризи</w:t>
      </w:r>
      <w:r>
        <w:rPr>
          <w:rFonts w:ascii="Times New Roman" w:hAnsi="Times New Roman" w:cs="Times New Roman"/>
          <w:noProof/>
          <w:sz w:val="24"/>
          <w:szCs w:val="24"/>
        </w:rPr>
        <w:t>.</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Освен това Комисията продължава да полага усилия да оказва </w:t>
      </w:r>
      <w:r>
        <w:rPr>
          <w:rFonts w:ascii="Times New Roman" w:hAnsi="Times New Roman" w:cs="Times New Roman"/>
          <w:b/>
          <w:noProof/>
          <w:sz w:val="24"/>
          <w:szCs w:val="24"/>
        </w:rPr>
        <w:t>подкрепа на държавите членки и местните участници за предотвратяване и противодействие на радикализацията</w:t>
      </w:r>
      <w:r>
        <w:rPr>
          <w:rFonts w:ascii="Times New Roman" w:hAnsi="Times New Roman" w:cs="Times New Roman"/>
          <w:noProof/>
          <w:sz w:val="24"/>
          <w:szCs w:val="24"/>
        </w:rPr>
        <w:t xml:space="preserve"> на място в местните общности в цяла Европа. Това изисква дългосрочни, устойчиви усилия, включващи всички съответни участници на местно, национално и европейско равнище. </w:t>
      </w:r>
      <w:r>
        <w:rPr>
          <w:rFonts w:ascii="Times New Roman" w:hAnsi="Times New Roman" w:cs="Times New Roman"/>
          <w:b/>
          <w:bCs/>
          <w:noProof/>
          <w:sz w:val="24"/>
          <w:szCs w:val="24"/>
        </w:rPr>
        <w:t>Управителният съвет</w:t>
      </w:r>
      <w:r>
        <w:rPr>
          <w:rFonts w:ascii="Times New Roman" w:hAnsi="Times New Roman" w:cs="Times New Roman"/>
          <w:bCs/>
          <w:noProof/>
          <w:sz w:val="24"/>
          <w:szCs w:val="24"/>
        </w:rPr>
        <w:t xml:space="preserve"> </w:t>
      </w:r>
      <w:r>
        <w:rPr>
          <w:rFonts w:ascii="Times New Roman" w:hAnsi="Times New Roman" w:cs="Times New Roman"/>
          <w:b/>
          <w:bCs/>
          <w:noProof/>
          <w:sz w:val="24"/>
          <w:szCs w:val="24"/>
        </w:rPr>
        <w:t>за действия на Съюза по предотвратяване и противодействие на радикализацията</w:t>
      </w:r>
      <w:r>
        <w:rPr>
          <w:rFonts w:ascii="Times New Roman" w:hAnsi="Times New Roman" w:cs="Times New Roman"/>
          <w:bCs/>
          <w:noProof/>
          <w:sz w:val="24"/>
          <w:szCs w:val="24"/>
        </w:rPr>
        <w:t>, създаден през август 2018 г., за да съветва Комисията за начините за укрепване на политическата стратегия на ЕС в тази област, проведе второто си заседание</w:t>
      </w:r>
      <w:r>
        <w:rPr>
          <w:rFonts w:ascii="Times New Roman" w:hAnsi="Times New Roman" w:cs="Times New Roman"/>
          <w:noProof/>
          <w:sz w:val="24"/>
          <w:szCs w:val="24"/>
        </w:rPr>
        <w:t xml:space="preserve"> на 17 юни 2019 г., за да проучи възможностите за допълнителни действия в приоритетни области, като радикализацията в затворите и противодействието на екстремистките идеологии. Тъй като работещите на първа линия и местните специалисти често са в най-добра позиция да установят ранните предупредителни признаци на радикализация и начини за справяне с тях, финансираната от ЕС </w:t>
      </w:r>
      <w:r>
        <w:rPr>
          <w:rFonts w:ascii="Times New Roman" w:hAnsi="Times New Roman" w:cs="Times New Roman"/>
          <w:b/>
          <w:noProof/>
          <w:sz w:val="24"/>
          <w:szCs w:val="24"/>
        </w:rPr>
        <w:t>Мрежа за осведоменост по въпросите на радикализацията</w:t>
      </w:r>
      <w:r>
        <w:rPr>
          <w:rStyle w:val="FootnoteReference"/>
          <w:noProof/>
          <w:sz w:val="24"/>
          <w:szCs w:val="24"/>
        </w:rPr>
        <w:footnoteReference w:id="10"/>
      </w:r>
      <w:r>
        <w:rPr>
          <w:rFonts w:ascii="Times New Roman" w:hAnsi="Times New Roman" w:cs="Times New Roman"/>
          <w:noProof/>
          <w:sz w:val="24"/>
          <w:szCs w:val="24"/>
        </w:rPr>
        <w:t xml:space="preserve"> продължава да оказва подкрепа на лицата, които реагират на първа линия, като обединява близо 5 000 професионалисти от гражданското общество, училищата и полицията, както и националните координатори и лицата, определящи политиките.</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noProof/>
          <w:sz w:val="24"/>
          <w:szCs w:val="24"/>
        </w:rPr>
        <w:t xml:space="preserve">Неотдавнашното сътрудничество на работещите на първа линия в рамките на Мрежата доведе до по-задълбочено разбиране на предизвикателствата, свързани с крайно десния екстремизъм. Тази година Мрежата за осведоменост по въпросите на радикализацията ще публикува </w:t>
      </w:r>
      <w:r>
        <w:rPr>
          <w:rFonts w:ascii="Times New Roman" w:hAnsi="Times New Roman" w:cs="Times New Roman"/>
          <w:bCs/>
          <w:noProof/>
          <w:sz w:val="24"/>
          <w:szCs w:val="24"/>
        </w:rPr>
        <w:t>информационни документи, за да помогне на лицата, определящи политиките, и практикуващите специалисти да разпознават основните форми и прояви на крайно десен и ислямистки екстремизъм</w:t>
      </w:r>
      <w:r>
        <w:rPr>
          <w:rFonts w:ascii="Times New Roman" w:hAnsi="Times New Roman" w:cs="Times New Roman"/>
          <w:noProof/>
          <w:sz w:val="24"/>
          <w:szCs w:val="24"/>
        </w:rPr>
        <w:t xml:space="preserve">, като например ключови послания, език, форми, символи, типологии и стратегии. Накрая, тъй като местните участници и </w:t>
      </w:r>
      <w:r>
        <w:rPr>
          <w:rFonts w:ascii="Times New Roman" w:hAnsi="Times New Roman" w:cs="Times New Roman"/>
          <w:b/>
          <w:noProof/>
          <w:sz w:val="24"/>
          <w:szCs w:val="24"/>
        </w:rPr>
        <w:t>градовете</w:t>
      </w:r>
      <w:r>
        <w:rPr>
          <w:rFonts w:ascii="Times New Roman" w:hAnsi="Times New Roman" w:cs="Times New Roman"/>
          <w:noProof/>
          <w:sz w:val="24"/>
          <w:szCs w:val="24"/>
        </w:rPr>
        <w:t xml:space="preserve"> са на първа линия в предотвратяването и противодействието на радикализацията, Комисията подкрепя водени от градовете инициативи за борба с радикализацията. </w:t>
      </w:r>
      <w:r>
        <w:rPr>
          <w:rFonts w:ascii="Times New Roman" w:hAnsi="Times New Roman" w:cs="Times New Roman"/>
          <w:iCs/>
          <w:noProof/>
          <w:sz w:val="24"/>
          <w:szCs w:val="24"/>
        </w:rPr>
        <w:t>След проведената на 26 февруари 2019 г. конференция на тема „Градовете в ЕС срещу радикализацията“, на 8 юли 2019 г. се проведе първото заседание на пилотна група от около 20 града, чийто домакин беше кметът на Страсбург, като целта беше засилване на обмена на най-добри практики и активизиране на усилията на градовете в тази област.</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Успоредно с това продължава работата в подкрепа на държавите партньори за справяне с радикализацията, която може да доведе до тероризъм, включително в затворите.</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С цел противодействие на заплахата, свързана с терористичното съдържание онлайн, Комисията призовава Европейския парламент и Съвета:</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88"/>
      </w:tblGrid>
      <w:tr>
        <w:tc>
          <w:tcPr>
            <w:tcW w:w="9288" w:type="dxa"/>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cs="Times New Roman"/>
                <w:noProof/>
                <w:sz w:val="24"/>
                <w:szCs w:val="24"/>
              </w:rPr>
            </w:pPr>
            <w:r>
              <w:rPr>
                <w:rFonts w:ascii="Times New Roman" w:hAnsi="Times New Roman" w:cs="Times New Roman"/>
                <w:noProof/>
                <w:sz w:val="24"/>
                <w:szCs w:val="24"/>
              </w:rPr>
              <w:t xml:space="preserve">да започнат преговори по законодателното предложение за предотвратяване на разпространението на </w:t>
            </w:r>
            <w:r>
              <w:rPr>
                <w:rFonts w:ascii="Times New Roman" w:hAnsi="Times New Roman" w:cs="Times New Roman"/>
                <w:b/>
                <w:noProof/>
                <w:sz w:val="24"/>
                <w:szCs w:val="24"/>
              </w:rPr>
              <w:t>терористично съдържание онлайн</w:t>
            </w:r>
            <w:r>
              <w:rPr>
                <w:rFonts w:ascii="Times New Roman" w:hAnsi="Times New Roman" w:cs="Times New Roman"/>
                <w:noProof/>
                <w:sz w:val="24"/>
                <w:szCs w:val="24"/>
              </w:rPr>
              <w:t xml:space="preserve"> с цел бързо постигане на съгласие за нормативна уредба на ЕС с ясни правила и гаранции.</w:t>
            </w:r>
          </w:p>
        </w:tc>
      </w:tr>
    </w:tbl>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cs="Times New Roman"/>
          <w:i/>
          <w:iCs/>
          <w:noProof/>
          <w:sz w:val="24"/>
          <w:szCs w:val="24"/>
        </w:rPr>
        <w:t>2.</w:t>
      </w:r>
      <w:r>
        <w:rPr>
          <w:rFonts w:ascii="Times New Roman" w:eastAsia="Calibri" w:hAnsi="Times New Roman" w:cs="Times New Roman"/>
          <w:i/>
          <w:iCs/>
          <w:noProof/>
          <w:sz w:val="24"/>
          <w:szCs w:val="24"/>
        </w:rPr>
        <w:t xml:space="preserve">      </w:t>
      </w:r>
      <w:r>
        <w:rPr>
          <w:rFonts w:ascii="Times New Roman" w:hAnsi="Times New Roman" w:cs="Times New Roman"/>
          <w:i/>
          <w:iCs/>
          <w:noProof/>
          <w:sz w:val="24"/>
          <w:szCs w:val="24"/>
        </w:rPr>
        <w:t>Повишаване на киберсигурността</w:t>
      </w:r>
    </w:p>
    <w:p>
      <w:pPr>
        <w:spacing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Киберсигурността продължава да бъде основно предизвикателство за сигурността. ЕС постигна осезаем напредък</w:t>
      </w:r>
      <w:r>
        <w:rPr>
          <w:rStyle w:val="FootnoteReference"/>
          <w:noProof/>
          <w:sz w:val="24"/>
          <w:szCs w:val="24"/>
        </w:rPr>
        <w:footnoteReference w:id="11"/>
      </w:r>
      <w:r>
        <w:rPr>
          <w:rFonts w:ascii="Times New Roman" w:hAnsi="Times New Roman" w:cs="Times New Roman"/>
          <w:noProof/>
          <w:sz w:val="24"/>
          <w:szCs w:val="24"/>
        </w:rPr>
        <w:t xml:space="preserve"> в справянето с „класическите“ кибернетични заплахи, насочени срещу системи и данни, прилагайки действията, посочени в съвместното съобщение</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от септември 2017 г. „Устойчивост, възпиране и отбрана: изграждане на силна киберсигурност за ЕС“. Това включва Акта на ЕС за киберсигурността</w:t>
      </w:r>
      <w:r>
        <w:rPr>
          <w:rStyle w:val="FootnoteReference"/>
          <w:noProof/>
          <w:sz w:val="24"/>
          <w:szCs w:val="24"/>
        </w:rPr>
        <w:footnoteReference w:id="13"/>
      </w:r>
      <w:r>
        <w:rPr>
          <w:rFonts w:ascii="Times New Roman" w:hAnsi="Times New Roman" w:cs="Times New Roman"/>
          <w:noProof/>
          <w:sz w:val="24"/>
          <w:szCs w:val="24"/>
        </w:rPr>
        <w:t>, с който на Агенцията на Европейския съюз за киберсигурност се дава постоянен мандат, засилвайки нейната роля, и се създава уредба на ЕС за сертифициране на киберсигурността. Комисията също така разгледа специфичните за сектора изисквания, например чрез своята Препоръка относно киберсигурността в енергийния сектор, приета на 3 април 2019 г.</w:t>
      </w:r>
      <w:r>
        <w:rPr>
          <w:rStyle w:val="FootnoteReference"/>
          <w:noProof/>
          <w:sz w:val="24"/>
          <w:szCs w:val="24"/>
        </w:rPr>
        <w:footnoteReference w:id="14"/>
      </w:r>
      <w:r>
        <w:rPr>
          <w:rFonts w:ascii="Times New Roman" w:hAnsi="Times New Roman" w:cs="Times New Roman"/>
          <w:noProof/>
          <w:sz w:val="24"/>
          <w:szCs w:val="24"/>
        </w:rPr>
        <w:t xml:space="preserve"> Продължаващото увеличаване на атаките на злонамерени лица спрямо широк спектър от цели и потърпевши означава, че усилията за борба с киберпрестъпността и повишаване на киберсигурността продължават да бъдат приоритет в действията на ЕС.</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Все още предстои Европейският парламент и Съветът да постигнат съгласие по </w:t>
      </w:r>
      <w:r>
        <w:rPr>
          <w:rFonts w:ascii="Times New Roman" w:hAnsi="Times New Roman" w:cs="Times New Roman"/>
          <w:bCs/>
          <w:noProof/>
          <w:sz w:val="24"/>
          <w:szCs w:val="24"/>
        </w:rPr>
        <w:t xml:space="preserve">приоритетната инициатива на Комисията за </w:t>
      </w:r>
      <w:r>
        <w:rPr>
          <w:rFonts w:ascii="Times New Roman" w:hAnsi="Times New Roman" w:cs="Times New Roman"/>
          <w:b/>
          <w:bCs/>
          <w:noProof/>
          <w:sz w:val="24"/>
          <w:szCs w:val="24"/>
        </w:rPr>
        <w:t>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w:t>
      </w:r>
      <w:r>
        <w:rPr>
          <w:rFonts w:ascii="Times New Roman" w:hAnsi="Times New Roman" w:cs="Times New Roman"/>
          <w:bCs/>
          <w:noProof/>
          <w:sz w:val="24"/>
          <w:szCs w:val="24"/>
        </w:rPr>
        <w:t>.</w:t>
      </w:r>
      <w:r>
        <w:rPr>
          <w:rStyle w:val="FootnoteReference"/>
          <w:bCs/>
          <w:noProof/>
          <w:sz w:val="24"/>
          <w:szCs w:val="24"/>
        </w:rPr>
        <w:footnoteReference w:id="15"/>
      </w:r>
      <w:r>
        <w:rPr>
          <w:rFonts w:ascii="Times New Roman" w:hAnsi="Times New Roman" w:cs="Times New Roman"/>
          <w:bCs/>
          <w:noProof/>
          <w:sz w:val="24"/>
          <w:szCs w:val="24"/>
        </w:rPr>
        <w:t xml:space="preserve"> </w:t>
      </w:r>
      <w:r>
        <w:rPr>
          <w:rFonts w:ascii="Times New Roman" w:hAnsi="Times New Roman" w:cs="Times New Roman"/>
          <w:noProof/>
          <w:sz w:val="24"/>
          <w:szCs w:val="24"/>
        </w:rPr>
        <w:t>Целта на предложението е да се подпомогне технологичният и промишлен капацитет и да се повиши конкурентоспособността на отрасъла на киберсигурността в Съюза. През март 2019 г. и двамата съзаконодатели приеха мандатите си за водене на преговори. Тъй като</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не беше възможно междуинституционалните преговори да приключат преди края на предишния мандат на Европейския парламент, той официално прие позицията си на първо четене. Междувременно обсъжданията между държавите членки в Съвета продължават, като се обръща специално внимание на взаимодействието между предложения регламент за създаване на център и мрежа за експертни познания в областта на киберсигурността, от една страна, и програмите „Хоризонт Европа“ и „Цифрова Европа“, от друга страна. </w:t>
      </w:r>
      <w:r>
        <w:rPr>
          <w:rFonts w:ascii="Times New Roman" w:hAnsi="Times New Roman" w:cs="Times New Roman"/>
          <w:b/>
          <w:noProof/>
          <w:sz w:val="24"/>
          <w:szCs w:val="24"/>
        </w:rPr>
        <w:t>Комисията призовава и двамата съзаконодатели да възобновят и бързо да приключат междуинституционалните преговори по тази приоритетна инициатива за повишаване на киберсигурността.</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Междувременно Комисията продължава да </w:t>
      </w:r>
      <w:r>
        <w:rPr>
          <w:rFonts w:ascii="Times New Roman" w:hAnsi="Times New Roman" w:cs="Times New Roman"/>
          <w:b/>
          <w:noProof/>
          <w:sz w:val="24"/>
          <w:szCs w:val="24"/>
        </w:rPr>
        <w:t>подкрепя научните изследвания и иновациите</w:t>
      </w:r>
      <w:r>
        <w:rPr>
          <w:rFonts w:ascii="Times New Roman" w:hAnsi="Times New Roman" w:cs="Times New Roman"/>
          <w:noProof/>
          <w:sz w:val="24"/>
          <w:szCs w:val="24"/>
        </w:rPr>
        <w:t>, свързани с киберсигурността, като заделя 135 милиона евро в настоящата многогодишна финансова рамка за проекти в области като киберсигурността на критичните инфраструктури, интелигентното управление на сигурността и на неприкосновеността на личния живот и за инструменти, специално предназначени за гражданите и малките и средните предприятия</w:t>
      </w:r>
      <w:r>
        <w:rPr>
          <w:rStyle w:val="FootnoteReference"/>
          <w:noProof/>
          <w:sz w:val="24"/>
          <w:szCs w:val="24"/>
        </w:rPr>
        <w:footnoteReference w:id="16"/>
      </w:r>
      <w:r>
        <w:rPr>
          <w:rFonts w:ascii="Times New Roman" w:hAnsi="Times New Roman" w:cs="Times New Roman"/>
          <w:noProof/>
          <w:sz w:val="24"/>
          <w:szCs w:val="24"/>
        </w:rPr>
        <w:t xml:space="preserve">. През юли 2019 г. в рамките на програмата за Механизма за свързване на Европа Комисията публикува нова покана за представяне на предложения, като предостави финансиране от ЕС на стойност 10 милиона евро на ключови участници, определени в </w:t>
      </w:r>
      <w:r>
        <w:rPr>
          <w:rFonts w:ascii="Times New Roman" w:hAnsi="Times New Roman" w:cs="Times New Roman"/>
          <w:bCs/>
          <w:noProof/>
          <w:sz w:val="24"/>
          <w:szCs w:val="24"/>
        </w:rPr>
        <w:t>Директивата за мрежова и информационна сигурност</w:t>
      </w:r>
      <w:r>
        <w:rPr>
          <w:rFonts w:ascii="Times New Roman" w:hAnsi="Times New Roman" w:cs="Times New Roman"/>
          <w:noProof/>
          <w:sz w:val="24"/>
          <w:szCs w:val="24"/>
        </w:rPr>
        <w:t xml:space="preserve"> (Директивата за МИС)</w:t>
      </w:r>
      <w:r>
        <w:rPr>
          <w:rStyle w:val="FootnoteReference"/>
          <w:noProof/>
          <w:sz w:val="24"/>
          <w:szCs w:val="24"/>
        </w:rPr>
        <w:footnoteReference w:id="17"/>
      </w:r>
      <w:r>
        <w:rPr>
          <w:rFonts w:ascii="Times New Roman" w:hAnsi="Times New Roman" w:cs="Times New Roman"/>
          <w:noProof/>
          <w:sz w:val="24"/>
          <w:szCs w:val="24"/>
        </w:rPr>
        <w:t>, като например европейските екипи за реагиране при инциденти с компютърната сигурност, операторите на основни услуги (напр. банки, болници, доставчици на комунални услуги, железници, авиокомпании, доставчици на имена на домейни) и различни публични органи. За първи път европейските органи за сертифициране на киберсигурността също имат право да кандидатстват по тази програма, за да могат да прилагат Акта на ЕС за киберсигурността.</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На 17 май 2019 г. Съветът прие </w:t>
      </w:r>
      <w:r>
        <w:rPr>
          <w:rFonts w:ascii="Times New Roman" w:hAnsi="Times New Roman" w:cs="Times New Roman"/>
          <w:b/>
          <w:bCs/>
          <w:noProof/>
          <w:sz w:val="24"/>
          <w:szCs w:val="24"/>
        </w:rPr>
        <w:t>режим на санкции</w:t>
      </w:r>
      <w:r>
        <w:rPr>
          <w:rFonts w:ascii="Times New Roman" w:hAnsi="Times New Roman" w:cs="Times New Roman"/>
          <w:noProof/>
          <w:sz w:val="24"/>
          <w:szCs w:val="24"/>
        </w:rPr>
        <w:t xml:space="preserve">, позволяващ на ЕС да налага целенасочени ограничителни мерки за възпиране и противодействие на кибератаки, които представляват външна заплаха за ЕС и неговите държави членки. Новият режим на санкции е част от </w:t>
      </w:r>
      <w:r>
        <w:rPr>
          <w:rFonts w:ascii="Times New Roman" w:hAnsi="Times New Roman" w:cs="Times New Roman"/>
          <w:b/>
          <w:bCs/>
          <w:noProof/>
          <w:sz w:val="24"/>
          <w:szCs w:val="24"/>
        </w:rPr>
        <w:t>инструментариума на ЕС за кибердипломация</w:t>
      </w:r>
      <w:r>
        <w:rPr>
          <w:rStyle w:val="FootnoteReference"/>
          <w:bCs/>
          <w:noProof/>
          <w:sz w:val="24"/>
          <w:szCs w:val="24"/>
        </w:rPr>
        <w:footnoteReference w:id="18"/>
      </w:r>
      <w:r>
        <w:rPr>
          <w:rFonts w:ascii="Times New Roman" w:hAnsi="Times New Roman" w:cs="Times New Roman"/>
          <w:noProof/>
          <w:sz w:val="24"/>
          <w:szCs w:val="24"/>
        </w:rPr>
        <w:t>, който представлява рамка за съвместен дипломатически отговор на ЕС срещу злонамерени действия в киберпространството</w:t>
      </w:r>
      <w:r>
        <w:rPr>
          <w:rStyle w:val="FootnoteReference"/>
          <w:noProof/>
          <w:sz w:val="24"/>
          <w:szCs w:val="24"/>
        </w:rPr>
        <w:footnoteReference w:id="19"/>
      </w:r>
      <w:r>
        <w:rPr>
          <w:rFonts w:ascii="Times New Roman" w:hAnsi="Times New Roman" w:cs="Times New Roman"/>
          <w:noProof/>
          <w:sz w:val="24"/>
          <w:szCs w:val="24"/>
        </w:rPr>
        <w:t xml:space="preserve"> и позволява на Съюза да използва в пълна степен мерките в рамките на общата външна политика и политика на сигурност с цел възпиране и противодействие на злонамерени дейности в киберпространството.</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Освен кибернетичните заплахи, насочени срещу системи и данни, ЕС също предприема действия за справяне със сложните и многостранни предизвикателства, свързани с </w:t>
      </w:r>
      <w:r>
        <w:rPr>
          <w:rFonts w:ascii="Times New Roman" w:hAnsi="Times New Roman" w:cs="Times New Roman"/>
          <w:b/>
          <w:noProof/>
          <w:sz w:val="24"/>
          <w:szCs w:val="24"/>
        </w:rPr>
        <w:t>хибридните заплахи</w:t>
      </w:r>
      <w:r>
        <w:rPr>
          <w:rStyle w:val="FootnoteReference"/>
          <w:noProof/>
          <w:sz w:val="24"/>
          <w:szCs w:val="24"/>
        </w:rPr>
        <w:footnoteReference w:id="20"/>
      </w:r>
      <w:r>
        <w:rPr>
          <w:rFonts w:ascii="Times New Roman" w:hAnsi="Times New Roman" w:cs="Times New Roman"/>
          <w:noProof/>
          <w:sz w:val="24"/>
          <w:szCs w:val="24"/>
        </w:rPr>
        <w:t xml:space="preserve">. </w:t>
      </w:r>
      <w:r>
        <w:rPr>
          <w:rFonts w:ascii="Times New Roman" w:hAnsi="Times New Roman" w:cs="Times New Roman"/>
          <w:iCs/>
          <w:noProof/>
          <w:sz w:val="24"/>
          <w:szCs w:val="24"/>
        </w:rPr>
        <w:t>В</w:t>
      </w:r>
      <w:r>
        <w:rPr>
          <w:rFonts w:ascii="Times New Roman" w:hAnsi="Times New Roman" w:cs="Times New Roman"/>
          <w:noProof/>
          <w:sz w:val="24"/>
          <w:szCs w:val="24"/>
        </w:rPr>
        <w:t xml:space="preserve"> своите заключения от 21 юни 2019 г.</w:t>
      </w:r>
      <w:r>
        <w:rPr>
          <w:rStyle w:val="FootnoteReference"/>
          <w:noProof/>
          <w:sz w:val="24"/>
          <w:szCs w:val="24"/>
        </w:rPr>
        <w:footnoteReference w:id="21"/>
      </w:r>
      <w:r>
        <w:rPr>
          <w:rFonts w:ascii="Times New Roman" w:hAnsi="Times New Roman" w:cs="Times New Roman"/>
          <w:noProof/>
          <w:sz w:val="24"/>
          <w:szCs w:val="24"/>
        </w:rPr>
        <w:t xml:space="preserve"> Европейският съвет подчерта, че „</w:t>
      </w:r>
      <w:r>
        <w:rPr>
          <w:rFonts w:ascii="Times New Roman" w:hAnsi="Times New Roman" w:cs="Times New Roman"/>
          <w:i/>
          <w:noProof/>
          <w:sz w:val="24"/>
          <w:szCs w:val="24"/>
        </w:rPr>
        <w:t>ЕС трябва да осигури координиран отговор на хибридните и кибернетичните заплахи и да засили сътрудничеството си със съответните международни участници</w:t>
      </w:r>
      <w:r>
        <w:rPr>
          <w:rFonts w:ascii="Times New Roman" w:hAnsi="Times New Roman" w:cs="Times New Roman"/>
          <w:noProof/>
          <w:sz w:val="24"/>
          <w:szCs w:val="24"/>
        </w:rPr>
        <w:t>“. Комисията приветства факта, че борбата с хибридните заплахи е приоритет и на финландското председателство на Съвета и че на неофициалното заседание на министрите на правосъдието и вътрешните работи в Хелзинки на 18—19 юли 2019 г. се проведе дискусия в областта на политиката относно хибридните заплахи въз основа на сценарии. Подобни дискусии за хибридните заплахи въз основа на сценарии се проведоха на 7—8 юли 2019 г. между директорите на политиката на ЕС в областта на отбраната и на 9—10 юли 2019 г. между политическите директори на ЕС, резултатите от които ще бъдат докладвани на министрите на външните работи и на отбраната по време на съвместна неофициална сесия на 29—30 август 2019 г.</w:t>
      </w:r>
    </w:p>
    <w:p>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С цел повишаване на киберсигурността Комисията призовава Европейския парламент и Съвета:</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cs="Times New Roman"/>
                <w:noProof/>
                <w:sz w:val="24"/>
                <w:szCs w:val="24"/>
              </w:rPr>
            </w:pPr>
            <w:r>
              <w:rPr>
                <w:rFonts w:ascii="Times New Roman" w:hAnsi="Times New Roman" w:cs="Times New Roman"/>
                <w:noProof/>
                <w:sz w:val="24"/>
                <w:szCs w:val="24"/>
              </w:rPr>
              <w:t xml:space="preserve">бързо да постигнат съгласие по законодателното предложение </w:t>
            </w:r>
            <w:r>
              <w:rPr>
                <w:rFonts w:ascii="Times New Roman" w:hAnsi="Times New Roman" w:cs="Times New Roman"/>
                <w:bCs/>
                <w:noProof/>
                <w:sz w:val="24"/>
                <w:szCs w:val="24"/>
              </w:rPr>
              <w:t xml:space="preserve">за </w:t>
            </w:r>
            <w:r>
              <w:rPr>
                <w:rFonts w:ascii="Times New Roman" w:hAnsi="Times New Roman" w:cs="Times New Roman"/>
                <w:b/>
                <w:bCs/>
                <w:noProof/>
                <w:sz w:val="24"/>
                <w:szCs w:val="24"/>
              </w:rPr>
              <w:t>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w:t>
            </w:r>
            <w:r>
              <w:rPr>
                <w:rFonts w:ascii="Times New Roman" w:hAnsi="Times New Roman" w:cs="Times New Roman"/>
                <w:bCs/>
                <w:noProof/>
                <w:sz w:val="24"/>
                <w:szCs w:val="24"/>
              </w:rPr>
              <w:t>.</w:t>
            </w:r>
          </w:p>
        </w:tc>
      </w:tr>
    </w:tbl>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cs="Times New Roman"/>
          <w:i/>
          <w:noProof/>
          <w:sz w:val="24"/>
          <w:szCs w:val="24"/>
        </w:rPr>
        <w:t>3.</w:t>
      </w:r>
      <w:r>
        <w:rPr>
          <w:rFonts w:ascii="Times New Roman" w:eastAsia="Calibri" w:hAnsi="Times New Roman" w:cs="Times New Roman"/>
          <w:i/>
          <w:iCs/>
          <w:noProof/>
          <w:sz w:val="24"/>
          <w:szCs w:val="24"/>
        </w:rPr>
        <w:t xml:space="preserve">      </w:t>
      </w:r>
      <w:r>
        <w:rPr>
          <w:rFonts w:ascii="Times New Roman" w:hAnsi="Times New Roman" w:cs="Times New Roman"/>
          <w:i/>
          <w:iCs/>
          <w:noProof/>
          <w:sz w:val="24"/>
          <w:szCs w:val="24"/>
        </w:rPr>
        <w:t xml:space="preserve">Подобряване на достъпа на правоприлагащите органи до електронни доказателства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ЕС предприе допълнителни действия за отнемане на средствата за действие на терористите и престъпниците, като направи по-трудни достъпа им до прекурсори на взривни вещества</w:t>
      </w:r>
      <w:r>
        <w:rPr>
          <w:rStyle w:val="FootnoteReference"/>
          <w:noProof/>
          <w:sz w:val="24"/>
          <w:szCs w:val="24"/>
        </w:rPr>
        <w:footnoteReference w:id="22"/>
      </w:r>
      <w:r>
        <w:rPr>
          <w:rFonts w:ascii="Times New Roman" w:hAnsi="Times New Roman" w:cs="Times New Roman"/>
          <w:noProof/>
          <w:sz w:val="24"/>
          <w:szCs w:val="24"/>
        </w:rPr>
        <w:t>, финансирането на техните дейности</w:t>
      </w:r>
      <w:r>
        <w:rPr>
          <w:rStyle w:val="FootnoteReference"/>
          <w:noProof/>
          <w:sz w:val="24"/>
          <w:szCs w:val="24"/>
        </w:rPr>
        <w:footnoteReference w:id="23"/>
      </w:r>
      <w:r>
        <w:rPr>
          <w:rFonts w:ascii="Times New Roman" w:hAnsi="Times New Roman" w:cs="Times New Roman"/>
          <w:noProof/>
          <w:sz w:val="24"/>
          <w:szCs w:val="24"/>
        </w:rPr>
        <w:t xml:space="preserve"> и възможността да пътуват, без да бъдат разкрити</w:t>
      </w:r>
      <w:r>
        <w:rPr>
          <w:rStyle w:val="FootnoteReference"/>
          <w:noProof/>
          <w:sz w:val="24"/>
          <w:szCs w:val="24"/>
        </w:rPr>
        <w:footnoteReference w:id="24"/>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Преговорите по предложенията на Комисията от април 2018 г. за подобряване на </w:t>
      </w:r>
      <w:r>
        <w:rPr>
          <w:rFonts w:ascii="Times New Roman" w:hAnsi="Times New Roman" w:cs="Times New Roman"/>
          <w:b/>
          <w:noProof/>
          <w:sz w:val="24"/>
          <w:szCs w:val="24"/>
        </w:rPr>
        <w:t>достъпа на правоприлагащите органи до електронни доказателства</w:t>
      </w:r>
      <w:r>
        <w:rPr>
          <w:rFonts w:ascii="Times New Roman" w:hAnsi="Times New Roman" w:cs="Times New Roman"/>
          <w:noProof/>
          <w:sz w:val="24"/>
          <w:szCs w:val="24"/>
        </w:rPr>
        <w:t xml:space="preserve"> следва да приключат възможно най-бързо, тъй като повече от половината от всички наказателни разследвания понастоящем включват трансгранично искане за достъп до електронни доказателства</w:t>
      </w:r>
      <w:r>
        <w:rPr>
          <w:rStyle w:val="FootnoteReference"/>
          <w:noProof/>
          <w:sz w:val="24"/>
          <w:szCs w:val="24"/>
        </w:rPr>
        <w:footnoteReference w:id="25"/>
      </w:r>
      <w:r>
        <w:rPr>
          <w:rFonts w:ascii="Times New Roman" w:hAnsi="Times New Roman" w:cs="Times New Roman"/>
          <w:noProof/>
          <w:sz w:val="24"/>
          <w:szCs w:val="24"/>
        </w:rPr>
        <w:t>. Съветът прие своята позиция за водене на преговори по предложенията за регламент</w:t>
      </w:r>
      <w:r>
        <w:rPr>
          <w:rStyle w:val="FootnoteReference"/>
          <w:noProof/>
          <w:sz w:val="24"/>
          <w:szCs w:val="24"/>
        </w:rPr>
        <w:footnoteReference w:id="26"/>
      </w:r>
      <w:r>
        <w:rPr>
          <w:rFonts w:ascii="Times New Roman" w:hAnsi="Times New Roman" w:cs="Times New Roman"/>
          <w:noProof/>
          <w:sz w:val="24"/>
          <w:szCs w:val="24"/>
        </w:rPr>
        <w:t xml:space="preserve"> за подобряване на трансграничния достъп до електронни доказателства в рамките на наказателни разследвания и за директива</w:t>
      </w:r>
      <w:r>
        <w:rPr>
          <w:rStyle w:val="FootnoteReference"/>
          <w:noProof/>
          <w:sz w:val="24"/>
          <w:szCs w:val="24"/>
        </w:rPr>
        <w:footnoteReference w:id="27"/>
      </w:r>
      <w:r>
        <w:rPr>
          <w:rFonts w:ascii="Times New Roman" w:hAnsi="Times New Roman" w:cs="Times New Roman"/>
          <w:noProof/>
          <w:sz w:val="24"/>
          <w:szCs w:val="24"/>
        </w:rPr>
        <w:t xml:space="preserve"> за установяване на хармонизирани правила относно определянето на юридически представители за целите на събирането на доказателства по наказателни производства. Като се има предвид решаващото значение на ефикасния достъп до електронни доказателства за наказателното разследване и преследване на трансгранични престъпления, като тероризъм или престъпления в кибернетичното пространство, Комисията настоятелно приканва Европейския парламент да отбележи напредък по това предложение, така че съзаконодателите да могат да работят за бързо приемане.</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Успоредно с това Комисията работи за подобряване и осигуряване на необходимите гаранции при </w:t>
      </w:r>
      <w:r>
        <w:rPr>
          <w:rFonts w:ascii="Times New Roman" w:hAnsi="Times New Roman" w:cs="Times New Roman"/>
          <w:b/>
          <w:iCs/>
          <w:noProof/>
          <w:sz w:val="24"/>
          <w:szCs w:val="24"/>
        </w:rPr>
        <w:t>международния обмен на електронни доказателства</w:t>
      </w:r>
      <w:r>
        <w:rPr>
          <w:rFonts w:ascii="Times New Roman" w:hAnsi="Times New Roman" w:cs="Times New Roman"/>
          <w:iCs/>
          <w:noProof/>
          <w:sz w:val="24"/>
          <w:szCs w:val="24"/>
        </w:rPr>
        <w:t xml:space="preserve"> в контекста на продължаващите преговори по Втория допълнителен протокол към Конвенцията на Съвета на Европа от Будапеща за престъпления в кибернетичното пространство, както и със САЩ в съответствие с мандатите за водене на преговори, предоставени от Съвета на заседанието от 6—7 юни 2019 г. на Съвета по правосъдие и вътрешни работи</w:t>
      </w:r>
      <w:r>
        <w:rPr>
          <w:rStyle w:val="FootnoteReference"/>
          <w:iCs/>
          <w:noProof/>
          <w:sz w:val="24"/>
          <w:szCs w:val="24"/>
        </w:rPr>
        <w:footnoteReference w:id="28"/>
      </w:r>
      <w:r>
        <w:rPr>
          <w:rFonts w:ascii="Times New Roman" w:hAnsi="Times New Roman" w:cs="Times New Roman"/>
          <w:iCs/>
          <w:noProof/>
          <w:sz w:val="24"/>
          <w:szCs w:val="24"/>
        </w:rPr>
        <w:t>. Комисията участва в последния кръг от преговорите по Втория допълнителен протокол към Конвенцията на Съвета на Европа от Будапеща за престъпления в кибернетичното пространство на 9—11 юли 2019 г. Понастоящем Комисията и органите на САЩ подготвят на техническо равнище официалното започване на преговорите за споразумение между ЕС и САЩ относно трансграничния достъп до електронни доказателства.</w:t>
      </w:r>
    </w:p>
    <w:p>
      <w:pPr>
        <w:keepNext/>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С цел подобряване на достъпа на правоприлагащите органи до електронни доказателства Комисията призовава Европейския парламент:</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keepNext/>
              <w:numPr>
                <w:ilvl w:val="0"/>
                <w:numId w:val="20"/>
              </w:numPr>
              <w:shd w:val="clear" w:color="auto" w:fill="DBE5F1" w:themeFill="accent1" w:themeFillTint="33"/>
              <w:jc w:val="both"/>
              <w:rPr>
                <w:rFonts w:ascii="Times New Roman" w:hAnsi="Times New Roman" w:cs="Times New Roman"/>
                <w:noProof/>
                <w:sz w:val="24"/>
                <w:szCs w:val="24"/>
              </w:rPr>
            </w:pPr>
            <w:r>
              <w:rPr>
                <w:rFonts w:ascii="Times New Roman" w:hAnsi="Times New Roman" w:cs="Times New Roman"/>
                <w:noProof/>
                <w:sz w:val="24"/>
                <w:szCs w:val="24"/>
              </w:rPr>
              <w:t xml:space="preserve">да приеме мандата си за водене на преговори по законодателните предложения относно </w:t>
            </w:r>
            <w:r>
              <w:rPr>
                <w:rFonts w:ascii="Times New Roman" w:hAnsi="Times New Roman" w:cs="Times New Roman"/>
                <w:b/>
                <w:noProof/>
                <w:sz w:val="24"/>
                <w:szCs w:val="24"/>
              </w:rPr>
              <w:t>електронните доказателства</w:t>
            </w:r>
            <w:r>
              <w:rPr>
                <w:rFonts w:ascii="Times New Roman" w:hAnsi="Times New Roman" w:cs="Times New Roman"/>
                <w:noProof/>
                <w:sz w:val="24"/>
                <w:szCs w:val="24"/>
              </w:rPr>
              <w:t xml:space="preserve"> с цел бързо започване на тристранни обсъждания със Съвета </w:t>
            </w:r>
            <w:r>
              <w:rPr>
                <w:rFonts w:ascii="Times New Roman" w:hAnsi="Times New Roman" w:cs="Times New Roman"/>
                <w:i/>
                <w:noProof/>
                <w:sz w:val="24"/>
                <w:szCs w:val="24"/>
              </w:rPr>
              <w:t>(приоритет в рамките на съвместната декларация)</w:t>
            </w:r>
            <w:r>
              <w:rPr>
                <w:rFonts w:ascii="Times New Roman" w:hAnsi="Times New Roman" w:cs="Times New Roman"/>
                <w:noProof/>
                <w:sz w:val="24"/>
                <w:szCs w:val="24"/>
              </w:rPr>
              <w:t>.</w:t>
            </w:r>
          </w:p>
        </w:tc>
      </w:tr>
    </w:tbl>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cs="Times New Roman"/>
          <w:i/>
          <w:iCs/>
          <w:noProof/>
          <w:sz w:val="24"/>
          <w:szCs w:val="24"/>
        </w:rPr>
        <w:t>4. По-надеждни и по-интелигентни информационни системи за управление на сигурността, границите и миграцията</w:t>
      </w:r>
    </w:p>
    <w:p>
      <w:pPr>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След приемането на правилата относно </w:t>
      </w:r>
      <w:r>
        <w:rPr>
          <w:rFonts w:ascii="Times New Roman" w:hAnsi="Times New Roman" w:cs="Times New Roman"/>
          <w:b/>
          <w:iCs/>
          <w:noProof/>
          <w:sz w:val="24"/>
          <w:szCs w:val="24"/>
        </w:rPr>
        <w:t>оперативната съвместимост на информационните системи</w:t>
      </w:r>
      <w:r>
        <w:rPr>
          <w:rStyle w:val="FootnoteReference"/>
          <w:iCs/>
          <w:noProof/>
          <w:sz w:val="24"/>
          <w:szCs w:val="24"/>
        </w:rPr>
        <w:footnoteReference w:id="29"/>
      </w:r>
      <w:r>
        <w:rPr>
          <w:rFonts w:ascii="Times New Roman" w:hAnsi="Times New Roman" w:cs="Times New Roman"/>
          <w:iCs/>
          <w:noProof/>
          <w:sz w:val="24"/>
          <w:szCs w:val="24"/>
        </w:rPr>
        <w:t xml:space="preserve">, които ще отстранят пропуските и слабите места по отношение на информацията, като спомогнат за откриването на наличието на множество самоличности и за предотвратяването на използването на фалшива самоличност, Комисията бързо започна поредица от инициативи за подкрепа на държавите членки в процеса на изпълнение, включително чрез финансиране, когато е необходимо, както и чрез семинари за улесняване на обмена на експертен опит и най-добри практики. </w:t>
      </w:r>
      <w:r>
        <w:rPr>
          <w:rFonts w:ascii="Times New Roman" w:hAnsi="Times New Roman" w:cs="Times New Roman"/>
          <w:noProof/>
          <w:sz w:val="24"/>
          <w:szCs w:val="24"/>
        </w:rPr>
        <w:t>Тясното сътрудничество между агенциите на ЕС, всички държави членки и асоциираните към Шенген държави ще бъде от първостепенно значение за постигането на амбициозната цел до 2020 г. да съществува пълна оперативна съвместимост на информационните системи на ЕС за управление на сигурността, границите и миграцията</w:t>
      </w:r>
      <w:r>
        <w:rPr>
          <w:rFonts w:ascii="Times New Roman" w:hAnsi="Times New Roman" w:cs="Times New Roman"/>
          <w:iCs/>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За постигането на тази цел е необходимо също така бързото и пълно прилагане на наскоро приетото законодателство за създаване на нови информационни системи —</w:t>
      </w:r>
      <w:r>
        <w:rPr>
          <w:rFonts w:ascii="Times New Roman" w:hAnsi="Times New Roman" w:cs="Times New Roman"/>
          <w:noProof/>
          <w:sz w:val="24"/>
          <w:szCs w:val="24"/>
        </w:rPr>
        <w:t xml:space="preserve"> Системата на ЕС за влизане/излизане</w:t>
      </w:r>
      <w:r>
        <w:rPr>
          <w:rStyle w:val="FootnoteReference"/>
          <w:noProof/>
          <w:sz w:val="24"/>
          <w:szCs w:val="24"/>
        </w:rPr>
        <w:footnoteReference w:id="30"/>
      </w:r>
      <w:r>
        <w:rPr>
          <w:rFonts w:ascii="Times New Roman" w:hAnsi="Times New Roman" w:cs="Times New Roman"/>
          <w:noProof/>
          <w:sz w:val="24"/>
          <w:szCs w:val="24"/>
        </w:rPr>
        <w:t xml:space="preserve"> и Европейската система за информация за пътуванията и разрешаването им</w:t>
      </w:r>
      <w:r>
        <w:rPr>
          <w:rStyle w:val="FootnoteReference"/>
          <w:noProof/>
          <w:sz w:val="24"/>
          <w:szCs w:val="24"/>
        </w:rPr>
        <w:footnoteReference w:id="31"/>
      </w:r>
      <w:r>
        <w:rPr>
          <w:rFonts w:ascii="Times New Roman" w:hAnsi="Times New Roman" w:cs="Times New Roman"/>
          <w:noProof/>
          <w:sz w:val="24"/>
          <w:szCs w:val="24"/>
        </w:rPr>
        <w:t> — както и укрепването на Шенгенската информационна система</w:t>
      </w:r>
      <w:r>
        <w:rPr>
          <w:rStyle w:val="FootnoteReference"/>
          <w:noProof/>
          <w:sz w:val="24"/>
          <w:szCs w:val="24"/>
        </w:rPr>
        <w:footnoteReference w:id="32"/>
      </w:r>
      <w:r>
        <w:rPr>
          <w:rFonts w:ascii="Times New Roman" w:hAnsi="Times New Roman" w:cs="Times New Roman"/>
          <w:noProof/>
          <w:sz w:val="24"/>
          <w:szCs w:val="24"/>
        </w:rPr>
        <w:t xml:space="preserve"> и разширяването на Европейската информационна система за съдимост</w:t>
      </w:r>
      <w:r>
        <w:rPr>
          <w:rStyle w:val="FootnoteReference"/>
          <w:noProof/>
          <w:sz w:val="24"/>
          <w:szCs w:val="24"/>
        </w:rPr>
        <w:footnoteReference w:id="33"/>
      </w:r>
      <w:r>
        <w:rPr>
          <w:rFonts w:ascii="Times New Roman" w:hAnsi="Times New Roman" w:cs="Times New Roman"/>
          <w:noProof/>
          <w:sz w:val="24"/>
          <w:szCs w:val="24"/>
        </w:rPr>
        <w:t>, така че тя да обхваща и граждани на трети държави. Новата структура за по-мощни и по-интелигентни информационни системи за управление на сигурността, границите и миграцията действително ще промени нещата само ако всички компоненти се прилагат изцяло на равнището на Съюза и от всяка държава членка в съответствие с договорения график.</w:t>
      </w:r>
    </w:p>
    <w:p>
      <w:pPr>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Същевременно са необходими по-нататъшни действия от страна на съзаконодателите за приключване на работата по по-мощни и по-интелигентни информационни системи за управление на сигурността, границите и миграцията. </w:t>
      </w:r>
      <w:r>
        <w:rPr>
          <w:rFonts w:ascii="Times New Roman" w:hAnsi="Times New Roman" w:cs="Times New Roman"/>
          <w:noProof/>
          <w:sz w:val="24"/>
          <w:szCs w:val="24"/>
        </w:rPr>
        <w:t xml:space="preserve">Като част от техническото изпълнение на </w:t>
      </w:r>
      <w:r>
        <w:rPr>
          <w:rFonts w:ascii="Times New Roman" w:hAnsi="Times New Roman" w:cs="Times New Roman"/>
          <w:b/>
          <w:noProof/>
          <w:sz w:val="24"/>
          <w:szCs w:val="24"/>
        </w:rPr>
        <w:t>Европейската система за информация за пътуванията и разрешаването им</w:t>
      </w:r>
      <w:r>
        <w:rPr>
          <w:rFonts w:ascii="Times New Roman" w:hAnsi="Times New Roman" w:cs="Times New Roman"/>
          <w:noProof/>
          <w:sz w:val="24"/>
          <w:szCs w:val="24"/>
        </w:rPr>
        <w:t xml:space="preserve"> на 7 януари 2019 г. Комисията представи две предложения за определяне на технически изменения на свързания с нея Регламент</w:t>
      </w:r>
      <w:r>
        <w:rPr>
          <w:rStyle w:val="FootnoteReference"/>
          <w:noProof/>
          <w:sz w:val="24"/>
          <w:szCs w:val="24"/>
        </w:rPr>
        <w:footnoteReference w:id="34"/>
      </w:r>
      <w:r>
        <w:rPr>
          <w:rFonts w:ascii="Times New Roman" w:hAnsi="Times New Roman" w:cs="Times New Roman"/>
          <w:noProof/>
          <w:sz w:val="24"/>
          <w:szCs w:val="24"/>
        </w:rPr>
        <w:t>, които са необходими за пълното изграждане на системата. Комисията призовава съзаконодателите да напреднат в работата си по тези технически изменения с цел постигането на съгласие във възможно най-кратки срокове, благодарение на което ще стане възможно бързото и навременно въвеждане на Европейската система за информация за пътуванията и разрешаването им, така че тя да стане оперативна в началото на 2021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През май 2018 г. Комисията представи предложение за </w:t>
      </w:r>
      <w:r>
        <w:rPr>
          <w:rFonts w:ascii="Times New Roman" w:hAnsi="Times New Roman" w:cs="Times New Roman"/>
          <w:b/>
          <w:noProof/>
          <w:sz w:val="24"/>
          <w:szCs w:val="24"/>
        </w:rPr>
        <w:t>укрепване на съществуващата Визова информационна система</w:t>
      </w:r>
      <w:r>
        <w:rPr>
          <w:rStyle w:val="FootnoteReference"/>
          <w:noProof/>
          <w:sz w:val="24"/>
          <w:szCs w:val="24"/>
        </w:rPr>
        <w:footnoteReference w:id="35"/>
      </w:r>
      <w:r>
        <w:rPr>
          <w:rFonts w:ascii="Times New Roman" w:hAnsi="Times New Roman" w:cs="Times New Roman"/>
          <w:noProof/>
          <w:sz w:val="24"/>
          <w:szCs w:val="24"/>
        </w:rPr>
        <w:t>, в което се предвижда извършване на по-задълбочени проверки на досиетата на кандидатите за виза и отстраняване на пропуските по отношение на информацията чрез по-добър обмен на информация между държавите членки. На 19 декември 2019 г. Съветът прие своя мандат за водене на преговори, а на пленарното си заседание от 13 март 2019 г. Европейският парламент гласува своя доклад относно предложението, като по този начин приключи първото му четене. Комисията призовава за бързо започване на преговори между съзаконодателите при новосформирания Европейски парламент.</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май 2016 г. Комисията предложи да разшири приложното поле на </w:t>
      </w:r>
      <w:r>
        <w:rPr>
          <w:rFonts w:ascii="Times New Roman" w:hAnsi="Times New Roman" w:cs="Times New Roman"/>
          <w:b/>
          <w:noProof/>
          <w:sz w:val="24"/>
          <w:szCs w:val="24"/>
        </w:rPr>
        <w:t>Евродак</w:t>
      </w:r>
      <w:r>
        <w:rPr>
          <w:rStyle w:val="FootnoteReference"/>
          <w:noProof/>
          <w:sz w:val="24"/>
          <w:szCs w:val="24"/>
        </w:rPr>
        <w:footnoteReference w:id="36"/>
      </w:r>
      <w:r>
        <w:rPr>
          <w:rFonts w:ascii="Times New Roman" w:hAnsi="Times New Roman" w:cs="Times New Roman"/>
          <w:noProof/>
          <w:sz w:val="24"/>
          <w:szCs w:val="24"/>
        </w:rPr>
        <w:t>, като включи не само идентифицирането на кандидати за убежище, но и на незаконно пребиваващи граждани на трети държави и на лица, които влизат незаконно в ЕС. В съответствие със заключенията на Европейския съвет</w:t>
      </w:r>
      <w:r>
        <w:rPr>
          <w:rStyle w:val="FootnoteReference"/>
          <w:noProof/>
          <w:sz w:val="24"/>
          <w:szCs w:val="24"/>
        </w:rPr>
        <w:footnoteReference w:id="37"/>
      </w:r>
      <w:r>
        <w:rPr>
          <w:rFonts w:ascii="Times New Roman" w:hAnsi="Times New Roman" w:cs="Times New Roman"/>
          <w:noProof/>
          <w:sz w:val="24"/>
          <w:szCs w:val="24"/>
        </w:rPr>
        <w:t xml:space="preserve"> от декември 2018 г. и със Съобщението на Комисията от 6 март 2019 г. относно напредъка в изпълнението на европейската програма за миграцията</w:t>
      </w:r>
      <w:r>
        <w:rPr>
          <w:rStyle w:val="FootnoteReference"/>
          <w:noProof/>
          <w:sz w:val="24"/>
          <w:szCs w:val="24"/>
        </w:rPr>
        <w:footnoteReference w:id="38"/>
      </w:r>
      <w:r>
        <w:rPr>
          <w:rFonts w:ascii="Times New Roman" w:hAnsi="Times New Roman" w:cs="Times New Roman"/>
          <w:noProof/>
          <w:sz w:val="24"/>
          <w:szCs w:val="24"/>
        </w:rPr>
        <w:t>, Комисията призовава съзаконодателите да пристъпят към приемането на предложението. Приемането на това законодателно предложение е необходимо, за да може Eвродак да се превърне в част от бъдещата структура на оперативно съвместимите информационни системи на ЕС, включвайки по този начин основните данни на незаконно пребиваващи граждани на трети държави и на тези, които са влезли незаконно в ЕС.</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jc w:val="both"/>
        <w:rPr>
          <w:rFonts w:ascii="Times New Roman" w:hAnsi="Times New Roman" w:cs="Times New Roman"/>
          <w:b/>
          <w:noProof/>
          <w:sz w:val="24"/>
          <w:szCs w:val="24"/>
        </w:rPr>
      </w:pPr>
      <w:r>
        <w:rPr>
          <w:rFonts w:ascii="Times New Roman" w:hAnsi="Times New Roman" w:cs="Times New Roman"/>
          <w:b/>
          <w:noProof/>
          <w:sz w:val="24"/>
          <w:szCs w:val="24"/>
        </w:rPr>
        <w:t>С цел укрепване на информационните системи на ЕС за управление на сигурността, границите и миграцията Комисията призовава Европейския парламент и Съвета:</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hd w:val="clear" w:color="auto" w:fill="DBE5F1" w:themeFill="accent1" w:themeFillTint="33"/>
              <w:jc w:val="both"/>
              <w:rPr>
                <w:rFonts w:ascii="Times New Roman" w:hAnsi="Times New Roman" w:cs="Times New Roman"/>
                <w:noProof/>
                <w:sz w:val="24"/>
                <w:szCs w:val="24"/>
              </w:rPr>
            </w:pPr>
            <w:r>
              <w:rPr>
                <w:rFonts w:ascii="Times New Roman" w:hAnsi="Times New Roman" w:cs="Times New Roman"/>
                <w:noProof/>
                <w:sz w:val="24"/>
                <w:szCs w:val="24"/>
              </w:rPr>
              <w:t xml:space="preserve">да приемат законодателното предложение във връзка с </w:t>
            </w:r>
            <w:r>
              <w:rPr>
                <w:rFonts w:ascii="Times New Roman" w:hAnsi="Times New Roman" w:cs="Times New Roman"/>
                <w:b/>
                <w:noProof/>
                <w:sz w:val="24"/>
                <w:szCs w:val="24"/>
              </w:rPr>
              <w:t>Евродак</w:t>
            </w:r>
            <w:r>
              <w:rPr>
                <w:rFonts w:ascii="Times New Roman" w:hAnsi="Times New Roman" w:cs="Times New Roman"/>
                <w:noProof/>
                <w:sz w:val="24"/>
                <w:szCs w:val="24"/>
              </w:rPr>
              <w:t xml:space="preserve"> </w:t>
            </w:r>
            <w:r>
              <w:rPr>
                <w:rFonts w:ascii="Times New Roman" w:hAnsi="Times New Roman" w:cs="Times New Roman"/>
                <w:i/>
                <w:noProof/>
                <w:sz w:val="24"/>
                <w:szCs w:val="24"/>
              </w:rPr>
              <w:t>(приоритет в рамките на съвместната декларация)</w:t>
            </w:r>
            <w:r>
              <w:rPr>
                <w:rFonts w:ascii="Times New Roman" w:hAnsi="Times New Roman" w:cs="Times New Roman"/>
                <w:noProof/>
                <w:sz w:val="24"/>
                <w:szCs w:val="24"/>
              </w:rPr>
              <w:t>;</w:t>
            </w:r>
          </w:p>
          <w:p>
            <w:pPr>
              <w:pStyle w:val="ListParagraph"/>
              <w:numPr>
                <w:ilvl w:val="0"/>
                <w:numId w:val="20"/>
              </w:numPr>
              <w:shd w:val="clear" w:color="auto" w:fill="DBE5F1" w:themeFill="accent1" w:themeFillTint="33"/>
              <w:jc w:val="both"/>
              <w:rPr>
                <w:rFonts w:ascii="Times New Roman" w:hAnsi="Times New Roman" w:cs="Times New Roman"/>
                <w:noProof/>
                <w:sz w:val="24"/>
                <w:szCs w:val="24"/>
              </w:rPr>
            </w:pPr>
            <w:r>
              <w:rPr>
                <w:rFonts w:ascii="Times New Roman" w:hAnsi="Times New Roman" w:cs="Times New Roman"/>
                <w:noProof/>
                <w:sz w:val="24"/>
                <w:szCs w:val="24"/>
              </w:rPr>
              <w:t xml:space="preserve">да напреднат в работата с цел бързо постигане на съгласие по предложените технически изменения, необходими за създаването на </w:t>
            </w:r>
            <w:r>
              <w:rPr>
                <w:rFonts w:ascii="Times New Roman" w:hAnsi="Times New Roman" w:cs="Times New Roman"/>
                <w:b/>
                <w:noProof/>
                <w:sz w:val="24"/>
                <w:szCs w:val="24"/>
              </w:rPr>
              <w:t>Европейската система за информация за пътуванията и разрешаването им</w:t>
            </w:r>
            <w:r>
              <w:rPr>
                <w:rFonts w:ascii="Times New Roman" w:hAnsi="Times New Roman" w:cs="Times New Roman"/>
                <w:noProof/>
                <w:sz w:val="24"/>
                <w:szCs w:val="24"/>
              </w:rPr>
              <w:t>.</w:t>
            </w:r>
          </w:p>
        </w:tc>
      </w:tr>
    </w:tbl>
    <w:p>
      <w:pPr>
        <w:widowControl w:val="0"/>
        <w:spacing w:before="240" w:after="24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III.</w:t>
      </w:r>
      <w:r>
        <w:rPr>
          <w:rFonts w:ascii="Times New Roman" w:hAnsi="Times New Roman" w:cs="Times New Roman"/>
          <w:b/>
          <w:bCs/>
          <w:noProof/>
          <w:sz w:val="24"/>
          <w:szCs w:val="24"/>
        </w:rPr>
        <w:tab/>
        <w:t>ПОВИШАВАНЕ НА СИГУРНОСТТА НА ЦИФРОВИТЕ ИНФРАСТРУКТУРИ</w:t>
      </w:r>
    </w:p>
    <w:p>
      <w:pPr>
        <w:spacing w:after="240" w:line="240" w:lineRule="auto"/>
        <w:jc w:val="both"/>
        <w:rPr>
          <w:rFonts w:ascii="Times New Roman" w:hAnsi="Times New Roman" w:cs="Times New Roman"/>
          <w:noProof/>
          <w:sz w:val="24"/>
          <w:szCs w:val="24"/>
        </w:rPr>
      </w:pPr>
      <w:r>
        <w:rPr>
          <w:rStyle w:val="Emphasis"/>
          <w:rFonts w:ascii="Times New Roman" w:hAnsi="Times New Roman" w:cs="Times New Roman"/>
          <w:i w:val="0"/>
          <w:noProof/>
          <w:sz w:val="24"/>
          <w:szCs w:val="24"/>
        </w:rPr>
        <w:t xml:space="preserve">Устойчивостта на нашата цифрова инфраструктура има ключово значение за правителствата, бизнеса, сигурността на нашите лични данни и функционирането на демократичните ни институции. </w:t>
      </w:r>
      <w:r>
        <w:rPr>
          <w:rStyle w:val="Emphasis"/>
          <w:rFonts w:ascii="Times New Roman" w:hAnsi="Times New Roman" w:cs="Times New Roman"/>
          <w:b/>
          <w:i w:val="0"/>
          <w:noProof/>
          <w:sz w:val="24"/>
          <w:szCs w:val="24"/>
        </w:rPr>
        <w:t>Мрежите от пето поколение (5G)</w:t>
      </w:r>
      <w:r>
        <w:rPr>
          <w:rFonts w:ascii="Times New Roman" w:hAnsi="Times New Roman" w:cs="Times New Roman"/>
          <w:noProof/>
          <w:sz w:val="24"/>
          <w:szCs w:val="24"/>
        </w:rPr>
        <w:t>, които ще бъдат внедрени през следващите години, ще образуват цифровия гръбнак на нашите общества и икономики, като свързват милиарди граждани, предмети и системи, включително във важни сектори, като енергетика, транспорт, банково дело и здравеопазване, както и системи за промишлен контрол, пренасящи чувствителна информация и подпомагащи системите за безопасност.</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Очаква се, че през 2025 г. приходите в световен мащаб ще достигнат 225 милиарда евро и поради това 5G е ключов фактор за конкурентоспособността на Европа на световния пазар, а </w:t>
      </w:r>
      <w:r>
        <w:rPr>
          <w:rFonts w:ascii="Times New Roman" w:hAnsi="Times New Roman" w:cs="Times New Roman"/>
          <w:b/>
          <w:noProof/>
          <w:sz w:val="24"/>
          <w:szCs w:val="24"/>
        </w:rPr>
        <w:t>сигурността на 5G мрежите е от съществено значение за гарантиране на стратегическата автономност на Съюза</w:t>
      </w:r>
      <w:r>
        <w:rPr>
          <w:rFonts w:ascii="Times New Roman" w:hAnsi="Times New Roman" w:cs="Times New Roman"/>
          <w:noProof/>
          <w:sz w:val="24"/>
          <w:szCs w:val="24"/>
        </w:rPr>
        <w:t>. Гарантирането на високо равнище на киберсигурност изисква съгласувани мерки както на национално, така и на европейско равнище, тъй като всяко уязвимо място в 5G мрежите в една държава членка би се отразило на Съюза като цяло.</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 подкрепата на държавните и правителствените ръководители, изразена на Европейския съвет от март 2019 г.</w:t>
      </w:r>
      <w:r>
        <w:rPr>
          <w:rStyle w:val="FootnoteReference"/>
          <w:noProof/>
          <w:sz w:val="24"/>
          <w:szCs w:val="24"/>
        </w:rPr>
        <w:footnoteReference w:id="39"/>
      </w:r>
      <w:r>
        <w:rPr>
          <w:rFonts w:ascii="Times New Roman" w:hAnsi="Times New Roman" w:cs="Times New Roman"/>
          <w:noProof/>
          <w:sz w:val="24"/>
          <w:szCs w:val="24"/>
        </w:rPr>
        <w:t xml:space="preserve">, на 26 март 2019 г. Комисията представи </w:t>
      </w:r>
      <w:r>
        <w:rPr>
          <w:rFonts w:ascii="Times New Roman" w:hAnsi="Times New Roman" w:cs="Times New Roman"/>
          <w:b/>
          <w:noProof/>
          <w:sz w:val="24"/>
          <w:szCs w:val="24"/>
        </w:rPr>
        <w:t>Препоръка за киберсигурност на 5G мрежите</w:t>
      </w:r>
      <w:r>
        <w:rPr>
          <w:rStyle w:val="FootnoteReference"/>
          <w:noProof/>
          <w:sz w:val="24"/>
          <w:szCs w:val="24"/>
        </w:rPr>
        <w:footnoteReference w:id="40"/>
      </w:r>
      <w:r>
        <w:rPr>
          <w:rFonts w:ascii="Times New Roman" w:hAnsi="Times New Roman" w:cs="Times New Roman"/>
          <w:noProof/>
          <w:sz w:val="24"/>
          <w:szCs w:val="24"/>
        </w:rPr>
        <w:t>, в която се предвиждат мерки за оценка на рисковете за киберсигурността от 5G мрежите и за засилване на превантивните мерки. Препоръките се основават на съгласувани на равнище ЕС мерки за оценка на риска и за управление на риска, на ефективна рамка за сътрудничество и обмен на информация и на съвместна ситуационна осведоменост на ЕС, обхващаща комуникационните мрежи от критично значение.</w:t>
      </w:r>
    </w:p>
    <w:p>
      <w:pPr>
        <w:spacing w:after="0" w:line="240" w:lineRule="auto"/>
        <w:jc w:val="both"/>
        <w:rPr>
          <w:rFonts w:ascii="Times New Roman" w:hAnsi="Times New Roman" w:cs="Times New Roman"/>
          <w:bCs/>
          <w:noProof/>
          <w:sz w:val="24"/>
          <w:szCs w:val="24"/>
        </w:rPr>
      </w:pPr>
      <w:r>
        <w:rPr>
          <w:rFonts w:ascii="Times New Roman" w:hAnsi="Times New Roman" w:cs="Times New Roman"/>
          <w:noProof/>
          <w:sz w:val="24"/>
          <w:szCs w:val="24"/>
        </w:rPr>
        <w:t xml:space="preserve">Като </w:t>
      </w:r>
      <w:r>
        <w:rPr>
          <w:rFonts w:ascii="Times New Roman" w:hAnsi="Times New Roman" w:cs="Times New Roman"/>
          <w:b/>
          <w:noProof/>
          <w:sz w:val="24"/>
          <w:szCs w:val="24"/>
        </w:rPr>
        <w:t>първи етап</w:t>
      </w:r>
      <w:r>
        <w:rPr>
          <w:rFonts w:ascii="Times New Roman" w:hAnsi="Times New Roman" w:cs="Times New Roman"/>
          <w:noProof/>
          <w:sz w:val="24"/>
          <w:szCs w:val="24"/>
        </w:rPr>
        <w:t xml:space="preserve"> от започналия с Препоръката процес, до 15 юли 2019 г. всички държави членки са приключили своята </w:t>
      </w:r>
      <w:r>
        <w:rPr>
          <w:rFonts w:ascii="Times New Roman" w:hAnsi="Times New Roman" w:cs="Times New Roman"/>
          <w:b/>
          <w:noProof/>
          <w:sz w:val="24"/>
          <w:szCs w:val="24"/>
        </w:rPr>
        <w:t>национална оценка на риска</w:t>
      </w:r>
      <w:r>
        <w:rPr>
          <w:rFonts w:ascii="Times New Roman" w:hAnsi="Times New Roman" w:cs="Times New Roman"/>
          <w:noProof/>
          <w:sz w:val="24"/>
          <w:szCs w:val="24"/>
        </w:rPr>
        <w:t xml:space="preserve"> и са предали констатациите си на Комисията и на Агенцията на ЕС за киберсигурност или са обявили, че скоро ще направят това. Националните оценки на риска следваха набор от насоки и общ образец за докладване на констатациите, изготвен по споразумение между държавите членки и Комисията, с цел да се насърчи съгласуваността и да се улесни обменът на информация относно националните резултати на равнище ЕС. </w:t>
      </w:r>
      <w:r>
        <w:rPr>
          <w:rFonts w:ascii="Times New Roman" w:hAnsi="Times New Roman" w:cs="Times New Roman"/>
          <w:bCs/>
          <w:noProof/>
          <w:sz w:val="24"/>
          <w:szCs w:val="24"/>
        </w:rPr>
        <w:t>Параметрите, оценени във всички държави членки, включваха:</w:t>
      </w:r>
    </w:p>
    <w:p>
      <w:pPr>
        <w:spacing w:after="0" w:line="240" w:lineRule="auto"/>
        <w:jc w:val="both"/>
        <w:rPr>
          <w:rFonts w:ascii="Times New Roman" w:hAnsi="Times New Roman" w:cs="Times New Roman"/>
          <w:noProof/>
          <w:sz w:val="24"/>
          <w:szCs w:val="24"/>
        </w:rPr>
      </w:pPr>
    </w:p>
    <w:p>
      <w:pPr>
        <w:pStyle w:val="ListParagraph"/>
        <w:numPr>
          <w:ilvl w:val="0"/>
          <w:numId w:val="3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основните заплахи и злонамерени субекти</w:t>
      </w:r>
      <w:r>
        <w:rPr>
          <w:rFonts w:ascii="Times New Roman" w:hAnsi="Times New Roman" w:cs="Times New Roman"/>
          <w:noProof/>
          <w:sz w:val="24"/>
          <w:szCs w:val="24"/>
        </w:rPr>
        <w:t>, влияещи върху 5G мрежите;</w:t>
      </w:r>
    </w:p>
    <w:p>
      <w:pPr>
        <w:pStyle w:val="ListParagraph"/>
        <w:numPr>
          <w:ilvl w:val="0"/>
          <w:numId w:val="35"/>
        </w:numPr>
        <w:spacing w:after="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степента на чувствителност на </w:t>
      </w:r>
      <w:r>
        <w:rPr>
          <w:rFonts w:ascii="Times New Roman" w:hAnsi="Times New Roman" w:cs="Times New Roman"/>
          <w:bCs/>
          <w:noProof/>
          <w:sz w:val="24"/>
          <w:szCs w:val="24"/>
        </w:rPr>
        <w:t>компонентите и функциите на 5G мрежите, както и на други активи; и</w:t>
      </w:r>
    </w:p>
    <w:p>
      <w:pPr>
        <w:pStyle w:val="ListParagraph"/>
        <w:numPr>
          <w:ilvl w:val="0"/>
          <w:numId w:val="35"/>
        </w:numPr>
        <w:spacing w:after="240" w:line="240" w:lineRule="auto"/>
        <w:contextualSpacing w:val="0"/>
        <w:jc w:val="both"/>
        <w:rPr>
          <w:rFonts w:ascii="Times New Roman" w:hAnsi="Times New Roman" w:cs="Times New Roman"/>
          <w:noProof/>
          <w:sz w:val="24"/>
          <w:szCs w:val="24"/>
        </w:rPr>
      </w:pPr>
      <w:r>
        <w:rPr>
          <w:rFonts w:ascii="Times New Roman" w:hAnsi="Times New Roman" w:cs="Times New Roman"/>
          <w:bCs/>
          <w:noProof/>
          <w:sz w:val="24"/>
          <w:szCs w:val="24"/>
        </w:rPr>
        <w:t>различните видове</w:t>
      </w:r>
      <w:r>
        <w:rPr>
          <w:rFonts w:ascii="Times New Roman" w:hAnsi="Times New Roman" w:cs="Times New Roman"/>
          <w:noProof/>
          <w:sz w:val="24"/>
          <w:szCs w:val="24"/>
        </w:rPr>
        <w:t xml:space="preserve"> </w:t>
      </w:r>
      <w:r>
        <w:rPr>
          <w:rFonts w:ascii="Times New Roman" w:hAnsi="Times New Roman" w:cs="Times New Roman"/>
          <w:bCs/>
          <w:noProof/>
          <w:sz w:val="24"/>
          <w:szCs w:val="24"/>
        </w:rPr>
        <w:t>уязвими места</w:t>
      </w:r>
      <w:r>
        <w:rPr>
          <w:rFonts w:ascii="Times New Roman" w:hAnsi="Times New Roman" w:cs="Times New Roman"/>
          <w:noProof/>
          <w:sz w:val="24"/>
          <w:szCs w:val="24"/>
        </w:rPr>
        <w:t> — както от техническо, така и от друго естество, като например тези, които биха могли да възникнат от веригата на доставки на 5G мрежите.</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в работата по </w:t>
      </w:r>
      <w:r>
        <w:rPr>
          <w:rFonts w:ascii="Times New Roman" w:hAnsi="Times New Roman" w:cs="Times New Roman"/>
          <w:bCs/>
          <w:noProof/>
          <w:sz w:val="24"/>
          <w:szCs w:val="24"/>
        </w:rPr>
        <w:t>националните оценки на риска участваха редица отговорни субекти в държавите членки, сред които, в зависимост от националните компетентности, органи от областта на киберсигурността</w:t>
      </w:r>
      <w:r>
        <w:rPr>
          <w:rFonts w:ascii="Times New Roman" w:hAnsi="Times New Roman" w:cs="Times New Roman"/>
          <w:noProof/>
          <w:sz w:val="24"/>
          <w:szCs w:val="24"/>
        </w:rPr>
        <w:t xml:space="preserve"> и телекомуникациите и службите за сигурност и разузнаване</w:t>
      </w:r>
      <w:r>
        <w:rPr>
          <w:rFonts w:ascii="Times New Roman" w:hAnsi="Times New Roman" w:cs="Times New Roman"/>
          <w:bCs/>
          <w:iCs/>
          <w:noProof/>
          <w:sz w:val="24"/>
          <w:szCs w:val="24"/>
        </w:rPr>
        <w:t>, в резултат на което укрепна тяхното сътрудничество и координиране</w:t>
      </w:r>
      <w:r>
        <w:rPr>
          <w:rFonts w:ascii="Times New Roman" w:hAnsi="Times New Roman" w:cs="Times New Roman"/>
          <w:bCs/>
          <w:noProof/>
          <w:sz w:val="24"/>
          <w:szCs w:val="24"/>
        </w:rPr>
        <w:t>.</w:t>
      </w:r>
      <w:r>
        <w:rPr>
          <w:rFonts w:ascii="Times New Roman" w:hAnsi="Times New Roman" w:cs="Times New Roman"/>
          <w:noProof/>
          <w:sz w:val="24"/>
          <w:szCs w:val="24"/>
        </w:rPr>
        <w:t xml:space="preserve"> Успоредно с това и с оглед на националните им графици за разгръщане на 5G, редица държави членки вече предприеха стъпки за засилване на приложимите изисквания за сигурност в тази област, а няколко други заявиха намерението си да обмислят въвеждането на нови мерки в близко бъдеще.</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Въз основа на резултатите от </w:t>
      </w:r>
      <w:r>
        <w:rPr>
          <w:rFonts w:ascii="Times New Roman" w:hAnsi="Times New Roman" w:cs="Times New Roman"/>
          <w:bCs/>
          <w:iCs/>
          <w:noProof/>
          <w:sz w:val="24"/>
          <w:szCs w:val="24"/>
        </w:rPr>
        <w:t>националната оценка на риска</w:t>
      </w:r>
      <w:r>
        <w:rPr>
          <w:rFonts w:ascii="Times New Roman" w:hAnsi="Times New Roman" w:cs="Times New Roman"/>
          <w:noProof/>
          <w:sz w:val="24"/>
          <w:szCs w:val="24"/>
        </w:rPr>
        <w:t xml:space="preserve"> органите в областта на киберсигурността на държавите членки в рамките на Групата за сътрудничество в областта на мрежовата и информационната сигурност</w:t>
      </w:r>
      <w:r>
        <w:rPr>
          <w:rStyle w:val="FootnoteReference"/>
          <w:noProof/>
          <w:sz w:val="24"/>
          <w:szCs w:val="24"/>
        </w:rPr>
        <w:footnoteReference w:id="41"/>
      </w:r>
      <w:r>
        <w:rPr>
          <w:rFonts w:ascii="Times New Roman" w:hAnsi="Times New Roman" w:cs="Times New Roman"/>
          <w:noProof/>
          <w:sz w:val="24"/>
          <w:szCs w:val="24"/>
        </w:rPr>
        <w:t xml:space="preserve"> ще направят до 1 октомври 2019 г. </w:t>
      </w:r>
      <w:r>
        <w:rPr>
          <w:rFonts w:ascii="Times New Roman" w:hAnsi="Times New Roman" w:cs="Times New Roman"/>
          <w:b/>
          <w:noProof/>
          <w:sz w:val="24"/>
          <w:szCs w:val="24"/>
        </w:rPr>
        <w:t>съвместен преглед на риска на равнището на ЕС</w:t>
      </w:r>
      <w:r>
        <w:rPr>
          <w:rFonts w:ascii="Times New Roman" w:hAnsi="Times New Roman" w:cs="Times New Roman"/>
          <w:noProof/>
          <w:sz w:val="24"/>
          <w:szCs w:val="24"/>
        </w:rPr>
        <w:t xml:space="preserve">, което ще представлява втория етап от започналия с Препоръката процес. Като се основава на това, на третия етап, до 31 декември 2019 г. Групата за сътрудничество ще изготви </w:t>
      </w:r>
      <w:r>
        <w:rPr>
          <w:rFonts w:ascii="Times New Roman" w:hAnsi="Times New Roman" w:cs="Times New Roman"/>
          <w:b/>
          <w:noProof/>
          <w:sz w:val="24"/>
          <w:szCs w:val="24"/>
        </w:rPr>
        <w:t>общ инструментариум на Съюза от мерки за намаляване на рисковете</w:t>
      </w:r>
      <w:r>
        <w:rPr>
          <w:rFonts w:ascii="Times New Roman" w:hAnsi="Times New Roman" w:cs="Times New Roman"/>
          <w:noProof/>
          <w:sz w:val="24"/>
          <w:szCs w:val="24"/>
        </w:rPr>
        <w:t xml:space="preserve"> с цел справяне с установените рискове. Комисията и Агенцията на ЕС за киберсигурност ще продължат да подкрепят прилагането на Препоръката.</w:t>
      </w:r>
    </w:p>
    <w:p>
      <w:pPr>
        <w:spacing w:after="240" w:line="240" w:lineRule="auto"/>
        <w:jc w:val="both"/>
        <w:rPr>
          <w:rFonts w:ascii="Times New Roman" w:eastAsia="Calibri" w:hAnsi="Times New Roman" w:cs="Times New Roman"/>
          <w:bCs/>
          <w:noProof/>
          <w:sz w:val="24"/>
          <w:szCs w:val="24"/>
        </w:rPr>
      </w:pPr>
      <w:r>
        <w:rPr>
          <w:rFonts w:ascii="Times New Roman" w:hAnsi="Times New Roman" w:cs="Times New Roman"/>
          <w:noProof/>
          <w:sz w:val="24"/>
          <w:szCs w:val="24"/>
        </w:rPr>
        <w:t>Работата в рамките на Групата за сътрудничество в областта на мрежовата и информационната сигурност се подпомага от няколко други форума. Органът на европейските регулатори в областта на електронните съобщения подготвя проучване на всички съществуващи мерки за сигурност, които биха могли да са от значение за 5G. Нова специализирана експертна група в Агенцията на ЕС за киберсигурност започна работа по прегледа на положението по отношение на 5G заплахите</w:t>
      </w:r>
      <w:r>
        <w:rPr>
          <w:rFonts w:ascii="Times New Roman" w:hAnsi="Times New Roman" w:cs="Times New Roman"/>
          <w:bCs/>
          <w:noProof/>
          <w:sz w:val="24"/>
          <w:szCs w:val="24"/>
        </w:rPr>
        <w:t>. Освен това, след влизането в сила на 27 юни 2019 г. на Акта за киберсигурността Комисията и</w:t>
      </w:r>
      <w:r>
        <w:rPr>
          <w:rFonts w:ascii="Times New Roman" w:hAnsi="Times New Roman" w:cs="Times New Roman"/>
          <w:noProof/>
          <w:sz w:val="24"/>
          <w:szCs w:val="24"/>
        </w:rPr>
        <w:t xml:space="preserve"> Агенцията на ЕС за киберсигурност</w:t>
      </w:r>
      <w:r>
        <w:rPr>
          <w:rFonts w:ascii="Times New Roman" w:hAnsi="Times New Roman" w:cs="Times New Roman"/>
          <w:bCs/>
          <w:noProof/>
          <w:sz w:val="24"/>
          <w:szCs w:val="24"/>
        </w:rPr>
        <w:t xml:space="preserve"> ще предприемат всички необходими стъпки за създаването на общосъюзна рамка за сертифициране. </w:t>
      </w:r>
      <w:r>
        <w:rPr>
          <w:rFonts w:ascii="Times New Roman" w:hAnsi="Times New Roman" w:cs="Times New Roman"/>
          <w:noProof/>
          <w:sz w:val="24"/>
          <w:szCs w:val="24"/>
        </w:rPr>
        <w:t xml:space="preserve">Държавите членки се срещнаха също така в рамките на Комитета по стандартизация </w:t>
      </w:r>
      <w:r>
        <w:rPr>
          <w:rFonts w:ascii="Times New Roman" w:hAnsi="Times New Roman" w:cs="Times New Roman"/>
          <w:bCs/>
          <w:noProof/>
          <w:sz w:val="24"/>
          <w:szCs w:val="24"/>
        </w:rPr>
        <w:t>през юни 2019 г., за да обсъдят киберсигурността и стандартизацията в отговор на Препоръката, която ги приканва да проучат бъдещите предизвикателства пред стандартизацията в областта на киберсигурността, включително на 5G мрежите, и да предприемат подходящи инициативи във връзка с политиката на равнище ЕС.</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noProof/>
          <w:sz w:val="24"/>
          <w:szCs w:val="24"/>
        </w:rPr>
        <w:t>Накрая, сигурността на 5G мрежите е от стратегическо значение за Съюза. Чуждестранните инвестиции в стратегически сектори, придобиването на критични активи, технологии и инфраструктура в Съюза и доставката на оборудване от критично значение също могат да представляват риск за сигурността на Съюза.</w:t>
      </w:r>
    </w:p>
    <w:p>
      <w:pPr>
        <w:spacing w:after="240" w:line="240" w:lineRule="auto"/>
        <w:jc w:val="both"/>
        <w:rPr>
          <w:rFonts w:ascii="Times New Roman" w:hAnsi="Times New Roman" w:cs="Times New Roman"/>
          <w:noProof/>
          <w:color w:val="000000"/>
          <w:sz w:val="24"/>
          <w:szCs w:val="24"/>
        </w:rPr>
      </w:pPr>
      <w:r>
        <w:rPr>
          <w:rFonts w:ascii="Times New Roman" w:hAnsi="Times New Roman" w:cs="Times New Roman"/>
          <w:bCs/>
          <w:noProof/>
          <w:sz w:val="24"/>
          <w:szCs w:val="24"/>
        </w:rPr>
        <w:t xml:space="preserve">Новата </w:t>
      </w:r>
      <w:r>
        <w:rPr>
          <w:rFonts w:ascii="Times New Roman" w:hAnsi="Times New Roman" w:cs="Times New Roman"/>
          <w:b/>
          <w:bCs/>
          <w:noProof/>
          <w:sz w:val="24"/>
          <w:szCs w:val="24"/>
        </w:rPr>
        <w:t>рамка на ЕС за скрининг на преките чуждестранни инвестиции</w:t>
      </w:r>
      <w:r>
        <w:rPr>
          <w:rStyle w:val="FootnoteReference"/>
          <w:bCs/>
          <w:noProof/>
          <w:sz w:val="24"/>
          <w:szCs w:val="24"/>
        </w:rPr>
        <w:footnoteReference w:id="42"/>
      </w:r>
      <w:r>
        <w:rPr>
          <w:rFonts w:ascii="Times New Roman" w:hAnsi="Times New Roman" w:cs="Times New Roman"/>
          <w:bCs/>
          <w:noProof/>
          <w:sz w:val="24"/>
          <w:szCs w:val="24"/>
        </w:rPr>
        <w:t xml:space="preserve"> влезе в сила на 10 април 2019 г. През следващите 18 месеца Комисията и държавите членки ще предприемат необходимите стъпки, за да се гарантира, че от 11 октомври 2020 г. ЕС може в пълна степен да прилага Регламента</w:t>
      </w:r>
      <w:r>
        <w:rPr>
          <w:rFonts w:ascii="Times New Roman" w:hAnsi="Times New Roman" w:cs="Times New Roman"/>
          <w:noProof/>
          <w:sz w:val="24"/>
          <w:szCs w:val="24"/>
        </w:rPr>
        <w:t xml:space="preserve"> за скрининг на инвестициите</w:t>
      </w:r>
      <w:r>
        <w:rPr>
          <w:rFonts w:ascii="Times New Roman" w:hAnsi="Times New Roman" w:cs="Times New Roman"/>
          <w:bCs/>
          <w:noProof/>
          <w:sz w:val="24"/>
          <w:szCs w:val="24"/>
        </w:rPr>
        <w:t>.</w:t>
      </w:r>
    </w:p>
    <w:p>
      <w:pPr>
        <w:spacing w:after="240" w:line="240" w:lineRule="auto"/>
        <w:rPr>
          <w:rFonts w:ascii="Times New Roman" w:hAnsi="Times New Roman" w:cs="Times New Roman"/>
          <w:b/>
          <w:bCs/>
          <w:noProof/>
          <w:sz w:val="24"/>
          <w:szCs w:val="24"/>
        </w:rPr>
      </w:pPr>
      <w:r>
        <w:rPr>
          <w:rFonts w:ascii="Times New Roman" w:hAnsi="Times New Roman" w:cs="Times New Roman"/>
          <w:b/>
          <w:bCs/>
          <w:noProof/>
          <w:sz w:val="24"/>
          <w:szCs w:val="24"/>
        </w:rPr>
        <w:t>IV.</w:t>
      </w:r>
      <w:r>
        <w:rPr>
          <w:rFonts w:ascii="Times New Roman" w:hAnsi="Times New Roman" w:cs="Times New Roman"/>
          <w:b/>
          <w:bCs/>
          <w:noProof/>
          <w:sz w:val="24"/>
          <w:szCs w:val="24"/>
        </w:rPr>
        <w:tab/>
        <w:t>БОРБА С ИЗПИРАНЕТО НА ПАРИ</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noProof/>
          <w:sz w:val="24"/>
          <w:szCs w:val="24"/>
        </w:rPr>
        <w:t xml:space="preserve">Способността на престъпниците и терористите да прехвърлят средства между банкови сметки в рамките на няколко часа им позволява по-лесно да подготвят своите терористични действия или незаконно да изпират приходите от престъпна дейност в различните държави членки. </w:t>
      </w:r>
      <w:r>
        <w:rPr>
          <w:rFonts w:ascii="Times New Roman" w:hAnsi="Times New Roman" w:cs="Times New Roman"/>
          <w:iCs/>
          <w:noProof/>
          <w:sz w:val="24"/>
          <w:szCs w:val="24"/>
        </w:rPr>
        <w:t xml:space="preserve">За да се справи с това предизвикателство, Съюзът разработи солидна </w:t>
      </w:r>
      <w:r>
        <w:rPr>
          <w:rFonts w:ascii="Times New Roman" w:hAnsi="Times New Roman" w:cs="Times New Roman"/>
          <w:b/>
          <w:iCs/>
          <w:noProof/>
          <w:sz w:val="24"/>
          <w:szCs w:val="24"/>
        </w:rPr>
        <w:t>регулаторна уредба за борба с изпирането на пари и финансирането на тероризма</w:t>
      </w:r>
      <w:r>
        <w:rPr>
          <w:rFonts w:ascii="Times New Roman" w:hAnsi="Times New Roman" w:cs="Times New Roman"/>
          <w:iCs/>
          <w:noProof/>
          <w:sz w:val="24"/>
          <w:szCs w:val="24"/>
        </w:rPr>
        <w:t xml:space="preserve"> в съответствие с международните стандарти, приети от Специалната група за финансови действия.</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Като се има предвид необходимостта да се върви в крак с променящите се тенденции, технологичното развитие и находчивостта на престъпниците в адаптирането на техните методи, за да се възползват от всякакви пропуски или слабости в системата, на 24 юли 2019 г. Комисията прие </w:t>
      </w:r>
      <w:r>
        <w:rPr>
          <w:rFonts w:ascii="Times New Roman" w:hAnsi="Times New Roman" w:cs="Times New Roman"/>
          <w:b/>
          <w:iCs/>
          <w:noProof/>
          <w:sz w:val="24"/>
          <w:szCs w:val="24"/>
        </w:rPr>
        <w:t>пакет от четири доклада</w:t>
      </w:r>
      <w:r>
        <w:rPr>
          <w:rFonts w:ascii="Times New Roman" w:hAnsi="Times New Roman" w:cs="Times New Roman"/>
          <w:iCs/>
          <w:noProof/>
          <w:sz w:val="24"/>
          <w:szCs w:val="24"/>
        </w:rPr>
        <w:t>, в които се анализират настоящите рискове и уязвими места, свързани с изпирането на пари, и се оценява начинът, по който уредбата се прилага от съответните участници в частния и в публичния сектор</w:t>
      </w:r>
      <w:r>
        <w:rPr>
          <w:rStyle w:val="FootnoteReference"/>
          <w:iCs/>
          <w:noProof/>
          <w:sz w:val="24"/>
          <w:szCs w:val="24"/>
        </w:rPr>
        <w:footnoteReference w:id="43"/>
      </w:r>
      <w:r>
        <w:rPr>
          <w:rFonts w:ascii="Times New Roman" w:hAnsi="Times New Roman" w:cs="Times New Roman"/>
          <w:iCs/>
          <w:noProof/>
          <w:sz w:val="24"/>
          <w:szCs w:val="24"/>
        </w:rPr>
        <w:t>.</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Пакетът включва </w:t>
      </w:r>
      <w:r>
        <w:rPr>
          <w:rFonts w:ascii="Times New Roman" w:hAnsi="Times New Roman" w:cs="Times New Roman"/>
          <w:b/>
          <w:iCs/>
          <w:noProof/>
          <w:sz w:val="24"/>
          <w:szCs w:val="24"/>
        </w:rPr>
        <w:t>оценка на възможното свързване на централизираните национални регистри на банковите сметки</w:t>
      </w:r>
      <w:r>
        <w:rPr>
          <w:rFonts w:ascii="Times New Roman" w:hAnsi="Times New Roman" w:cs="Times New Roman"/>
          <w:iCs/>
          <w:noProof/>
          <w:sz w:val="24"/>
          <w:szCs w:val="24"/>
        </w:rPr>
        <w:t xml:space="preserve"> </w:t>
      </w:r>
      <w:r>
        <w:rPr>
          <w:rFonts w:ascii="Times New Roman" w:hAnsi="Times New Roman" w:cs="Times New Roman"/>
          <w:b/>
          <w:iCs/>
          <w:noProof/>
          <w:sz w:val="24"/>
          <w:szCs w:val="24"/>
        </w:rPr>
        <w:t>и системите за извличане на данни</w:t>
      </w:r>
      <w:r>
        <w:rPr>
          <w:rFonts w:ascii="Times New Roman" w:hAnsi="Times New Roman" w:cs="Times New Roman"/>
          <w:iCs/>
          <w:noProof/>
          <w:sz w:val="24"/>
          <w:szCs w:val="24"/>
        </w:rPr>
        <w:t xml:space="preserve"> в ЕС. </w:t>
      </w:r>
      <w:r>
        <w:rPr>
          <w:rFonts w:ascii="Times New Roman" w:hAnsi="Times New Roman" w:cs="Times New Roman"/>
          <w:noProof/>
          <w:sz w:val="24"/>
          <w:szCs w:val="24"/>
        </w:rPr>
        <w:t xml:space="preserve">Тези национални централизирани системи позволяват идентифицирането на всяко физическо или юридическо лице, което притежава или контролира платежни сметки, банкови сметки и сейфове — информация, която често е от решаващо значение за компетентните органи в борбата с изпирането на пари и финансирането на тероризма. </w:t>
      </w:r>
      <w:r>
        <w:rPr>
          <w:rFonts w:ascii="Times New Roman" w:hAnsi="Times New Roman" w:cs="Times New Roman"/>
          <w:iCs/>
          <w:noProof/>
          <w:sz w:val="24"/>
          <w:szCs w:val="24"/>
        </w:rPr>
        <w:t>В съответствие с Петата директива относно борбата с изпирането на пари</w:t>
      </w:r>
      <w:r>
        <w:rPr>
          <w:rStyle w:val="FootnoteReference"/>
          <w:iCs/>
          <w:noProof/>
          <w:sz w:val="24"/>
          <w:szCs w:val="24"/>
        </w:rPr>
        <w:footnoteReference w:id="44"/>
      </w:r>
      <w:r>
        <w:rPr>
          <w:rFonts w:ascii="Times New Roman" w:hAnsi="Times New Roman" w:cs="Times New Roman"/>
          <w:iCs/>
          <w:noProof/>
          <w:sz w:val="24"/>
          <w:szCs w:val="24"/>
        </w:rPr>
        <w:t xml:space="preserve"> от държавите членки се изисква да създадат такива национални централизирани системи и да предоставят на своите звена за финансово разузнаване пряк достъп. Съгласно приетите неотдавна правила за улесняване на използването на финансова информация за борба с тежката престъпност</w:t>
      </w:r>
      <w:r>
        <w:rPr>
          <w:rStyle w:val="FootnoteReference"/>
          <w:iCs/>
          <w:noProof/>
          <w:sz w:val="24"/>
          <w:szCs w:val="24"/>
        </w:rPr>
        <w:footnoteReference w:id="45"/>
      </w:r>
      <w:r>
        <w:rPr>
          <w:rFonts w:ascii="Times New Roman" w:hAnsi="Times New Roman" w:cs="Times New Roman"/>
          <w:iCs/>
          <w:noProof/>
          <w:sz w:val="24"/>
          <w:szCs w:val="24"/>
        </w:rPr>
        <w:t xml:space="preserve"> на определени правоприлагащи органи и служби за възстановяване на активи се предоставя пряк достъп до съответните национални централизирани регистри на банковите сметки. На тази основа, и както се изисква съгласно Директивата относно борбата с изпирането на пари, в доклада се прави оценка на различни решения на равнището на ЕС в областта на информационните технологии, които вече се прилагат или които са в процес на разработване, които биха могли да послужат като модел за възможно свързване на националните централизирани системи. </w:t>
      </w:r>
      <w:r>
        <w:rPr>
          <w:rFonts w:ascii="Times New Roman" w:hAnsi="Times New Roman" w:cs="Times New Roman"/>
          <w:noProof/>
          <w:sz w:val="24"/>
          <w:szCs w:val="24"/>
        </w:rPr>
        <w:t>Като се има предвид, че бъдещото свързване на централизираните механизми в целия ЕС ще ускори достъпа до финансова информация и ще улесни трансграничното сътрудничество на компетентните органи, Комисията възнамерява да продължи да провежда консултации със заинтересованите страни, правителствата, както и със звената за финансово разузнаване, правоприлагащите органи и службите за възстановяване на активи като потенциални „крайни ползватели“ на възможната система за свързване.</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Като част от прегледа на Комисията на работата на звената за финансово разузнаване, в доклада за оценка на </w:t>
      </w:r>
      <w:r>
        <w:rPr>
          <w:rFonts w:ascii="Times New Roman" w:hAnsi="Times New Roman" w:cs="Times New Roman"/>
          <w:b/>
          <w:iCs/>
          <w:noProof/>
          <w:sz w:val="24"/>
          <w:szCs w:val="24"/>
        </w:rPr>
        <w:t>сътрудничеството между звената за финансово разузнаване</w:t>
      </w:r>
      <w:r>
        <w:rPr>
          <w:rFonts w:ascii="Times New Roman" w:hAnsi="Times New Roman" w:cs="Times New Roman"/>
          <w:iCs/>
          <w:noProof/>
          <w:sz w:val="24"/>
          <w:szCs w:val="24"/>
        </w:rPr>
        <w:t xml:space="preserve"> се разглежда сътрудничеството както в рамките на Съюза, така и с трети държави</w:t>
      </w:r>
      <w:r>
        <w:rPr>
          <w:rStyle w:val="FootnoteReference"/>
          <w:iCs/>
          <w:noProof/>
          <w:sz w:val="24"/>
          <w:szCs w:val="24"/>
        </w:rPr>
        <w:footnoteReference w:id="46"/>
      </w:r>
      <w:r>
        <w:rPr>
          <w:rFonts w:ascii="Times New Roman" w:hAnsi="Times New Roman" w:cs="Times New Roman"/>
          <w:iCs/>
          <w:noProof/>
          <w:sz w:val="24"/>
          <w:szCs w:val="24"/>
        </w:rPr>
        <w:t>. В него се посочват някои недостатъци, които е вероятно да продължат да съществуват, докато задачите и задълженията за трансгранично сътрудничество на звената за финансово разузнаване не бъдат по-ясно формулирани в правната уредба на ЕС за борба с изпирането на пари и финансирането на тероризма. Оценката показва също необходимостта от по-силен механизъм за координиране и подкрепа на трансграничното сътрудничество и анализа.</w:t>
      </w:r>
    </w:p>
    <w:p>
      <w:pPr>
        <w:widowControl w:val="0"/>
        <w:spacing w:after="24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Извън текущата работа в посока на борба с изпирането на пари и финансирането на тероризма, и в отговор на призива на Европейския парламент</w:t>
      </w:r>
      <w:r>
        <w:rPr>
          <w:rStyle w:val="FootnoteReference"/>
          <w:noProof/>
          <w:sz w:val="24"/>
          <w:szCs w:val="24"/>
        </w:rPr>
        <w:footnoteReference w:id="47"/>
      </w:r>
      <w:r>
        <w:rPr>
          <w:rFonts w:ascii="Times New Roman" w:hAnsi="Times New Roman" w:cs="Times New Roman"/>
          <w:noProof/>
          <w:sz w:val="24"/>
          <w:szCs w:val="24"/>
        </w:rPr>
        <w:t>, Комисията ще продължи да оценява необходимостта, техническата осъществимост и пропорционалността на допълнителни мерки за проследяване на финансирането на тероризма в ЕС</w:t>
      </w:r>
      <w:r>
        <w:rPr>
          <w:rStyle w:val="FootnoteReference"/>
          <w:noProof/>
          <w:sz w:val="24"/>
          <w:szCs w:val="24"/>
        </w:rPr>
        <w:footnoteReference w:id="48"/>
      </w:r>
      <w:r>
        <w:rPr>
          <w:rFonts w:ascii="Times New Roman" w:hAnsi="Times New Roman" w:cs="Times New Roman"/>
          <w:noProof/>
          <w:sz w:val="24"/>
          <w:szCs w:val="24"/>
        </w:rPr>
        <w:t>.</w:t>
      </w:r>
    </w:p>
    <w:p>
      <w:pPr>
        <w:spacing w:after="240" w:line="240" w:lineRule="auto"/>
        <w:rPr>
          <w:rFonts w:ascii="Times New Roman" w:hAnsi="Times New Roman" w:cs="Times New Roman"/>
          <w:noProof/>
          <w:sz w:val="24"/>
          <w:szCs w:val="24"/>
        </w:rPr>
      </w:pPr>
      <w:r>
        <w:rPr>
          <w:rFonts w:ascii="Times New Roman" w:hAnsi="Times New Roman" w:cs="Times New Roman"/>
          <w:b/>
          <w:bCs/>
          <w:noProof/>
          <w:sz w:val="24"/>
          <w:szCs w:val="24"/>
        </w:rPr>
        <w:t>V. ИЗПЪЛНЕНИЕ НА ДРУГИ ПРИОРИТЕТНИ ДОСИЕТА ПО ВЪПРОСИТЕ НА СИГУРНОСТТА</w:t>
      </w:r>
    </w:p>
    <w:p>
      <w:pPr>
        <w:widowControl w:val="0"/>
        <w:spacing w:after="240" w:line="240" w:lineRule="auto"/>
        <w:jc w:val="both"/>
        <w:rPr>
          <w:rFonts w:ascii="Times New Roman" w:eastAsia="Calibri" w:hAnsi="Times New Roman" w:cs="Times New Roman"/>
          <w:i/>
          <w:iCs/>
          <w:noProof/>
          <w:sz w:val="24"/>
          <w:szCs w:val="24"/>
        </w:rPr>
      </w:pPr>
      <w:r>
        <w:rPr>
          <w:rFonts w:ascii="Times New Roman" w:hAnsi="Times New Roman" w:cs="Times New Roman"/>
          <w:i/>
          <w:iCs/>
          <w:noProof/>
          <w:sz w:val="24"/>
          <w:szCs w:val="24"/>
        </w:rPr>
        <w:t>1.</w:t>
      </w:r>
      <w:r>
        <w:rPr>
          <w:rFonts w:ascii="Times New Roman" w:eastAsia="Calibri" w:hAnsi="Times New Roman" w:cs="Times New Roman"/>
          <w:i/>
          <w:iCs/>
          <w:noProof/>
          <w:sz w:val="24"/>
          <w:szCs w:val="24"/>
        </w:rPr>
        <w:t xml:space="preserve">      </w:t>
      </w:r>
      <w:r>
        <w:rPr>
          <w:rFonts w:ascii="Times New Roman" w:hAnsi="Times New Roman" w:cs="Times New Roman"/>
          <w:i/>
          <w:iCs/>
          <w:noProof/>
          <w:sz w:val="24"/>
          <w:szCs w:val="24"/>
        </w:rPr>
        <w:t>Изпълнение на законодателни мерки в рамките на Съюза на сигурност</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Постигането на съгласие относно мерки в рамките на Съюза на сигурност не е краят на процеса — от ключово значение е впоследствие да се гарантира тяхното бързо и пълно изпълнение от държавите членки, така че могат да бъдат реализирани всички ползи. За тази цел Комисията подкрепя активно държавите членки, включително чрез предоставяне на финансиране и улесняване на обмена на най-добри практики. При необходимост Комисията е готова също така да използва всички свои правомощия съгласно Договорите за прилагането на правото на ЕС, включително по целесъобразност чрез процедури за установяване на нарушение.</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Крайният срок за прилагането на </w:t>
      </w:r>
      <w:r>
        <w:rPr>
          <w:rFonts w:ascii="Times New Roman" w:hAnsi="Times New Roman" w:cs="Times New Roman"/>
          <w:b/>
          <w:iCs/>
          <w:noProof/>
          <w:sz w:val="24"/>
          <w:szCs w:val="24"/>
        </w:rPr>
        <w:t>Директивата за резервационните данни на пътниците</w:t>
      </w:r>
      <w:r>
        <w:rPr>
          <w:rFonts w:ascii="Times New Roman" w:eastAsia="Calibri" w:hAnsi="Times New Roman" w:cs="Times New Roman"/>
          <w:iCs/>
          <w:noProof/>
          <w:sz w:val="24"/>
          <w:szCs w:val="24"/>
          <w:vertAlign w:val="superscript"/>
        </w:rPr>
        <w:footnoteReference w:id="49"/>
      </w:r>
      <w:r>
        <w:rPr>
          <w:rFonts w:ascii="Times New Roman" w:hAnsi="Times New Roman" w:cs="Times New Roman"/>
          <w:b/>
          <w:iCs/>
          <w:noProof/>
          <w:sz w:val="24"/>
          <w:szCs w:val="24"/>
        </w:rPr>
        <w:t xml:space="preserve"> </w:t>
      </w:r>
      <w:r>
        <w:rPr>
          <w:rFonts w:ascii="Times New Roman" w:hAnsi="Times New Roman" w:cs="Times New Roman"/>
          <w:iCs/>
          <w:noProof/>
          <w:sz w:val="24"/>
          <w:szCs w:val="24"/>
        </w:rPr>
        <w:t xml:space="preserve">беше 25 май 2018 г. </w:t>
      </w:r>
      <w:r>
        <w:rPr>
          <w:rFonts w:ascii="Times New Roman" w:hAnsi="Times New Roman" w:cs="Times New Roman"/>
          <w:noProof/>
          <w:sz w:val="24"/>
          <w:szCs w:val="24"/>
        </w:rPr>
        <w:t>Към момента 25 държави членки са изпратили уведомление до Комисията за пълното ѝ транспониране</w:t>
      </w:r>
      <w:r>
        <w:rPr>
          <w:rStyle w:val="FootnoteReference"/>
          <w:noProof/>
          <w:sz w:val="24"/>
          <w:szCs w:val="24"/>
        </w:rPr>
        <w:footnoteReference w:id="50"/>
      </w:r>
      <w:r>
        <w:rPr>
          <w:rFonts w:ascii="Times New Roman" w:hAnsi="Times New Roman" w:cs="Times New Roman"/>
          <w:noProof/>
          <w:sz w:val="24"/>
          <w:szCs w:val="24"/>
        </w:rPr>
        <w:t>.</w:t>
      </w:r>
      <w:r>
        <w:rPr>
          <w:rFonts w:ascii="Times New Roman" w:hAnsi="Times New Roman" w:cs="Times New Roman"/>
          <w:iCs/>
          <w:noProof/>
          <w:sz w:val="24"/>
          <w:szCs w:val="24"/>
        </w:rPr>
        <w:t xml:space="preserve"> Две държави членки все още не са транспонирали изцяло Директивата, въпреки започналите на 19 юли 2018 г. производства за установяване на нарушение</w:t>
      </w:r>
      <w:r>
        <w:rPr>
          <w:rStyle w:val="FootnoteReference"/>
          <w:iCs/>
          <w:noProof/>
          <w:sz w:val="24"/>
          <w:szCs w:val="24"/>
        </w:rPr>
        <w:footnoteReference w:id="51"/>
      </w:r>
      <w:r>
        <w:rPr>
          <w:rFonts w:ascii="Times New Roman" w:hAnsi="Times New Roman" w:cs="Times New Roman"/>
          <w:iCs/>
          <w:noProof/>
          <w:sz w:val="24"/>
          <w:szCs w:val="24"/>
        </w:rPr>
        <w:t>. Успоредно с това Комисията продължава да подпомага всички държави членки в усилията им за завършване на разработването на техните системи за регистриране на резервационните данни на пътниците, включително чрез улесняване на обмена на информация и най-добри практики.</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Крайният срок за транспониране на </w:t>
      </w:r>
      <w:r>
        <w:rPr>
          <w:rFonts w:ascii="Times New Roman" w:hAnsi="Times New Roman" w:cs="Times New Roman"/>
          <w:b/>
          <w:bCs/>
          <w:iCs/>
          <w:noProof/>
          <w:sz w:val="24"/>
          <w:szCs w:val="24"/>
        </w:rPr>
        <w:t>Директивата относно борбата с тероризма</w:t>
      </w:r>
      <w:r>
        <w:rPr>
          <w:rFonts w:ascii="Times New Roman" w:eastAsia="Calibri" w:hAnsi="Times New Roman" w:cs="Times New Roman"/>
          <w:iCs/>
          <w:noProof/>
          <w:sz w:val="24"/>
          <w:szCs w:val="24"/>
          <w:vertAlign w:val="superscript"/>
        </w:rPr>
        <w:footnoteReference w:id="52"/>
      </w:r>
      <w:r>
        <w:rPr>
          <w:rFonts w:ascii="Times New Roman" w:hAnsi="Times New Roman" w:cs="Times New Roman"/>
          <w:iCs/>
          <w:noProof/>
          <w:sz w:val="24"/>
          <w:szCs w:val="24"/>
        </w:rPr>
        <w:t xml:space="preserve"> изтече на 8 септември 2018 г. </w:t>
      </w:r>
      <w:r>
        <w:rPr>
          <w:rFonts w:ascii="Times New Roman" w:hAnsi="Times New Roman" w:cs="Times New Roman"/>
          <w:noProof/>
          <w:sz w:val="24"/>
          <w:szCs w:val="24"/>
        </w:rPr>
        <w:t>Към момента 22 държави членки са изпратили уведомление до Комисията за пълното ѝ транспониране.</w:t>
      </w:r>
      <w:r>
        <w:rPr>
          <w:rFonts w:ascii="Times New Roman" w:hAnsi="Times New Roman" w:cs="Times New Roman"/>
          <w:iCs/>
          <w:noProof/>
          <w:sz w:val="24"/>
          <w:szCs w:val="24"/>
        </w:rPr>
        <w:t xml:space="preserve"> Три държави членки все още не са изпратили уведомление за приемането на национално законодателство, което транспонира изцяло Директивата, въпреки започналите на 22 ноември 2018 г. производства за установяване на нарушение</w:t>
      </w:r>
      <w:r>
        <w:rPr>
          <w:rFonts w:ascii="Times New Roman" w:eastAsia="Calibri" w:hAnsi="Times New Roman" w:cs="Times New Roman"/>
          <w:iCs/>
          <w:noProof/>
          <w:sz w:val="24"/>
          <w:szCs w:val="24"/>
          <w:vertAlign w:val="superscript"/>
        </w:rPr>
        <w:footnoteReference w:id="53"/>
      </w:r>
      <w:r>
        <w:rPr>
          <w:rFonts w:ascii="Times New Roman" w:hAnsi="Times New Roman" w:cs="Times New Roman"/>
          <w:iCs/>
          <w:noProof/>
          <w:sz w:val="24"/>
          <w:szCs w:val="24"/>
        </w:rPr>
        <w:t>.</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Крайният срок за транспониране на </w:t>
      </w:r>
      <w:r>
        <w:rPr>
          <w:rFonts w:ascii="Times New Roman" w:hAnsi="Times New Roman" w:cs="Times New Roman"/>
          <w:b/>
          <w:iCs/>
          <w:noProof/>
          <w:sz w:val="24"/>
          <w:szCs w:val="24"/>
        </w:rPr>
        <w:t>Директивата относно контрола на придобиването и притежаването на оръжие</w:t>
      </w:r>
      <w:r>
        <w:rPr>
          <w:rFonts w:ascii="Times New Roman" w:eastAsia="Calibri" w:hAnsi="Times New Roman" w:cs="Times New Roman"/>
          <w:iCs/>
          <w:noProof/>
          <w:sz w:val="24"/>
          <w:szCs w:val="24"/>
          <w:vertAlign w:val="superscript"/>
        </w:rPr>
        <w:footnoteReference w:id="54"/>
      </w:r>
      <w:r>
        <w:rPr>
          <w:rFonts w:ascii="Times New Roman" w:hAnsi="Times New Roman" w:cs="Times New Roman"/>
          <w:iCs/>
          <w:noProof/>
          <w:sz w:val="24"/>
          <w:szCs w:val="24"/>
        </w:rPr>
        <w:t xml:space="preserve"> изтече на 14 септември 2018 г. </w:t>
      </w:r>
      <w:r>
        <w:rPr>
          <w:rFonts w:ascii="Times New Roman" w:hAnsi="Times New Roman" w:cs="Times New Roman"/>
          <w:noProof/>
          <w:sz w:val="24"/>
          <w:szCs w:val="24"/>
        </w:rPr>
        <w:t>Към момента 8 държави членки са изпратили уведомление до Комисията за пълното ѝ транспониране.</w:t>
      </w:r>
      <w:r>
        <w:rPr>
          <w:rFonts w:ascii="Times New Roman" w:hAnsi="Times New Roman" w:cs="Times New Roman"/>
          <w:iCs/>
          <w:noProof/>
          <w:sz w:val="24"/>
          <w:szCs w:val="24"/>
        </w:rPr>
        <w:t xml:space="preserve"> 20 държави членки все още не са изпратили уведомление за приемането на национални мерки, с които Директивата се транспонира изцяло, въпреки започналите на 22 ноември 2018 г. производства за установяване на нарушение</w:t>
      </w:r>
      <w:r>
        <w:rPr>
          <w:rStyle w:val="FootnoteReference"/>
          <w:iCs/>
          <w:noProof/>
          <w:sz w:val="24"/>
          <w:szCs w:val="24"/>
        </w:rPr>
        <w:footnoteReference w:id="55"/>
      </w:r>
      <w:r>
        <w:rPr>
          <w:rFonts w:ascii="Times New Roman" w:hAnsi="Times New Roman" w:cs="Times New Roman"/>
          <w:noProof/>
          <w:sz w:val="24"/>
          <w:szCs w:val="24"/>
        </w:rPr>
        <w:t>.</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Крайният срок за транспониране на </w:t>
      </w:r>
      <w:r>
        <w:rPr>
          <w:rFonts w:ascii="Times New Roman" w:hAnsi="Times New Roman" w:cs="Times New Roman"/>
          <w:b/>
          <w:noProof/>
          <w:sz w:val="24"/>
          <w:szCs w:val="24"/>
        </w:rPr>
        <w:t>Директивата относно правоприлагането в областта на защитата на данните</w:t>
      </w:r>
      <w:r>
        <w:rPr>
          <w:rStyle w:val="FootnoteReference"/>
          <w:noProof/>
          <w:sz w:val="24"/>
          <w:szCs w:val="24"/>
        </w:rPr>
        <w:footnoteReference w:id="56"/>
      </w:r>
      <w:r>
        <w:rPr>
          <w:rFonts w:ascii="Times New Roman" w:hAnsi="Times New Roman" w:cs="Times New Roman"/>
          <w:noProof/>
          <w:sz w:val="24"/>
          <w:szCs w:val="24"/>
        </w:rPr>
        <w:t xml:space="preserve"> беше 6 май 2018 г. Към момента 20 държави членки са изпратили уведомление до Комисията за пълното ѝ транспониране</w:t>
      </w:r>
      <w:r>
        <w:rPr>
          <w:rStyle w:val="FootnoteReference"/>
          <w:noProof/>
          <w:sz w:val="24"/>
          <w:szCs w:val="24"/>
        </w:rPr>
        <w:footnoteReference w:id="57"/>
      </w:r>
      <w:r>
        <w:rPr>
          <w:rFonts w:ascii="Times New Roman" w:hAnsi="Times New Roman" w:cs="Times New Roman"/>
          <w:noProof/>
          <w:sz w:val="24"/>
          <w:szCs w:val="24"/>
        </w:rPr>
        <w:t>.</w:t>
      </w:r>
      <w:r>
        <w:rPr>
          <w:rFonts w:ascii="Times New Roman" w:hAnsi="Times New Roman" w:cs="Times New Roman"/>
          <w:iCs/>
          <w:noProof/>
          <w:sz w:val="24"/>
          <w:szCs w:val="24"/>
        </w:rPr>
        <w:t xml:space="preserve"> 7 държави членки все още не са изпратили уведомление за приемането на национални мерки, с които Директивата се транспонира изцяло, въпреки започнатите от Комисията на 19 юли 2018 г. производствата </w:t>
      </w:r>
      <w:r>
        <w:rPr>
          <w:rFonts w:ascii="Times New Roman" w:hAnsi="Times New Roman" w:cs="Times New Roman"/>
          <w:noProof/>
          <w:sz w:val="24"/>
          <w:szCs w:val="24"/>
        </w:rPr>
        <w:t>за установяване на нарушение</w:t>
      </w:r>
      <w:r>
        <w:rPr>
          <w:rStyle w:val="FootnoteReference"/>
          <w:noProof/>
          <w:sz w:val="24"/>
          <w:szCs w:val="24"/>
        </w:rPr>
        <w:footnoteReference w:id="58"/>
      </w:r>
      <w:r>
        <w:rPr>
          <w:rFonts w:ascii="Times New Roman" w:hAnsi="Times New Roman" w:cs="Times New Roman"/>
          <w:noProof/>
          <w:sz w:val="24"/>
          <w:szCs w:val="24"/>
        </w:rPr>
        <w:t>.</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 9 май 2018 г. държавите членки трябваше да транспонират </w:t>
      </w:r>
      <w:r>
        <w:rPr>
          <w:rFonts w:ascii="Times New Roman" w:hAnsi="Times New Roman" w:cs="Times New Roman"/>
          <w:b/>
          <w:noProof/>
          <w:sz w:val="24"/>
          <w:szCs w:val="24"/>
        </w:rPr>
        <w:t>Директивата относно сигурността на мрежите и информационните системи</w:t>
      </w:r>
      <w:r>
        <w:rPr>
          <w:rStyle w:val="FootnoteReference"/>
          <w:b/>
          <w:noProof/>
          <w:sz w:val="24"/>
          <w:szCs w:val="24"/>
        </w:rPr>
        <w:footnoteReference w:id="59"/>
      </w:r>
      <w:r>
        <w:rPr>
          <w:rFonts w:ascii="Times New Roman" w:hAnsi="Times New Roman" w:cs="Times New Roman"/>
          <w:noProof/>
          <w:sz w:val="24"/>
          <w:szCs w:val="24"/>
        </w:rPr>
        <w:t xml:space="preserve"> в националното си законодателство. Към момента 26 държави членки са изпратили уведомление на Комисията за пълното ѝ транспониране и 2 държави членки са транспонирали Директивата частично</w:t>
      </w:r>
      <w:r>
        <w:rPr>
          <w:rStyle w:val="FootnoteReference"/>
          <w:noProof/>
          <w:sz w:val="24"/>
          <w:szCs w:val="24"/>
        </w:rPr>
        <w:footnoteReference w:id="60"/>
      </w:r>
      <w:r>
        <w:rPr>
          <w:rFonts w:ascii="Times New Roman" w:hAnsi="Times New Roman" w:cs="Times New Roman"/>
          <w:noProof/>
          <w:sz w:val="24"/>
          <w:szCs w:val="24"/>
        </w:rPr>
        <w:t>. Освен това до 9 ноември 2018 г. в съответствие с Директивата държавите членки трябваше да определят оператори на основни услуги. До 9 май 2019 г. Комисията трябваше да представи доклад до Европейския парламент и Съвета за оценка на съгласуваността на подхода при определянето на операторите на основни услуги, установени на тяхна територия. Тъй като редица държави членки все още не са предоставили пълна информация относно процеса на определяне обаче, Комисията бе принудена да отложи публикуването на доклада.</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 xml:space="preserve">В момента Комисията извършва оценка на транспонирането на </w:t>
      </w:r>
      <w:r>
        <w:rPr>
          <w:rFonts w:ascii="Times New Roman" w:hAnsi="Times New Roman" w:cs="Times New Roman"/>
          <w:b/>
          <w:iCs/>
          <w:noProof/>
          <w:sz w:val="24"/>
          <w:szCs w:val="24"/>
        </w:rPr>
        <w:t>Четвъртата директива относно борбата с изпирането на пари</w:t>
      </w:r>
      <w:r>
        <w:rPr>
          <w:rFonts w:ascii="Times New Roman" w:eastAsia="Calibri" w:hAnsi="Times New Roman" w:cs="Times New Roman"/>
          <w:iCs/>
          <w:noProof/>
          <w:sz w:val="24"/>
          <w:szCs w:val="24"/>
          <w:vertAlign w:val="superscript"/>
        </w:rPr>
        <w:footnoteReference w:id="61"/>
      </w:r>
      <w:r>
        <w:rPr>
          <w:rFonts w:ascii="Times New Roman" w:hAnsi="Times New Roman" w:cs="Times New Roman"/>
          <w:iCs/>
          <w:noProof/>
          <w:sz w:val="24"/>
          <w:szCs w:val="24"/>
        </w:rPr>
        <w:t>, като същевременно проверява дали държавите членки прилагат правилата. Комисията води производства за установяване на нарушение срещу 24 държави членки, тъй като прецени, че получените от държавите членки уведомления не доказват пълно транспониране на тази директива</w:t>
      </w:r>
      <w:r>
        <w:rPr>
          <w:rFonts w:ascii="Times New Roman" w:eastAsia="Calibri" w:hAnsi="Times New Roman" w:cs="Times New Roman"/>
          <w:iCs/>
          <w:noProof/>
          <w:sz w:val="24"/>
          <w:szCs w:val="24"/>
          <w:vertAlign w:val="superscript"/>
        </w:rPr>
        <w:footnoteReference w:id="62"/>
      </w:r>
      <w:r>
        <w:rPr>
          <w:rFonts w:ascii="Times New Roman" w:hAnsi="Times New Roman" w:cs="Times New Roman"/>
          <w:iCs/>
          <w:noProof/>
          <w:sz w:val="24"/>
          <w:szCs w:val="24"/>
        </w:rPr>
        <w:t>.</w:t>
      </w:r>
    </w:p>
    <w:p>
      <w:pPr>
        <w:pBdr>
          <w:top w:val="single" w:sz="4" w:space="1" w:color="auto"/>
          <w:left w:val="single" w:sz="4" w:space="4" w:color="auto"/>
          <w:bottom w:val="single" w:sz="4" w:space="1" w:color="auto"/>
          <w:right w:val="single" w:sz="4" w:space="4" w:color="auto"/>
        </w:pBdr>
        <w:shd w:val="clear" w:color="auto" w:fill="244061" w:themeFill="accent1" w:themeFillShade="8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Комисията призовава държавите членки спешно да предприемат необходимите мерки за пълно транспониране на следните директиви в националното законодателство и да уведомят за тях Комисията:</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pPr>
              <w:pStyle w:val="ListParagraph"/>
              <w:numPr>
                <w:ilvl w:val="0"/>
                <w:numId w:val="20"/>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на ЕС за резервационните данни на пътниците,</w:t>
            </w:r>
            <w:r>
              <w:rPr>
                <w:rFonts w:ascii="Times New Roman" w:hAnsi="Times New Roman" w:cs="Times New Roman"/>
                <w:noProof/>
                <w:sz w:val="24"/>
                <w:szCs w:val="24"/>
              </w:rPr>
              <w:t xml:space="preserve"> по отношение на която 1 държава членка все още не е изпратила уведомление за транспониране в националното законодателство, а 1 държава членка трябва да допълни уведомлението си за транспониране</w:t>
            </w:r>
            <w:r>
              <w:rPr>
                <w:rStyle w:val="FootnoteReference"/>
                <w:noProof/>
                <w:sz w:val="24"/>
                <w:szCs w:val="24"/>
              </w:rPr>
              <w:footnoteReference w:id="63"/>
            </w:r>
            <w:r>
              <w:rPr>
                <w:rFonts w:ascii="Times New Roman" w:hAnsi="Times New Roman" w:cs="Times New Roman"/>
                <w:noProof/>
                <w:sz w:val="24"/>
                <w:szCs w:val="24"/>
              </w:rPr>
              <w:t>;</w:t>
            </w:r>
          </w:p>
          <w:p>
            <w:pPr>
              <w:pStyle w:val="ListParagraph"/>
              <w:numPr>
                <w:ilvl w:val="0"/>
                <w:numId w:val="20"/>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относно борбата с тероризма</w:t>
            </w:r>
            <w:r>
              <w:rPr>
                <w:rFonts w:ascii="Times New Roman" w:hAnsi="Times New Roman" w:cs="Times New Roman"/>
                <w:noProof/>
                <w:sz w:val="24"/>
                <w:szCs w:val="24"/>
              </w:rPr>
              <w:t>, по отношение на която 2 държави членки все още не са изпратили уведомление за транспониране в националното законодателство, а 1 държава членка трябва да допълни уведомлението си за транспониране</w:t>
            </w:r>
            <w:r>
              <w:rPr>
                <w:rStyle w:val="FootnoteReference"/>
                <w:noProof/>
                <w:sz w:val="24"/>
                <w:szCs w:val="24"/>
              </w:rPr>
              <w:footnoteReference w:id="64"/>
            </w:r>
            <w:r>
              <w:rPr>
                <w:rFonts w:ascii="Times New Roman" w:hAnsi="Times New Roman" w:cs="Times New Roman"/>
                <w:noProof/>
                <w:sz w:val="24"/>
                <w:szCs w:val="24"/>
              </w:rPr>
              <w:t>;</w:t>
            </w:r>
          </w:p>
          <w:p>
            <w:pPr>
              <w:pStyle w:val="ListParagraph"/>
              <w:numPr>
                <w:ilvl w:val="0"/>
                <w:numId w:val="20"/>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относно контрола на придобиването и притежаването на оръжие</w:t>
            </w:r>
            <w:r>
              <w:rPr>
                <w:rFonts w:ascii="Times New Roman" w:hAnsi="Times New Roman" w:cs="Times New Roman"/>
                <w:noProof/>
                <w:sz w:val="24"/>
                <w:szCs w:val="24"/>
              </w:rPr>
              <w:t>, по отношение на която 12 държави членки все още не са изпратили уведомление за транспониране в националното законодателство, а 8 държави членки трябва да допълнят уведомленията си за транспониране</w:t>
            </w:r>
            <w:r>
              <w:rPr>
                <w:rStyle w:val="FootnoteReference"/>
                <w:noProof/>
                <w:sz w:val="24"/>
                <w:szCs w:val="24"/>
              </w:rPr>
              <w:footnoteReference w:id="65"/>
            </w:r>
            <w:r>
              <w:rPr>
                <w:rFonts w:ascii="Times New Roman" w:hAnsi="Times New Roman" w:cs="Times New Roman"/>
                <w:noProof/>
                <w:sz w:val="24"/>
                <w:szCs w:val="24"/>
              </w:rPr>
              <w:t>;</w:t>
            </w:r>
          </w:p>
          <w:p>
            <w:pPr>
              <w:pStyle w:val="ListParagraph"/>
              <w:numPr>
                <w:ilvl w:val="0"/>
                <w:numId w:val="20"/>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относно правоприлагането в областта на защитата на данните,</w:t>
            </w:r>
            <w:r>
              <w:rPr>
                <w:rFonts w:ascii="Times New Roman" w:hAnsi="Times New Roman" w:cs="Times New Roman"/>
                <w:noProof/>
                <w:sz w:val="24"/>
                <w:szCs w:val="24"/>
              </w:rPr>
              <w:t xml:space="preserve"> по отношение на която 2 държави членки все още не са изпратили уведомление за транспониране в националното законодателство, а 5 държави членки трябва да допълнят уведомленията си за транспониране</w:t>
            </w:r>
            <w:r>
              <w:rPr>
                <w:rStyle w:val="FootnoteReference"/>
                <w:noProof/>
                <w:sz w:val="24"/>
                <w:szCs w:val="24"/>
              </w:rPr>
              <w:footnoteReference w:id="66"/>
            </w:r>
            <w:r>
              <w:rPr>
                <w:rFonts w:ascii="Times New Roman" w:hAnsi="Times New Roman" w:cs="Times New Roman"/>
                <w:noProof/>
                <w:sz w:val="24"/>
                <w:szCs w:val="24"/>
              </w:rPr>
              <w:t>;</w:t>
            </w:r>
          </w:p>
          <w:p>
            <w:pPr>
              <w:pStyle w:val="ListParagraph"/>
              <w:numPr>
                <w:ilvl w:val="0"/>
                <w:numId w:val="20"/>
              </w:numPr>
              <w:spacing w:after="240"/>
              <w:jc w:val="both"/>
              <w:rPr>
                <w:rFonts w:ascii="Times New Roman" w:hAnsi="Times New Roman" w:cs="Times New Roman"/>
                <w:noProof/>
                <w:sz w:val="24"/>
                <w:szCs w:val="24"/>
              </w:rPr>
            </w:pPr>
            <w:r>
              <w:rPr>
                <w:rFonts w:ascii="Times New Roman" w:hAnsi="Times New Roman" w:cs="Times New Roman"/>
                <w:b/>
                <w:noProof/>
                <w:sz w:val="24"/>
                <w:szCs w:val="24"/>
              </w:rPr>
              <w:t>Директивата за мрежова и информационна сигурност</w:t>
            </w:r>
            <w:r>
              <w:rPr>
                <w:rFonts w:ascii="Times New Roman" w:hAnsi="Times New Roman" w:cs="Times New Roman"/>
                <w:noProof/>
                <w:sz w:val="24"/>
                <w:szCs w:val="24"/>
              </w:rPr>
              <w:t>, по отношение на която 2 държави членки все още трябва да допълнят уведомлението си за транспониране</w:t>
            </w:r>
            <w:r>
              <w:rPr>
                <w:rStyle w:val="FootnoteReference"/>
                <w:noProof/>
                <w:sz w:val="24"/>
                <w:szCs w:val="24"/>
              </w:rPr>
              <w:footnoteReference w:id="67"/>
            </w:r>
            <w:r>
              <w:rPr>
                <w:rFonts w:ascii="Times New Roman" w:hAnsi="Times New Roman" w:cs="Times New Roman"/>
                <w:noProof/>
                <w:sz w:val="24"/>
                <w:szCs w:val="24"/>
              </w:rPr>
              <w:t>; и</w:t>
            </w:r>
          </w:p>
          <w:p>
            <w:pPr>
              <w:pStyle w:val="ListParagraph"/>
              <w:numPr>
                <w:ilvl w:val="0"/>
                <w:numId w:val="20"/>
              </w:numPr>
              <w:ind w:left="357" w:hanging="357"/>
              <w:jc w:val="both"/>
              <w:rPr>
                <w:rFonts w:ascii="Times New Roman" w:hAnsi="Times New Roman" w:cs="Times New Roman"/>
                <w:noProof/>
                <w:sz w:val="24"/>
                <w:szCs w:val="24"/>
              </w:rPr>
            </w:pPr>
            <w:r>
              <w:rPr>
                <w:rFonts w:ascii="Times New Roman" w:hAnsi="Times New Roman" w:cs="Times New Roman"/>
                <w:b/>
                <w:noProof/>
                <w:sz w:val="24"/>
                <w:szCs w:val="24"/>
              </w:rPr>
              <w:t>Четвъртата директива относно борбата с изпирането на пари</w:t>
            </w:r>
            <w:r>
              <w:rPr>
                <w:rFonts w:ascii="Times New Roman" w:hAnsi="Times New Roman" w:cs="Times New Roman"/>
                <w:noProof/>
                <w:sz w:val="24"/>
                <w:szCs w:val="24"/>
              </w:rPr>
              <w:t>, по отношение на която 24 държави членки трябва все още да допълнят уведомлението си за транспониране</w:t>
            </w:r>
            <w:r>
              <w:rPr>
                <w:rStyle w:val="FootnoteReference"/>
                <w:noProof/>
                <w:sz w:val="24"/>
                <w:szCs w:val="24"/>
              </w:rPr>
              <w:footnoteReference w:id="68"/>
            </w:r>
            <w:r>
              <w:rPr>
                <w:rFonts w:ascii="Times New Roman" w:hAnsi="Times New Roman" w:cs="Times New Roman"/>
                <w:noProof/>
                <w:sz w:val="24"/>
                <w:szCs w:val="24"/>
              </w:rPr>
              <w:t>.</w:t>
            </w:r>
          </w:p>
        </w:tc>
      </w:tr>
    </w:tbl>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cs="Times New Roman"/>
          <w:i/>
          <w:iCs/>
          <w:noProof/>
          <w:sz w:val="24"/>
          <w:szCs w:val="24"/>
        </w:rPr>
        <w:t>2. Борба с дезинформацията и защита на изборите от други кибернетични заплахи</w:t>
      </w:r>
    </w:p>
    <w:p>
      <w:pP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Защитата на демократичните процеси и институции от дезинформация и свързаните с нея намеси представлява важно предизвикателство за обществата в целия свят. За да се справи с това, ЕС създаде </w:t>
      </w:r>
      <w:r>
        <w:rPr>
          <w:rFonts w:ascii="Times New Roman" w:hAnsi="Times New Roman" w:cs="Times New Roman"/>
          <w:b/>
          <w:noProof/>
          <w:sz w:val="24"/>
          <w:szCs w:val="24"/>
        </w:rPr>
        <w:t>солидна уредба за координирани действия срещу дезинформацията</w:t>
      </w:r>
      <w:r>
        <w:rPr>
          <w:rFonts w:ascii="Times New Roman" w:hAnsi="Times New Roman" w:cs="Times New Roman"/>
          <w:noProof/>
          <w:sz w:val="24"/>
          <w:szCs w:val="24"/>
        </w:rPr>
        <w:t>, при пълно зачитане на европейските ценности и основните права</w:t>
      </w:r>
      <w:r>
        <w:rPr>
          <w:rStyle w:val="FootnoteReference"/>
          <w:noProof/>
          <w:sz w:val="24"/>
          <w:szCs w:val="24"/>
        </w:rPr>
        <w:footnoteReference w:id="69"/>
      </w:r>
      <w:r>
        <w:rPr>
          <w:rFonts w:ascii="Times New Roman" w:hAnsi="Times New Roman" w:cs="Times New Roman"/>
          <w:noProof/>
          <w:sz w:val="24"/>
          <w:szCs w:val="24"/>
        </w:rPr>
        <w:t>. Както е посочено в съвместното съобщение от 14 юни 2019 г. „Доклад относно изпълнението на Плана за действие за борба с дезинформацията“</w:t>
      </w:r>
      <w:r>
        <w:rPr>
          <w:rStyle w:val="FootnoteReference"/>
          <w:noProof/>
          <w:sz w:val="24"/>
          <w:szCs w:val="24"/>
        </w:rPr>
        <w:footnoteReference w:id="70"/>
      </w:r>
      <w:r>
        <w:rPr>
          <w:rFonts w:ascii="Times New Roman" w:hAnsi="Times New Roman" w:cs="Times New Roman"/>
          <w:noProof/>
          <w:sz w:val="24"/>
          <w:szCs w:val="24"/>
        </w:rPr>
        <w:t>, работата в няколко допълнителни направления спомогна за затваряне на пространството пред дезинформацията и за запазване на интегритета на изборите за Европейски парламент.</w:t>
      </w:r>
    </w:p>
    <w:p>
      <w:pPr>
        <w:spacing w:after="240" w:line="240" w:lineRule="auto"/>
        <w:contextualSpacing/>
        <w:jc w:val="both"/>
        <w:rPr>
          <w:rFonts w:ascii="Times New Roman" w:eastAsia="Times New Roman" w:hAnsi="Times New Roman" w:cs="Times New Roman"/>
          <w:noProof/>
          <w:sz w:val="24"/>
          <w:szCs w:val="24"/>
        </w:rPr>
      </w:pPr>
    </w:p>
    <w:p>
      <w:pPr>
        <w:spacing w:after="24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В своите заключения от 21 юни 2019 г.</w:t>
      </w:r>
      <w:r>
        <w:rPr>
          <w:rStyle w:val="FootnoteReference"/>
          <w:noProof/>
          <w:sz w:val="24"/>
          <w:szCs w:val="24"/>
        </w:rPr>
        <w:footnoteReference w:id="71"/>
      </w:r>
      <w:r>
        <w:rPr>
          <w:rFonts w:ascii="Times New Roman" w:hAnsi="Times New Roman" w:cs="Times New Roman"/>
          <w:noProof/>
          <w:sz w:val="24"/>
          <w:szCs w:val="24"/>
        </w:rPr>
        <w:t xml:space="preserve"> Европейският съвет приветства намерението на Комисията да извърши задълбочена оценка на изпълнението на ангажиментите, поети от онлайн платформи и други страни, подписали </w:t>
      </w:r>
      <w:r>
        <w:rPr>
          <w:rFonts w:ascii="Times New Roman" w:hAnsi="Times New Roman" w:cs="Times New Roman"/>
          <w:b/>
          <w:noProof/>
          <w:sz w:val="24"/>
          <w:szCs w:val="24"/>
        </w:rPr>
        <w:t>Кодекса за поведение във връзка с дезинформацията</w:t>
      </w:r>
      <w:r>
        <w:rPr>
          <w:rStyle w:val="FootnoteReference"/>
          <w:noProof/>
          <w:sz w:val="24"/>
          <w:szCs w:val="24"/>
        </w:rPr>
        <w:footnoteReference w:id="72"/>
      </w:r>
      <w:r>
        <w:rPr>
          <w:rFonts w:ascii="Times New Roman" w:hAnsi="Times New Roman" w:cs="Times New Roman"/>
          <w:noProof/>
          <w:sz w:val="24"/>
          <w:szCs w:val="24"/>
        </w:rPr>
        <w:t>, и покани Комисията и върховния представител на Съюза по въпросите на външните работи и политиката на сигурност да извършват постоянна оценка и да дават подходящ отговор на</w:t>
      </w:r>
      <w:r>
        <w:rPr>
          <w:rFonts w:ascii="Times New Roman" w:hAnsi="Times New Roman" w:cs="Times New Roman"/>
          <w:i/>
          <w:noProof/>
          <w:sz w:val="24"/>
          <w:szCs w:val="24"/>
        </w:rPr>
        <w:t xml:space="preserve"> променящия се характер на заплахите и нарастващия риск от злонамерена намеса и онлайн манипулация, свързани с развитието на изкуствения интелект и техниките за събиране на данни.</w:t>
      </w:r>
    </w:p>
    <w:p>
      <w:pPr>
        <w:spacing w:after="240" w:line="240" w:lineRule="auto"/>
        <w:contextualSpacing/>
        <w:jc w:val="both"/>
        <w:rPr>
          <w:rFonts w:ascii="Times New Roman" w:eastAsia="Times New Roman" w:hAnsi="Times New Roman" w:cs="Times New Roman"/>
          <w:noProof/>
          <w:sz w:val="24"/>
          <w:szCs w:val="24"/>
        </w:rPr>
      </w:pP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и върховният представител ще продължат работата си в тази област в съответствие със заключенията на Европейския съвет. </w:t>
      </w:r>
      <w:r>
        <w:rPr>
          <w:rFonts w:ascii="Times New Roman" w:hAnsi="Times New Roman" w:cs="Times New Roman"/>
          <w:iCs/>
          <w:noProof/>
          <w:sz w:val="24"/>
          <w:szCs w:val="24"/>
        </w:rPr>
        <w:t xml:space="preserve">През март 2019 г. Комисията и върховният представител създадоха </w:t>
      </w:r>
      <w:r>
        <w:rPr>
          <w:rFonts w:ascii="Times New Roman" w:hAnsi="Times New Roman" w:cs="Times New Roman"/>
          <w:b/>
          <w:iCs/>
          <w:noProof/>
          <w:sz w:val="24"/>
          <w:szCs w:val="24"/>
        </w:rPr>
        <w:t>система за ранно предупреждение</w:t>
      </w:r>
      <w:r>
        <w:rPr>
          <w:rFonts w:ascii="Times New Roman" w:hAnsi="Times New Roman" w:cs="Times New Roman"/>
          <w:iCs/>
          <w:noProof/>
          <w:sz w:val="24"/>
          <w:szCs w:val="24"/>
        </w:rPr>
        <w:t xml:space="preserve"> между институциите на ЕС и държавите членки, за да се улесни споделянето на идеи, свързани с кампании за дезинформация и координиране на реакцията. Първата среща на звената за контакт на държавите членки след изборите за Европейски парламент се проведе в Талин на 3—4 юни 2019 г. За по-нататъшно укрепване на системата за бърз обмен на информация през есента на 2019 г. върховният представител и Комисията, в тясно сътрудничество с държавите членки, ще направи преглед на функционирането на системата за ранно предупреждение. Те ще разработят също и </w:t>
      </w:r>
      <w:r>
        <w:rPr>
          <w:rFonts w:ascii="Times New Roman" w:hAnsi="Times New Roman" w:cs="Times New Roman"/>
          <w:noProof/>
          <w:sz w:val="24"/>
          <w:szCs w:val="24"/>
        </w:rPr>
        <w:t>обща методология за анализ и разобличаване на кампании за дезинформация и ще развият по-силни партньорства с международни партньори, като Г-7 и НАТО.</w:t>
      </w:r>
    </w:p>
    <w:p>
      <w:pPr>
        <w:spacing w:after="24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 xml:space="preserve">Продължава също така работата в рамките на </w:t>
      </w:r>
      <w:r>
        <w:rPr>
          <w:rFonts w:ascii="Times New Roman" w:hAnsi="Times New Roman" w:cs="Times New Roman"/>
          <w:b/>
          <w:noProof/>
          <w:sz w:val="24"/>
          <w:szCs w:val="24"/>
        </w:rPr>
        <w:t>Европейската мрежа за сътрудничество в областта на изборите</w:t>
      </w:r>
      <w:r>
        <w:rPr>
          <w:rStyle w:val="FootnoteReference"/>
          <w:noProof/>
          <w:sz w:val="24"/>
          <w:szCs w:val="24"/>
        </w:rPr>
        <w:footnoteReference w:id="73"/>
      </w:r>
      <w:r>
        <w:rPr>
          <w:rFonts w:ascii="Times New Roman" w:hAnsi="Times New Roman" w:cs="Times New Roman"/>
          <w:noProof/>
          <w:sz w:val="24"/>
          <w:szCs w:val="24"/>
        </w:rPr>
        <w:t>, която проведе първата си среща на 7 юни 2019 г., на която беше направен преглед на изборите за Европейски парламент. Този преглед, както и допълнителната информация от съответните национални органи, политически партии и онлайн платформи ще подпомогнат Комисията при изготвянето на изчерпателен доклад относно изборите за Европейски парламент, който предстои да бъде приет през октомври 2019 г. Държавите членки използваха мрежата при други избори освен изборите за Европейския парламент, което подчертава широката ѝ полза за гарантиране на целостта на демокрацията в ЕС.</w:t>
      </w:r>
    </w:p>
    <w:p>
      <w:pPr>
        <w:spacing w:after="240" w:line="240" w:lineRule="auto"/>
        <w:jc w:val="both"/>
        <w:rPr>
          <w:rFonts w:ascii="Times New Roman" w:hAnsi="Times New Roman" w:cs="Times New Roman"/>
          <w:noProof/>
          <w:sz w:val="24"/>
          <w:szCs w:val="24"/>
        </w:rPr>
      </w:pPr>
      <w:r>
        <w:rPr>
          <w:rFonts w:ascii="Times New Roman" w:hAnsi="Times New Roman" w:cs="Times New Roman"/>
          <w:iCs/>
          <w:noProof/>
          <w:sz w:val="24"/>
          <w:szCs w:val="24"/>
        </w:rPr>
        <w:t xml:space="preserve">Комисията ще продължи също така да наблюдава и да насърчава прилагането на ангажиментите, поети от платформите в </w:t>
      </w:r>
      <w:r>
        <w:rPr>
          <w:rFonts w:ascii="Times New Roman" w:hAnsi="Times New Roman" w:cs="Times New Roman"/>
          <w:b/>
          <w:iCs/>
          <w:noProof/>
          <w:sz w:val="24"/>
          <w:szCs w:val="24"/>
        </w:rPr>
        <w:t>Кодекса за поведение във връзка с дезинформацията.</w:t>
      </w:r>
      <w:r>
        <w:rPr>
          <w:rFonts w:ascii="Times New Roman" w:hAnsi="Times New Roman" w:cs="Times New Roman"/>
          <w:noProof/>
          <w:sz w:val="24"/>
          <w:szCs w:val="24"/>
        </w:rPr>
        <w:t xml:space="preserve"> Докладите, предоставени от Google, Twitter и Facebook съгласно Кодекса за поведение, показват, че всички платформи са предприели действия преди провеждането на изборите за Европейски парламент чрез етикетиране на политическите реклами и публичен достъп до тях чрез библиотеки за реклами, в които може да се търси. </w:t>
      </w:r>
      <w:r>
        <w:rPr>
          <w:rFonts w:ascii="Times New Roman" w:hAnsi="Times New Roman" w:cs="Times New Roman"/>
          <w:iCs/>
          <w:noProof/>
          <w:sz w:val="24"/>
          <w:szCs w:val="24"/>
        </w:rPr>
        <w:t>В същото време има възможност за подобрения, както установи Групата на европейските регулатори за аудиовизуални медийни услуги</w:t>
      </w:r>
      <w:r>
        <w:rPr>
          <w:rStyle w:val="FootnoteReference"/>
          <w:iCs/>
          <w:noProof/>
          <w:sz w:val="24"/>
          <w:szCs w:val="24"/>
        </w:rPr>
        <w:footnoteReference w:id="74"/>
      </w:r>
      <w:r>
        <w:rPr>
          <w:rFonts w:ascii="Times New Roman" w:hAnsi="Times New Roman" w:cs="Times New Roman"/>
          <w:iCs/>
          <w:noProof/>
          <w:sz w:val="24"/>
          <w:szCs w:val="24"/>
        </w:rPr>
        <w:t xml:space="preserve">. По-специално, все още липсва достъп до подробните необработени данни, които са необходими за цялостен мониторинг. Не на последно място, платформите следва да предоставят на изследователската общност реален достъп до данните, в съответствие с правилата за защита на личните данни. По-късно тази година Комисията ще извърши цялостна оценка на изпълнението на всички ангажименти в Кодекса за поведение през първоначалния 12-месечен срок. </w:t>
      </w:r>
      <w:r>
        <w:rPr>
          <w:rFonts w:ascii="Times New Roman" w:hAnsi="Times New Roman" w:cs="Times New Roman"/>
          <w:noProof/>
          <w:sz w:val="24"/>
          <w:szCs w:val="24"/>
        </w:rPr>
        <w:t>Въз основа на това Комисията може да обмисли предприемането на допълнителни действия, включително от регулаторен характер, за подобряване на дългосрочната реакция на ЕС на дезинформацията.</w:t>
      </w:r>
    </w:p>
    <w:p>
      <w:pPr>
        <w:spacing w:after="240" w:line="240" w:lineRule="auto"/>
        <w:jc w:val="both"/>
        <w:rPr>
          <w:rFonts w:ascii="Times New Roman" w:eastAsia="Calibri" w:hAnsi="Times New Roman" w:cs="Times New Roman"/>
          <w:i/>
          <w:iCs/>
          <w:noProof/>
          <w:sz w:val="24"/>
          <w:szCs w:val="24"/>
        </w:rPr>
      </w:pPr>
      <w:r>
        <w:rPr>
          <w:rFonts w:ascii="Times New Roman" w:hAnsi="Times New Roman" w:cs="Times New Roman"/>
          <w:i/>
          <w:iCs/>
          <w:noProof/>
          <w:sz w:val="24"/>
          <w:szCs w:val="24"/>
        </w:rPr>
        <w:t>3.</w:t>
      </w:r>
      <w:r>
        <w:rPr>
          <w:rFonts w:ascii="Times New Roman" w:eastAsia="Calibri" w:hAnsi="Times New Roman" w:cs="Times New Roman"/>
          <w:i/>
          <w:iCs/>
          <w:noProof/>
          <w:sz w:val="24"/>
          <w:szCs w:val="24"/>
        </w:rPr>
        <w:t xml:space="preserve">      </w:t>
      </w:r>
      <w:r>
        <w:rPr>
          <w:rFonts w:ascii="Times New Roman" w:hAnsi="Times New Roman" w:cs="Times New Roman"/>
          <w:i/>
          <w:iCs/>
          <w:noProof/>
          <w:sz w:val="24"/>
          <w:szCs w:val="24"/>
        </w:rPr>
        <w:t>Подготвеност и защита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Укрепването на защитните механизми и изграждането на устойчивост срещу заплахите за сигурността е важен аспект от работата за ефективен и истински Съюз на сигурност. Това включва подкрепата, която Комисията предоставя на държавите членки и на техните местни органи за засилване на</w:t>
      </w:r>
      <w:r>
        <w:rPr>
          <w:rFonts w:ascii="Times New Roman" w:hAnsi="Times New Roman" w:cs="Times New Roman"/>
          <w:b/>
          <w:noProof/>
          <w:sz w:val="24"/>
          <w:szCs w:val="24"/>
        </w:rPr>
        <w:t xml:space="preserve"> защитата на обществените пространства</w:t>
      </w:r>
      <w:r>
        <w:rPr>
          <w:rStyle w:val="FootnoteReference"/>
          <w:noProof/>
          <w:sz w:val="24"/>
          <w:szCs w:val="24"/>
        </w:rPr>
        <w:footnoteReference w:id="75"/>
      </w:r>
      <w:r>
        <w:rPr>
          <w:rFonts w:ascii="Times New Roman" w:hAnsi="Times New Roman" w:cs="Times New Roman"/>
          <w:b/>
          <w:noProof/>
          <w:sz w:val="24"/>
          <w:szCs w:val="24"/>
        </w:rPr>
        <w:t>,</w:t>
      </w:r>
      <w:r>
        <w:rPr>
          <w:rFonts w:ascii="Times New Roman" w:hAnsi="Times New Roman" w:cs="Times New Roman"/>
          <w:noProof/>
          <w:sz w:val="24"/>
          <w:szCs w:val="24"/>
        </w:rPr>
        <w:t xml:space="preserve"> и подкрепата за държавите членки за повишаване на подготвеността срещу </w:t>
      </w:r>
      <w:r>
        <w:rPr>
          <w:rFonts w:ascii="Times New Roman" w:hAnsi="Times New Roman" w:cs="Times New Roman"/>
          <w:b/>
          <w:noProof/>
          <w:sz w:val="24"/>
          <w:szCs w:val="24"/>
        </w:rPr>
        <w:t>рискове, свързани със химичната, биологичната, радиологичната и ядрената сигурност</w:t>
      </w:r>
      <w:r>
        <w:rPr>
          <w:rStyle w:val="FootnoteReference"/>
          <w:bCs/>
          <w:noProof/>
          <w:sz w:val="24"/>
          <w:szCs w:val="24"/>
        </w:rPr>
        <w:footnoteReference w:id="76"/>
      </w:r>
      <w:r>
        <w:rPr>
          <w:rFonts w:ascii="Times New Roman" w:hAnsi="Times New Roman" w:cs="Times New Roman"/>
          <w:bCs/>
          <w:noProof/>
          <w:sz w:val="24"/>
          <w:szCs w:val="24"/>
        </w:rPr>
        <w:t>, изпълнение на двата плана за действие в тази</w:t>
      </w:r>
      <w:r>
        <w:rPr>
          <w:rFonts w:ascii="Times New Roman" w:hAnsi="Times New Roman" w:cs="Times New Roman"/>
          <w:noProof/>
          <w:sz w:val="24"/>
          <w:szCs w:val="24"/>
        </w:rPr>
        <w:t xml:space="preserve"> област и анализиране на нуждите от развитие на свързани капацитети за реакция по линия на rescEU</w:t>
      </w:r>
      <w:r>
        <w:rPr>
          <w:rStyle w:val="FootnoteReference"/>
          <w:noProof/>
          <w:sz w:val="24"/>
          <w:szCs w:val="24"/>
        </w:rPr>
        <w:footnoteReference w:id="77"/>
      </w:r>
      <w:r>
        <w:rPr>
          <w:rFonts w:ascii="Times New Roman" w:hAnsi="Times New Roman" w:cs="Times New Roman"/>
          <w:noProof/>
          <w:sz w:val="24"/>
          <w:szCs w:val="24"/>
        </w:rPr>
        <w:t>. Що се отнася до нововъзникващите химически заплахи</w:t>
      </w:r>
      <w:r>
        <w:rPr>
          <w:rFonts w:ascii="Times New Roman" w:hAnsi="Times New Roman" w:cs="Times New Roman"/>
          <w:noProof/>
          <w:sz w:val="24"/>
          <w:szCs w:val="24"/>
          <w:vertAlign w:val="superscript"/>
        </w:rPr>
        <w:footnoteReference w:id="78"/>
      </w:r>
      <w:r>
        <w:rPr>
          <w:rFonts w:ascii="Times New Roman" w:hAnsi="Times New Roman" w:cs="Times New Roman"/>
          <w:noProof/>
          <w:sz w:val="24"/>
          <w:szCs w:val="24"/>
        </w:rPr>
        <w:t>, Комисията, в сътрудничество с държавите членки и като се консултира с международните партньори, изготви списък на химикалите, които предизвикват най-голяма загриженост с оглед на злоупотреби с терористична цел. Списъкът на ЕС служи като основа за по-нататъшната работа за намаляване на достъпността на тези химикали и за работа с производителите с цел подобряване на способностите за откриване на нередности.</w:t>
      </w:r>
    </w:p>
    <w:p>
      <w:pPr>
        <w:pStyle w:val="Bodytext20"/>
        <w:shd w:val="clear" w:color="auto" w:fill="auto"/>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Технологиите за безпилотните въздухоплавателни средства позволяват различни видове експлоатация. С бързото разрастване през последните години на пазара на безпилотни въздухоплавателни системи за военни, граждански и търговски цели, както и като хоби, </w:t>
      </w:r>
      <w:r>
        <w:rPr>
          <w:rStyle w:val="Bodytext2Bold"/>
          <w:rFonts w:eastAsiaTheme="minorHAnsi"/>
          <w:noProof/>
        </w:rPr>
        <w:t>безпилотните летателни апарати</w:t>
      </w:r>
      <w:r>
        <w:rPr>
          <w:rStyle w:val="Bodytext2Bold"/>
          <w:rFonts w:eastAsiaTheme="minorHAnsi"/>
          <w:b w:val="0"/>
          <w:noProof/>
        </w:rPr>
        <w:t xml:space="preserve"> представляват възможност, но и нарастваща заплаха за сигурността</w:t>
      </w:r>
      <w:r>
        <w:rPr>
          <w:rFonts w:ascii="Times New Roman" w:hAnsi="Times New Roman" w:cs="Times New Roman"/>
          <w:noProof/>
          <w:sz w:val="24"/>
          <w:szCs w:val="24"/>
        </w:rPr>
        <w:t xml:space="preserve"> на критичната инфраструктура (включително такава за въздухоплаване), обществените пространства и прояви, чувствителните обекти и физическите лица. В Европа безпилотните летателни апарати се използват за възпрепятстване на операции във въздухоплаването и правоприлагането, проучване на критична инфраструктура и внасяне на контрабандни стоки в затворите и през граница.</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подкрепя държавите членки в тяхната борба с нарастващата заплаха, която представляват безпилотните летателни апарати за гражданите и критичните обществени функции, без да пренебрегва ползата от тяхното използване, например при операции за реагиране при извънредни ситуации. Неотдавна Комисията прие </w:t>
      </w:r>
      <w:r>
        <w:rPr>
          <w:rFonts w:ascii="Times New Roman" w:hAnsi="Times New Roman" w:cs="Times New Roman"/>
          <w:b/>
          <w:bCs/>
          <w:noProof/>
          <w:sz w:val="24"/>
          <w:szCs w:val="24"/>
        </w:rPr>
        <w:t>общи правила на ЕС за безопасна експлоатация на безпилотни въздухоплавателни средства</w:t>
      </w:r>
      <w:r>
        <w:rPr>
          <w:rStyle w:val="FootnoteReference"/>
          <w:bCs/>
          <w:noProof/>
          <w:sz w:val="24"/>
          <w:szCs w:val="24"/>
        </w:rPr>
        <w:footnoteReference w:id="79"/>
      </w:r>
      <w:r>
        <w:rPr>
          <w:rFonts w:ascii="Times New Roman" w:hAnsi="Times New Roman" w:cs="Times New Roman"/>
          <w:noProof/>
          <w:sz w:val="24"/>
          <w:szCs w:val="24"/>
        </w:rPr>
        <w:t>, с които цели да се намали рискът от тяхното недобросъвестно използване. Те включват разпоредби, според които се изисква регистрация на оператора и се прави възможно дистанционно идентифициране. Освен това Комисията подкрепя държавите членки, като следи тенденциите в развитието на заплахата, свързана с безпилотните летателни апарати, финансира съответни изследователски проекти и мерки за изграждане на капацитет и улеснява обмена между държавите членки и други заинтересовани страни. За да засили тази подкрепа, на 17 октомври 2019 г. Комисията ще организира международна конференция на високо равнище за противодействие на рисковете, свързани с безпилотните летателни апарати.</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отговор на необходимостта от разширяване на мирогледа за политиката на ЕС за </w:t>
      </w:r>
      <w:r>
        <w:rPr>
          <w:rFonts w:ascii="Times New Roman" w:hAnsi="Times New Roman" w:cs="Times New Roman"/>
          <w:b/>
          <w:noProof/>
          <w:sz w:val="24"/>
          <w:szCs w:val="24"/>
        </w:rPr>
        <w:t>защита на критичните инфраструктури</w:t>
      </w:r>
      <w:r>
        <w:rPr>
          <w:rStyle w:val="FootnoteReference"/>
          <w:noProof/>
          <w:sz w:val="24"/>
          <w:szCs w:val="24"/>
        </w:rPr>
        <w:footnoteReference w:id="80"/>
      </w:r>
      <w:r>
        <w:rPr>
          <w:rFonts w:ascii="Times New Roman" w:hAnsi="Times New Roman" w:cs="Times New Roman"/>
          <w:noProof/>
          <w:sz w:val="24"/>
          <w:szCs w:val="24"/>
        </w:rPr>
        <w:t>, на 23 юли 2019 г. Комисията представи оценка на Директивата за европейски критични инфраструктури</w:t>
      </w:r>
      <w:r>
        <w:rPr>
          <w:rFonts w:ascii="Times New Roman" w:eastAsia="Calibri" w:hAnsi="Times New Roman" w:cs="Times New Roman"/>
          <w:noProof/>
          <w:sz w:val="24"/>
          <w:szCs w:val="24"/>
          <w:vertAlign w:val="superscript"/>
        </w:rPr>
        <w:footnoteReference w:id="81"/>
      </w:r>
      <w:r>
        <w:rPr>
          <w:rFonts w:ascii="Times New Roman" w:hAnsi="Times New Roman" w:cs="Times New Roman"/>
          <w:noProof/>
          <w:sz w:val="24"/>
          <w:szCs w:val="24"/>
        </w:rPr>
        <w:t>, която представлява правната уредба за установяването и означаването на европейски критични инфраструктури и оценката на нуждата от подобряване на тяхната защита. В оценката се констатира, че контекстът, в който се експлоатират критичните инфраструктури в Европа, се е променил значително от влизането в сила на Директивата, включително вследствие на законодателни промени в сектори, към които по-конкретно е насочена Директивата, например в областта на енергетиката</w:t>
      </w:r>
      <w:r>
        <w:rPr>
          <w:rStyle w:val="FootnoteReference"/>
          <w:noProof/>
          <w:sz w:val="24"/>
          <w:szCs w:val="24"/>
        </w:rPr>
        <w:footnoteReference w:id="82"/>
      </w:r>
      <w:r>
        <w:rPr>
          <w:rFonts w:ascii="Times New Roman" w:hAnsi="Times New Roman" w:cs="Times New Roman"/>
          <w:noProof/>
          <w:sz w:val="24"/>
          <w:szCs w:val="24"/>
        </w:rPr>
        <w:t>, и че разпоредбите на Директивата са само частично приложими в резултат на променената среда. В същото време е налице продължаваща подкрепа от държавите членки за политика на ЕС в областта на защитата на критичните инфраструктури, която зачита принципа на субсидиарност и осигурява добавена стойност.</w:t>
      </w:r>
    </w:p>
    <w:p>
      <w:pPr>
        <w:spacing w:before="240" w:after="240" w:line="240" w:lineRule="auto"/>
        <w:jc w:val="both"/>
        <w:rPr>
          <w:rFonts w:ascii="Times New Roman" w:eastAsia="Calibri" w:hAnsi="Times New Roman" w:cs="Times New Roman"/>
          <w:i/>
          <w:iCs/>
          <w:noProof/>
          <w:sz w:val="24"/>
          <w:szCs w:val="24"/>
        </w:rPr>
      </w:pPr>
      <w:r>
        <w:rPr>
          <w:rFonts w:ascii="Times New Roman" w:hAnsi="Times New Roman" w:cs="Times New Roman"/>
          <w:i/>
          <w:iCs/>
          <w:noProof/>
          <w:sz w:val="24"/>
          <w:szCs w:val="24"/>
        </w:rPr>
        <w:t>4.</w:t>
      </w:r>
      <w:r>
        <w:rPr>
          <w:rFonts w:ascii="Times New Roman" w:eastAsia="Calibri" w:hAnsi="Times New Roman" w:cs="Times New Roman"/>
          <w:i/>
          <w:iCs/>
          <w:noProof/>
          <w:sz w:val="24"/>
          <w:szCs w:val="24"/>
        </w:rPr>
        <w:t xml:space="preserve">      </w:t>
      </w:r>
      <w:r>
        <w:rPr>
          <w:rFonts w:ascii="Times New Roman" w:hAnsi="Times New Roman" w:cs="Times New Roman"/>
          <w:i/>
          <w:iCs/>
          <w:noProof/>
          <w:sz w:val="24"/>
          <w:szCs w:val="24"/>
        </w:rPr>
        <w:t>Външно измерение</w:t>
      </w:r>
    </w:p>
    <w:p>
      <w:pPr>
        <w:widowControl w:val="0"/>
        <w:spacing w:after="240" w:line="240" w:lineRule="auto"/>
        <w:jc w:val="both"/>
        <w:rPr>
          <w:rFonts w:ascii="Times New Roman" w:eastAsia="Calibri" w:hAnsi="Times New Roman" w:cs="Times New Roman"/>
          <w:iCs/>
          <w:noProof/>
          <w:sz w:val="24"/>
          <w:szCs w:val="24"/>
        </w:rPr>
      </w:pPr>
      <w:r>
        <w:rPr>
          <w:rFonts w:ascii="Times New Roman" w:hAnsi="Times New Roman" w:cs="Times New Roman"/>
          <w:iCs/>
          <w:noProof/>
          <w:sz w:val="24"/>
          <w:szCs w:val="24"/>
        </w:rPr>
        <w:t>Като се има предвид трансграничният и глобален характер на повечето заплахи за сигурността, пред които е изправен нашият Съюз, сътрудничеството с международни организации и страни партньори извън ЕС е неразделна част от работата за изграждане на ефективен и истински Съюз на сигурност.</w:t>
      </w:r>
    </w:p>
    <w:p>
      <w:pPr>
        <w:widowControl w:val="0"/>
        <w:spacing w:after="240" w:line="240" w:lineRule="auto"/>
        <w:jc w:val="both"/>
        <w:rPr>
          <w:rFonts w:ascii="Times New Roman" w:eastAsia="Calibri" w:hAnsi="Times New Roman" w:cs="Times New Roman"/>
          <w:b/>
          <w:bCs/>
          <w:iCs/>
          <w:noProof/>
          <w:sz w:val="24"/>
          <w:szCs w:val="24"/>
        </w:rPr>
      </w:pPr>
      <w:r>
        <w:rPr>
          <w:rFonts w:ascii="Times New Roman" w:hAnsi="Times New Roman" w:cs="Times New Roman"/>
          <w:iCs/>
          <w:noProof/>
          <w:sz w:val="24"/>
          <w:szCs w:val="24"/>
        </w:rPr>
        <w:t xml:space="preserve">Засилването на ефекта на ползите от многостранното сътрудничество е неразделна част от тези усилия и включва сътрудничеството между ЕС и ООН, което неотдавна беше подсилено с подписването на </w:t>
      </w:r>
      <w:r>
        <w:rPr>
          <w:rFonts w:ascii="Times New Roman" w:hAnsi="Times New Roman" w:cs="Times New Roman"/>
          <w:b/>
          <w:iCs/>
          <w:noProof/>
          <w:sz w:val="24"/>
          <w:szCs w:val="24"/>
        </w:rPr>
        <w:t>рамката в областта на борбата с тероризма между ООН и ЕС</w:t>
      </w:r>
      <w:r>
        <w:rPr>
          <w:rFonts w:ascii="Times New Roman" w:hAnsi="Times New Roman" w:cs="Times New Roman"/>
          <w:iCs/>
          <w:noProof/>
          <w:sz w:val="24"/>
          <w:szCs w:val="24"/>
        </w:rPr>
        <w:t xml:space="preserve"> по време на втория политически диалог на високо равнище относно борбата с тероризма между Обединените нации и Европейския съюз, провел се в Ню Йорк на 24 април 2019 г.</w:t>
      </w:r>
      <w:r>
        <w:rPr>
          <w:rStyle w:val="FootnoteReference"/>
          <w:iCs/>
          <w:noProof/>
          <w:sz w:val="24"/>
          <w:szCs w:val="24"/>
        </w:rPr>
        <w:footnoteReference w:id="83"/>
      </w:r>
      <w:r>
        <w:rPr>
          <w:rFonts w:ascii="Times New Roman" w:hAnsi="Times New Roman" w:cs="Times New Roman"/>
          <w:iCs/>
          <w:noProof/>
          <w:sz w:val="24"/>
          <w:szCs w:val="24"/>
        </w:rPr>
        <w:t xml:space="preserve"> Рамката насърчава сътрудничеството за изграждане на капацитет в борбата с тероризма и за предотвратяване и противопоставяне на насилническия екстремизъм в Африка, Близкия изток и Азия. В рамката се идентифицират областите за сътрудничество между ООН и ЕС и приоритетите за двете страни до 2020 г.</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b/>
          <w:noProof/>
          <w:sz w:val="24"/>
          <w:szCs w:val="24"/>
        </w:rPr>
        <w:t>Сътрудничеството по въпросите на сигурността със Западните Балкани</w:t>
      </w:r>
      <w:r>
        <w:rPr>
          <w:rFonts w:ascii="Times New Roman" w:hAnsi="Times New Roman" w:cs="Times New Roman"/>
          <w:noProof/>
          <w:sz w:val="24"/>
          <w:szCs w:val="24"/>
        </w:rPr>
        <w:t xml:space="preserve"> представлява особен регионален приоритет, като в неговата рамка се изпълняват редица свързани със сигурността приоритетни действия, установени в стратегията за Западните Балкани от 2018 г.</w:t>
      </w:r>
      <w:r>
        <w:rPr>
          <w:rStyle w:val="FootnoteReference"/>
          <w:noProof/>
          <w:sz w:val="24"/>
          <w:szCs w:val="24"/>
        </w:rPr>
        <w:footnoteReference w:id="84"/>
      </w:r>
      <w:r>
        <w:rPr>
          <w:rFonts w:ascii="Times New Roman" w:hAnsi="Times New Roman" w:cs="Times New Roman"/>
          <w:noProof/>
          <w:sz w:val="24"/>
          <w:szCs w:val="24"/>
        </w:rPr>
        <w:t xml:space="preserve"> За тази цел на 4 април 2019 г. Комисията организира първата среща на Междуведомствената работна група за Западните Балкани, където представители на седем агенции на ЕС споделиха своя опит и засилено оперативно сътрудничество с партньори в региона, в това число и в борбата с организираната престъпност, тероризма, огнестрелните оръжия, наркотиците, контрабандата на мигранти и трафика на хора. Започна извършването на проучвания на хибридните заплахи във всички шест държави от Западните Балкани. Друг добър пример за сътрудничеството с региона е споразумението за статута на Европейската агенция за гранична и брегова охрана между ЕС и Албания, което влезе в сила на 1 май 2019 г. и беше бързо последвано от разполагане на екипи на Европейската агенция за гранична и брегова охрана до границата с Гърция. Това е първото такова споразумение с трета държава и съответно първото разполагане на екипи в такава държава. Предвижда се подобни споразумения скоро да бъдат подписани с други държави в региона.</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Освен това през юли 2019 г. в Албания беше изпратен служител за връзка на Европол, за да оказва допълнителна подкрепа на албанските органи в усилията им за превенция и борба с организираната престъпност. За да се засили борбата с трафика на огнестрелни оръжия, на 27 юни 2019 г. Комисията представи оценка на Плана за действие за периода 2015—2019 г. за</w:t>
      </w:r>
      <w:r>
        <w:rPr>
          <w:rFonts w:ascii="Times New Roman" w:hAnsi="Times New Roman" w:cs="Times New Roman"/>
          <w:b/>
          <w:noProof/>
          <w:sz w:val="24"/>
          <w:szCs w:val="24"/>
        </w:rPr>
        <w:t xml:space="preserve"> борба с трафика на огнестрелни оръжия</w:t>
      </w:r>
      <w:r>
        <w:rPr>
          <w:rFonts w:ascii="Times New Roman" w:hAnsi="Times New Roman" w:cs="Times New Roman"/>
          <w:noProof/>
          <w:sz w:val="24"/>
          <w:szCs w:val="24"/>
        </w:rPr>
        <w:t xml:space="preserve"> между ЕС и региона на Югоизточна Европа</w:t>
      </w:r>
      <w:r>
        <w:rPr>
          <w:rStyle w:val="FootnoteReference"/>
          <w:noProof/>
          <w:sz w:val="24"/>
          <w:szCs w:val="24"/>
        </w:rPr>
        <w:footnoteReference w:id="85"/>
      </w:r>
      <w:r>
        <w:rPr>
          <w:rFonts w:ascii="Times New Roman" w:hAnsi="Times New Roman" w:cs="Times New Roman"/>
          <w:noProof/>
          <w:sz w:val="24"/>
          <w:szCs w:val="24"/>
        </w:rPr>
        <w:t>. Оценката показва добавената стойност на сътрудничеството, но се подчертава, че все още са необходими допълнителни усилия, например чрез въвеждането на ефективни национални координационни центрове за огнестрелните оръжия или чрез хармонизиране на събирането на информация и докладването относно изземванията на огнестрелно оръжие.</w:t>
      </w:r>
    </w:p>
    <w:p>
      <w:pPr>
        <w:spacing w:before="100" w:beforeAutospacing="1" w:after="240" w:line="240" w:lineRule="auto"/>
        <w:jc w:val="both"/>
        <w:rPr>
          <w:rFonts w:ascii="Times New Roman" w:eastAsia="Times New Roman" w:hAnsi="Times New Roman" w:cs="Times New Roman"/>
          <w:noProof/>
          <w:color w:val="000000"/>
          <w:sz w:val="24"/>
          <w:szCs w:val="24"/>
        </w:rPr>
      </w:pPr>
      <w:r>
        <w:rPr>
          <w:rFonts w:ascii="Times New Roman" w:hAnsi="Times New Roman" w:cs="Times New Roman"/>
          <w:bCs/>
          <w:noProof/>
          <w:sz w:val="24"/>
          <w:szCs w:val="24"/>
        </w:rPr>
        <w:t>Еднакъв приоритет се дава от ЕС на</w:t>
      </w:r>
      <w:r>
        <w:rPr>
          <w:rFonts w:ascii="Times New Roman" w:hAnsi="Times New Roman" w:cs="Times New Roman"/>
          <w:noProof/>
          <w:sz w:val="24"/>
          <w:szCs w:val="24"/>
        </w:rPr>
        <w:t xml:space="preserve"> развитието на </w:t>
      </w:r>
      <w:r>
        <w:rPr>
          <w:rFonts w:ascii="Times New Roman" w:hAnsi="Times New Roman" w:cs="Times New Roman"/>
          <w:b/>
          <w:bCs/>
          <w:noProof/>
          <w:sz w:val="24"/>
          <w:szCs w:val="24"/>
        </w:rPr>
        <w:t xml:space="preserve">сътрудничеството </w:t>
      </w:r>
      <w:r>
        <w:rPr>
          <w:rFonts w:ascii="Times New Roman" w:hAnsi="Times New Roman" w:cs="Times New Roman"/>
          <w:bCs/>
          <w:noProof/>
          <w:sz w:val="24"/>
          <w:szCs w:val="24"/>
        </w:rPr>
        <w:t xml:space="preserve">в областта на сигурността </w:t>
      </w:r>
      <w:r>
        <w:rPr>
          <w:rFonts w:ascii="Times New Roman" w:hAnsi="Times New Roman" w:cs="Times New Roman"/>
          <w:b/>
          <w:bCs/>
          <w:noProof/>
          <w:sz w:val="24"/>
          <w:szCs w:val="24"/>
        </w:rPr>
        <w:t>с държавите от Близкия Изток и Северна Африка</w:t>
      </w:r>
      <w:r>
        <w:rPr>
          <w:rFonts w:ascii="Times New Roman" w:hAnsi="Times New Roman" w:cs="Times New Roman"/>
          <w:bCs/>
          <w:noProof/>
          <w:sz w:val="24"/>
          <w:szCs w:val="24"/>
        </w:rPr>
        <w:t>.</w:t>
      </w:r>
      <w:r>
        <w:rPr>
          <w:rFonts w:ascii="Times New Roman" w:hAnsi="Times New Roman" w:cs="Times New Roman"/>
          <w:noProof/>
          <w:sz w:val="24"/>
          <w:szCs w:val="24"/>
        </w:rPr>
        <w:t xml:space="preserve"> ЕС започна диалог по въпросите на сигурността с Тунис и Алжир. На 12 юни в град Тунис ЕС и Тунис проведоха третия диалог по въпросите на сигурността и борбата с тероризма, а на 12 ноември 2018 г. в град Алжир се проведе вторият диалог между ЕС и Алжир по въпросите на сигурността и борбата с тероризма. В момента се водят разговори за започване на структуриран диалог по въпросите на сигурността с Мароко, след последното заседание на Съвета за асоцииране на 27 юни, когато ЕС и Мароко признаха значението на задълбочаването на сътрудничеството в областта на сигурността за справяне с общите предизвикателства. Успоредно с това продължават обсъжданията за разработване на структуриран диалог по въпросите на сигурността с Египет, както беше потвърдено и на последната среща на равнище висши служители между ЕС и Египет, проведена на 10 юли в Кайро.</w:t>
      </w:r>
    </w:p>
    <w:p>
      <w:pPr>
        <w:spacing w:before="100" w:beforeAutospacing="1" w:after="240" w:line="240" w:lineRule="auto"/>
        <w:jc w:val="both"/>
        <w:rPr>
          <w:rFonts w:ascii="Times New Roman" w:eastAsia="Times New Roman" w:hAnsi="Times New Roman" w:cs="Times New Roman"/>
          <w:noProof/>
          <w:color w:val="000000"/>
          <w:sz w:val="24"/>
          <w:szCs w:val="24"/>
        </w:rPr>
      </w:pPr>
      <w:r>
        <w:rPr>
          <w:rFonts w:ascii="Times New Roman" w:hAnsi="Times New Roman" w:cs="Times New Roman"/>
          <w:noProof/>
          <w:sz w:val="24"/>
          <w:szCs w:val="24"/>
        </w:rPr>
        <w:t xml:space="preserve">Въз основа на възложения ѝ от Съвета мандат Комисията започна неформални разговори с повечето държави от </w:t>
      </w:r>
      <w:r>
        <w:rPr>
          <w:rFonts w:ascii="Times New Roman" w:hAnsi="Times New Roman" w:cs="Times New Roman"/>
          <w:b/>
          <w:bCs/>
          <w:noProof/>
          <w:sz w:val="24"/>
          <w:szCs w:val="24"/>
        </w:rPr>
        <w:t>Близкия Изток и Северна Африка</w:t>
      </w:r>
      <w:r>
        <w:rPr>
          <w:rFonts w:ascii="Times New Roman" w:hAnsi="Times New Roman" w:cs="Times New Roman"/>
          <w:noProof/>
          <w:sz w:val="24"/>
          <w:szCs w:val="24"/>
        </w:rPr>
        <w:t xml:space="preserve"> с оглед на започването на официални преговори за международно споразумение за обмен на лични данни между Агенцията на Европейския съюз за сътрудничество в областта на правоприлагането (</w:t>
      </w:r>
      <w:r>
        <w:rPr>
          <w:rFonts w:ascii="Times New Roman" w:hAnsi="Times New Roman" w:cs="Times New Roman"/>
          <w:b/>
          <w:bCs/>
          <w:noProof/>
          <w:sz w:val="24"/>
          <w:szCs w:val="24"/>
        </w:rPr>
        <w:t>Европол</w:t>
      </w:r>
      <w:r>
        <w:rPr>
          <w:rFonts w:ascii="Times New Roman" w:hAnsi="Times New Roman" w:cs="Times New Roman"/>
          <w:noProof/>
          <w:sz w:val="24"/>
          <w:szCs w:val="24"/>
        </w:rPr>
        <w:t xml:space="preserve">) и съответните компетентни органи в държави от </w:t>
      </w:r>
      <w:r>
        <w:rPr>
          <w:rFonts w:ascii="Times New Roman" w:hAnsi="Times New Roman" w:cs="Times New Roman"/>
          <w:b/>
          <w:bCs/>
          <w:noProof/>
          <w:sz w:val="24"/>
          <w:szCs w:val="24"/>
        </w:rPr>
        <w:t>Близкия Изток и Северна Африка</w:t>
      </w:r>
      <w:r>
        <w:rPr>
          <w:rFonts w:ascii="Times New Roman" w:hAnsi="Times New Roman" w:cs="Times New Roman"/>
          <w:noProof/>
          <w:sz w:val="24"/>
          <w:szCs w:val="24"/>
        </w:rPr>
        <w:t xml:space="preserve"> с цел борба с тежката престъпност и тероризма. В този контекст Комисията също така насърчава сключването на работни договорености пряко между Европол и партньорските органи в държави от </w:t>
      </w:r>
      <w:r>
        <w:rPr>
          <w:rFonts w:ascii="Times New Roman" w:hAnsi="Times New Roman" w:cs="Times New Roman"/>
          <w:b/>
          <w:bCs/>
          <w:noProof/>
          <w:sz w:val="24"/>
          <w:szCs w:val="24"/>
        </w:rPr>
        <w:t>Близкия Изток и Северна Африка</w:t>
      </w:r>
      <w:r>
        <w:rPr>
          <w:rFonts w:ascii="Times New Roman" w:hAnsi="Times New Roman" w:cs="Times New Roman"/>
          <w:noProof/>
          <w:sz w:val="24"/>
          <w:szCs w:val="24"/>
        </w:rPr>
        <w:t xml:space="preserve"> с цел да се създаде официална рамка за редовно сътрудничество на стратегическо равнище.</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ЕС и </w:t>
      </w:r>
      <w:r>
        <w:rPr>
          <w:rFonts w:ascii="Times New Roman" w:hAnsi="Times New Roman" w:cs="Times New Roman"/>
          <w:b/>
          <w:noProof/>
          <w:sz w:val="24"/>
          <w:szCs w:val="24"/>
        </w:rPr>
        <w:t>САЩ</w:t>
      </w:r>
      <w:r>
        <w:rPr>
          <w:rFonts w:ascii="Times New Roman" w:hAnsi="Times New Roman" w:cs="Times New Roman"/>
          <w:noProof/>
          <w:sz w:val="24"/>
          <w:szCs w:val="24"/>
        </w:rPr>
        <w:t xml:space="preserve"> са тясно свързани стратегически партньори при справянето с общите заплахи и повишаването на сигурността. На среща на министрите по правосъдие и вътрешни работи на 19 юни 2019 г. ЕС и САЩ потвърдиха отново, че борбата с тероризма е сред основните им приоритети. Що се отнася до Споразумението между ЕС и САЩ относно резервационните данни на пътниците</w:t>
      </w:r>
      <w:r>
        <w:rPr>
          <w:rStyle w:val="FootnoteReference"/>
          <w:noProof/>
          <w:sz w:val="24"/>
          <w:szCs w:val="24"/>
        </w:rPr>
        <w:footnoteReference w:id="86"/>
      </w:r>
      <w:r>
        <w:rPr>
          <w:rFonts w:ascii="Times New Roman" w:hAnsi="Times New Roman" w:cs="Times New Roman"/>
          <w:noProof/>
          <w:sz w:val="24"/>
          <w:szCs w:val="24"/>
        </w:rPr>
        <w:t>, и двете страни отново изтъкнаха значението на Споразумението и се ангажираха да започнат през септември 2019 г. съвместна оценка на неговото прилагане в съответствие с разпоредбите на споразумението. Двете страни се ангажираха също така да засилят съвместните си усилия в борбата с тероризма, включително чрез разширяване на обмена на информация, събрана в зони на бойни действия, за използване при разследвания и наказателни преследвания.</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С цел засилване на това сътрудничество, Комисията, заедно с координатора на ЕС за борбата с тероризма беше домакин на </w:t>
      </w:r>
      <w:r>
        <w:rPr>
          <w:rFonts w:ascii="Times New Roman" w:hAnsi="Times New Roman" w:cs="Times New Roman"/>
          <w:bCs/>
          <w:noProof/>
          <w:sz w:val="24"/>
          <w:szCs w:val="24"/>
        </w:rPr>
        <w:t>семинар на високо равнище относно сведенията от зони на бойни действия</w:t>
      </w:r>
      <w:r>
        <w:rPr>
          <w:rFonts w:ascii="Times New Roman" w:hAnsi="Times New Roman" w:cs="Times New Roman"/>
          <w:noProof/>
          <w:sz w:val="24"/>
          <w:szCs w:val="24"/>
        </w:rPr>
        <w:t>, който се проведе на 10 юли 2019</w:t>
      </w:r>
      <w:r>
        <w:rPr>
          <w:rFonts w:ascii="Times New Roman" w:hAnsi="Times New Roman" w:cs="Times New Roman"/>
          <w:bCs/>
          <w:noProof/>
          <w:sz w:val="24"/>
          <w:szCs w:val="24"/>
        </w:rPr>
        <w:t> </w:t>
      </w:r>
      <w:r>
        <w:rPr>
          <w:rFonts w:ascii="Times New Roman" w:hAnsi="Times New Roman" w:cs="Times New Roman"/>
          <w:noProof/>
          <w:sz w:val="24"/>
          <w:szCs w:val="24"/>
        </w:rPr>
        <w:t xml:space="preserve">г. в Брюксел. Той събра високопоставени служители от министерствата на отбраната, вътрешните работи и правосъдието на държавите членки, САЩ, Европол, Евроюст и представители на международни организации с цел обмен на мнения относно използването на сведения от зони на бойни действия и съвместен размисъл за процесуалните, правните и оперативните предизвикателства, пред които понастоящем са изправени в стремежа си за идентифициране на терористи и изправянето им пред съда. На 14—15 май 2019 г. в Брюксел ЕС и САЩ проведоха също така </w:t>
      </w:r>
      <w:r>
        <w:rPr>
          <w:rFonts w:ascii="Times New Roman" w:hAnsi="Times New Roman" w:cs="Times New Roman"/>
          <w:bCs/>
          <w:noProof/>
          <w:sz w:val="24"/>
          <w:szCs w:val="24"/>
        </w:rPr>
        <w:t>диалог за изграждане на капацитет в областта на химичните, биологичните, радиологичните и ядрените рискове</w:t>
      </w:r>
      <w:r>
        <w:rPr>
          <w:rFonts w:ascii="Times New Roman" w:hAnsi="Times New Roman" w:cs="Times New Roman"/>
          <w:noProof/>
          <w:sz w:val="24"/>
          <w:szCs w:val="24"/>
        </w:rPr>
        <w:t>, за да координират усилията за намаляване на заплахите от оръжия за масово унищожение и засилване на химичната, биологичната, радиологичната и ядрената сигурност по целия свят.</w:t>
      </w:r>
    </w:p>
    <w:p>
      <w:pPr>
        <w:widowControl w:val="0"/>
        <w:spacing w:after="240" w:line="240" w:lineRule="auto"/>
        <w:jc w:val="both"/>
        <w:rPr>
          <w:rFonts w:ascii="Times New Roman" w:eastAsia="Calibri" w:hAnsi="Times New Roman" w:cs="Times New Roman"/>
          <w:i/>
          <w:iCs/>
          <w:noProof/>
          <w:sz w:val="24"/>
          <w:szCs w:val="24"/>
        </w:rPr>
      </w:pPr>
      <w:r>
        <w:rPr>
          <w:rFonts w:ascii="Times New Roman" w:hAnsi="Times New Roman" w:cs="Times New Roman"/>
          <w:b/>
          <w:bCs/>
          <w:noProof/>
          <w:sz w:val="24"/>
          <w:szCs w:val="24"/>
        </w:rPr>
        <w:t>Споразумението между ЕС и САЩ относно Програма за проследяване на финансирането на тероризма</w:t>
      </w:r>
      <w:r>
        <w:rPr>
          <w:rStyle w:val="FootnoteReference"/>
          <w:noProof/>
          <w:sz w:val="24"/>
          <w:szCs w:val="24"/>
        </w:rPr>
        <w:footnoteReference w:id="87"/>
      </w:r>
      <w:r>
        <w:rPr>
          <w:rFonts w:ascii="Times New Roman" w:hAnsi="Times New Roman" w:cs="Times New Roman"/>
          <w:noProof/>
          <w:sz w:val="24"/>
          <w:szCs w:val="24"/>
        </w:rPr>
        <w:t xml:space="preserve"> е в сила от 2010 г. насам и урежда предаването и обработката на данни за целите на идентифицирането, проследяването и преследването на терористи и техните мрежи. Споразумението съдържа гаранции, които осигуряват защитата на личните данни на гражданите на ЕС, и предвижда редовен преглед на „гаранциите, мерките за контрол и разпоредбите за реципрочност“. В редовен доклад за оценка</w:t>
      </w:r>
      <w:r>
        <w:rPr>
          <w:rStyle w:val="FootnoteReference"/>
          <w:noProof/>
          <w:sz w:val="24"/>
          <w:szCs w:val="24"/>
        </w:rPr>
        <w:footnoteReference w:id="88"/>
      </w:r>
      <w:r>
        <w:rPr>
          <w:rFonts w:ascii="Times New Roman" w:hAnsi="Times New Roman" w:cs="Times New Roman"/>
          <w:noProof/>
          <w:sz w:val="24"/>
          <w:szCs w:val="24"/>
        </w:rPr>
        <w:t xml:space="preserve">, публикуван на 22 юли 2019 г., Комисията отбеляза своето задоволство от това, че Споразумението, включително неговите основни гаранции и мерки за контрол, се изпълняват правилно. Тя приветства продължаващата прозрачност на органите на САЩ при споделянето на информация, която е свидетелство за ценността на </w:t>
      </w:r>
      <w:r>
        <w:rPr>
          <w:rFonts w:ascii="Times New Roman" w:hAnsi="Times New Roman" w:cs="Times New Roman"/>
          <w:bCs/>
          <w:noProof/>
          <w:sz w:val="24"/>
          <w:szCs w:val="24"/>
        </w:rPr>
        <w:t>Програмата за проследяване на финансирането на тероризма</w:t>
      </w:r>
      <w:r>
        <w:rPr>
          <w:rFonts w:ascii="Times New Roman" w:hAnsi="Times New Roman" w:cs="Times New Roman"/>
          <w:noProof/>
          <w:sz w:val="24"/>
          <w:szCs w:val="24"/>
        </w:rPr>
        <w:t xml:space="preserve"> в съвместните ни усилия за борба с тероризма. Информацията, предоставена по силата на Споразумението, е била от съществено значение за постигането на напредък по конкретни разследвания, свързани с терористични нападения на европейска територия, включително в Стокхолм, Барселона и Турку през 2017 г. Държавите членки и Европол са увеличили използването на механизма, като </w:t>
      </w:r>
      <w:r>
        <w:rPr>
          <w:rFonts w:ascii="Times New Roman" w:hAnsi="Times New Roman" w:cs="Times New Roman"/>
          <w:bCs/>
          <w:noProof/>
          <w:sz w:val="24"/>
          <w:szCs w:val="24"/>
        </w:rPr>
        <w:t>Програмата за проследяване на финансирането на тероризма</w:t>
      </w:r>
      <w:r>
        <w:rPr>
          <w:rFonts w:ascii="Times New Roman" w:hAnsi="Times New Roman" w:cs="Times New Roman"/>
          <w:noProof/>
          <w:sz w:val="24"/>
          <w:szCs w:val="24"/>
        </w:rPr>
        <w:t xml:space="preserve"> е била източник на седем пъти повече данни за насочване на разследванията, отколкото през предишния отчетен период. Следващият съвместен преглед на Споразумението се очаква през 2021 г.</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Що се отнася до международното сътрудничество относно обмена на </w:t>
      </w:r>
      <w:r>
        <w:rPr>
          <w:rFonts w:ascii="Times New Roman" w:hAnsi="Times New Roman" w:cs="Times New Roman"/>
          <w:b/>
          <w:noProof/>
          <w:sz w:val="24"/>
          <w:szCs w:val="24"/>
        </w:rPr>
        <w:t>резервационните данни на пътниците за целите на борбата с тероризма и тежката престъпност</w:t>
      </w:r>
      <w:r>
        <w:rPr>
          <w:rFonts w:ascii="Times New Roman" w:hAnsi="Times New Roman" w:cs="Times New Roman"/>
          <w:noProof/>
          <w:sz w:val="24"/>
          <w:szCs w:val="24"/>
        </w:rPr>
        <w:t>, по време на 17-ата среща на върха между ЕС и Канада в Монреал на 17—18 юли 2019 г., ЕС и Канада изразиха задоволство, че са приключили преговорите по ново споразумение за резервационните данни на пътниците. Въпреки че Канада отбеляза изискването си за правен преглед, страните поемат ангажимент, при условие на извършването на такъв преглед, да финализират споразумението възможно най-бързо, като отчитат жизненоважната роля на това споразумение за повишаването на сигурността, като същевременно се гарантират неприкосновеността на личния живот и защитата на личните данни. Що се отнася до съществуващото споразумение за резервационните данни на пътниците между ЕС и Австралия</w:t>
      </w:r>
      <w:r>
        <w:rPr>
          <w:rStyle w:val="FootnoteReference"/>
          <w:noProof/>
          <w:sz w:val="24"/>
          <w:szCs w:val="24"/>
        </w:rPr>
        <w:footnoteReference w:id="89"/>
      </w:r>
      <w:r>
        <w:rPr>
          <w:rFonts w:ascii="Times New Roman" w:hAnsi="Times New Roman" w:cs="Times New Roman"/>
          <w:noProof/>
          <w:sz w:val="24"/>
          <w:szCs w:val="24"/>
        </w:rPr>
        <w:t>, през август 2019 г. в Канбера ще се проведе посещение на екип на ЕС в контекста на съвместния преглед и съвместната оценка на споразумението.</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Комисията също така работи съвместно с държавите членки в рамките на Съвета по позицията на ЕС за предстоящата 40-а сесия на асамблеята на </w:t>
      </w:r>
      <w:r>
        <w:rPr>
          <w:rFonts w:ascii="Times New Roman" w:hAnsi="Times New Roman" w:cs="Times New Roman"/>
          <w:b/>
          <w:noProof/>
          <w:sz w:val="24"/>
          <w:szCs w:val="24"/>
        </w:rPr>
        <w:t>Международната организация за гражданско въздухоплаване</w:t>
      </w:r>
      <w:r>
        <w:rPr>
          <w:rFonts w:ascii="Times New Roman" w:hAnsi="Times New Roman" w:cs="Times New Roman"/>
          <w:noProof/>
          <w:sz w:val="24"/>
          <w:szCs w:val="24"/>
        </w:rPr>
        <w:t>, която ще се проведе от 24 септември до 4 октомври 2019 г. Асамблеята ще определи политическата посока и ще предостави указания на Съвета на Международната организация за гражданско въздухоплаване относно техническата работа по стандартите на Международната организация за гражданско въздухоплаване за обработване на резервационните данни на пътниците. Съветът одобри информационен документ, изготвен от Комисията, с който се очертава позицията на Съюза относно основните принципи, които следва да залегнат в основата на бъдещия глобален стандарт за резервационните данни на пътниците. Този информационен документ ще бъде представен на органа — на неговите членове, които не са държави — членки на ЕС.</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b/>
          <w:bCs/>
          <w:noProof/>
          <w:sz w:val="24"/>
          <w:szCs w:val="24"/>
        </w:rPr>
        <w:t>VI. ЗАКЛЮЧЕНИЕ</w:t>
      </w:r>
    </w:p>
    <w:p>
      <w:pPr>
        <w:widowControl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Благодарение на тясното сътрудничество между Европейския парламент, Съвета, държавите членки и Комисията, през последните години ЕС отбеляза значителен напредък в съвместната работа за изграждане на ефективен и истински Съюз на сигурност, като постигна съгласие по редица приоритетни законодателни инициативи. В допълнение държавите членки, с подкрепата на Комисията, изпълняват различни незаконодателни оперативни мерки за повишаване на сигурността на всички граждани. В същото време все още има известен брой текущи приоритетни инициативи в рамките на Съюза на сигурност, които изискват допълнителни действия от страна на съзаконодателите за справяне с непосредствените заплахи. Комисията призовава Европейския парламент и Съвета да предприемат необходимите стъпки, за да постигнат бързо съгласие по законодателните предложения за противодействие на терористичната пропаганда и радикализацията онлайн, повишаване на киберсигурността, улесняване на достъпа до електронни доказателства и завършване на работата по разработването на по-мощни и по-интелигентни информационни системи за управление на сигурността, границите и миграцията.</w:t>
      </w:r>
    </w:p>
    <w:p>
      <w:pPr>
        <w:widowControl w:val="0"/>
        <w:spacing w:after="24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Комисията призовава държавите членки да въведат </w:t>
      </w:r>
      <w:r>
        <w:rPr>
          <w:rFonts w:ascii="Times New Roman" w:hAnsi="Times New Roman" w:cs="Times New Roman"/>
          <w:iCs/>
          <w:noProof/>
          <w:sz w:val="24"/>
          <w:szCs w:val="24"/>
        </w:rPr>
        <w:t xml:space="preserve">бързо и изцяло всички законодателни актове, приети в рамките на Съюза на сигурност, за да се реализират всички ползи от него. Освен това Комисията призовава държавите членки да продължат и да засилят ключовата работа по практически мерки за повишаване на сигурността на цифровите инфраструктури, да се борят с дезинформацията и с други кибернетични заплахи, да повишат подготвеността и защитата, както и да укрепят сътрудничеството с партньори извън Съюза срещу общите заплахи. Взети заедно, тези мерки </w:t>
      </w:r>
      <w:r>
        <w:rPr>
          <w:rFonts w:ascii="Times New Roman" w:hAnsi="Times New Roman" w:cs="Times New Roman"/>
          <w:noProof/>
          <w:sz w:val="24"/>
          <w:szCs w:val="24"/>
        </w:rPr>
        <w:t>подобряват сигурността на всички граждани.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8A8D5D" w16cid:durableId="20D594B8"/>
  <w16cid:commentId w16cid:paraId="70415691" w16cid:durableId="20D58E6A"/>
  <w16cid:commentId w16cid:paraId="40819A61" w16cid:durableId="20D58E6B"/>
  <w16cid:commentId w16cid:paraId="40B3D60E" w16cid:durableId="20D58E6C"/>
  <w16cid:commentId w16cid:paraId="4FE824E5" w16cid:durableId="20D58E6D"/>
  <w16cid:commentId w16cid:paraId="7BB9D4AF" w16cid:durableId="20D598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59492"/>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1" w:history="1">
        <w:r>
          <w:rPr>
            <w:rStyle w:val="Hyperlink"/>
            <w:rFonts w:ascii="Times New Roman" w:hAnsi="Times New Roman"/>
          </w:rPr>
          <w:t>https://www.consilium.europa.eu/media/39923/a-new-strategic-agenda-2019-2024-bg.pdf</w:t>
        </w:r>
      </w:hyperlink>
      <w:r>
        <w:rPr>
          <w:rFonts w:ascii="Times New Roman" w:hAnsi="Times New Roman"/>
        </w:rPr>
        <w:t>.</w:t>
      </w:r>
    </w:p>
  </w:footnote>
  <w:footnote w:id="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За преглед вж. информационния документ „Съюз на сигурност: Европа, която закриля“ (</w:t>
      </w:r>
      <w:hyperlink r:id="rId2" w:history="1">
        <w:r>
          <w:rPr>
            <w:rStyle w:val="Hyperlink"/>
            <w:rFonts w:ascii="Times New Roman" w:hAnsi="Times New Roman"/>
          </w:rPr>
          <w:t>https://ec.europa.eu/commission/sites/beta-political/files/euco-sibiu-security-union_bg.pdf</w:t>
        </w:r>
      </w:hyperlink>
      <w:r>
        <w:rPr>
          <w:rFonts w:ascii="Times New Roman" w:hAnsi="Times New Roman"/>
        </w:rPr>
        <w:t>) и Осемнадесетия доклад за напредъка по създаването на ефективен и истински Съюз на сигурност (COM(2019) 145 final, 20.3.2019 г.).</w:t>
      </w:r>
    </w:p>
  </w:footnote>
  <w:footnote w:id="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Вж. Осемнадесетия доклад за напредъка по създаването на ефективен и истински Съюз на сигурност (COM(2019) 145 final, 20.3.2019 г.).</w:t>
      </w:r>
    </w:p>
  </w:footnote>
  <w:footnote w:id="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3" w:history="1">
        <w:r>
          <w:rPr>
            <w:rStyle w:val="Hyperlink"/>
            <w:rFonts w:ascii="Times New Roman" w:hAnsi="Times New Roman"/>
          </w:rPr>
          <w:t>https://www.elysee.fr/emmanuel-macron/2019/05/15/the-christchurch-call-to-action-to-eliminate-terrorist-and-violent-extremist-content-online.en</w:t>
        </w:r>
      </w:hyperlink>
      <w:r>
        <w:rPr>
          <w:rFonts w:ascii="Times New Roman" w:hAnsi="Times New Roman"/>
        </w:rPr>
        <w:t>. Френският президент Еманюел Макрон и министър-председателят на Нова Зеландия Джасинда Ардерн поканиха лидерите и онлайн платформите в Париж на 15 май 2019 г. за старта на тази инициатива.</w:t>
      </w:r>
    </w:p>
  </w:footnote>
  <w:footnote w:id="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4" w:history="1">
        <w:r>
          <w:rPr>
            <w:rStyle w:val="Hyperlink"/>
            <w:rFonts w:ascii="Times New Roman" w:hAnsi="Times New Roman"/>
          </w:rPr>
          <w:t>https://www.elysee.fr/en/g7/2019/04/06/g7-interior-ministers-meeting-what-are-the-outcomes</w:t>
        </w:r>
      </w:hyperlink>
      <w:r>
        <w:rPr>
          <w:rFonts w:ascii="Times New Roman" w:hAnsi="Times New Roman"/>
        </w:rPr>
        <w:t>.</w:t>
      </w:r>
    </w:p>
  </w:footnote>
  <w:footnote w:id="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На срещата на Г-20 в Осака на 28—29 юни 2019 г. лидерите потвърдиха отново своя ангажимент да действат за защита на хората срещу експлоатацията на интернет от тероризма и насилническия екстремизъм, водещ до тероризъм (</w:t>
      </w:r>
      <w:hyperlink r:id="rId5" w:history="1">
        <w:r>
          <w:rPr>
            <w:rStyle w:val="Hyperlink"/>
            <w:rFonts w:ascii="Times New Roman" w:hAnsi="Times New Roman"/>
          </w:rPr>
          <w:t>https://g20.org/pdf/documents/en/FINAL_G20_Statement_on_Preventing_Terrorist_and_VECT.pdf</w:t>
        </w:r>
      </w:hyperlink>
      <w:r>
        <w:rPr>
          <w:rFonts w:ascii="Times New Roman" w:hAnsi="Times New Roman"/>
        </w:rPr>
        <w:t>).</w:t>
      </w:r>
    </w:p>
  </w:footnote>
  <w:footnote w:id="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640 final, 12.9.2018 г.</w:t>
      </w:r>
    </w:p>
  </w:footnote>
  <w:footnote w:id="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Стартиралият през 2015 г. </w:t>
      </w:r>
      <w:r>
        <w:rPr>
          <w:rFonts w:ascii="Times New Roman" w:hAnsi="Times New Roman"/>
          <w:b/>
        </w:rPr>
        <w:t>интернет форум на ЕС</w:t>
      </w:r>
      <w:r>
        <w:rPr>
          <w:rFonts w:ascii="Times New Roman" w:hAnsi="Times New Roman"/>
        </w:rPr>
        <w:t xml:space="preserve"> обединява министрите на вътрешните работи от ЕС, интернет отрасъла и други заинтересовани страни, за да работят заедно в рамките на доброволно партньорство за справяне със злоупотребата с интернет от страна на терористични групи и за защита на гражданите.</w:t>
      </w:r>
    </w:p>
  </w:footnote>
  <w:footnote w:id="1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През 2011 г. Комисията създаде </w:t>
      </w:r>
      <w:r>
        <w:rPr>
          <w:rFonts w:ascii="Times New Roman" w:hAnsi="Times New Roman"/>
          <w:b/>
        </w:rPr>
        <w:t>Мрежа за осведоменост по въпросите на радикализацията</w:t>
      </w:r>
      <w:r>
        <w:rPr>
          <w:rFonts w:ascii="Times New Roman" w:hAnsi="Times New Roman"/>
        </w:rPr>
        <w:t xml:space="preserve">, за да обедини работещите на първа линия и местните специалисти. През 2015 г. Комисията укрепи Мрежата, като създаде центъра за високи постижения към Мрежата за осведоменост по въпросите на радикализацията, за да разработва по-целенасочени насоки, подкрепа и консултантски услуги за заинтересованите страни в държавите членки и да увеличи експертния опит и уменията на различните участници. За повече информация относно дейностите на Мрежата за осведоменост по въпросите на радикализацията вж.: </w:t>
      </w:r>
      <w:hyperlink r:id="rId6" w:history="1">
        <w:r>
          <w:rPr>
            <w:rStyle w:val="Hyperlink"/>
            <w:rFonts w:ascii="Times New Roman" w:hAnsi="Times New Roman"/>
          </w:rPr>
          <w:t>https://ec.europa.eu/home-affairs/what-we-do/networks/radicalisation_awareness_network_en</w:t>
        </w:r>
      </w:hyperlink>
      <w:r>
        <w:rPr>
          <w:rFonts w:ascii="Times New Roman" w:hAnsi="Times New Roman"/>
        </w:rPr>
        <w:t>.</w:t>
      </w:r>
    </w:p>
  </w:footnote>
  <w:footnote w:id="1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За повече информация вж. брошурата „Изграждане на силна киберсигурност за Европейския съюз: устойчивост, възпиране, отбрана“: </w:t>
      </w:r>
      <w:hyperlink r:id="rId7" w:history="1">
        <w:r>
          <w:rPr>
            <w:rStyle w:val="Hyperlink"/>
            <w:rFonts w:ascii="Times New Roman" w:hAnsi="Times New Roman"/>
          </w:rPr>
          <w:t>https://ec.europa.eu/digital-single-market/en/news/building-strong-cybersecurity-european-union-resilience-deterence-defence</w:t>
        </w:r>
      </w:hyperlink>
      <w:r>
        <w:rPr>
          <w:rFonts w:ascii="Times New Roman" w:hAnsi="Times New Roman"/>
        </w:rPr>
        <w:t>.</w:t>
      </w:r>
    </w:p>
  </w:footnote>
  <w:footnote w:id="1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JOIN(2017) 450 final, 13.9.2017 г.</w:t>
      </w:r>
    </w:p>
  </w:footnote>
  <w:footnote w:id="1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 xml:space="preserve">С Акта на ЕС за киберсигурността (Регламент (ЕС) 2019/881 от 17 април 2019 г.) се въвеждат за първи път правила на равнището на ЕС за сертифициране на киберсигурността на продукти, процеси и услуги. Освен това с него се определя нов постоянен мандат за Агенцията на ЕС за киберсигурност, като ѝ се предоставят повече ресурси, за да може да изпълнява своите цели. За повече информация относно поканата за представяне на предложения вж.: </w:t>
      </w:r>
      <w:hyperlink r:id="rId8" w:tgtFrame="_blank" w:history="1">
        <w:r>
          <w:rPr>
            <w:rStyle w:val="Hyperlink"/>
            <w:rFonts w:ascii="Times New Roman" w:hAnsi="Times New Roman"/>
          </w:rPr>
          <w:t>https://ec.europa.eu/digital-single-market/en/news/eu10-million-eu-funding-available-projects-stepping-eus-cybersecurity-capabilities-and-cross</w:t>
        </w:r>
      </w:hyperlink>
      <w:r>
        <w:rPr>
          <w:rStyle w:val="Hyperlink"/>
          <w:rFonts w:ascii="Times New Roman" w:hAnsi="Times New Roman"/>
        </w:rPr>
        <w:t>.</w:t>
      </w:r>
    </w:p>
  </w:footnote>
  <w:footnote w:id="1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C(2019) 2400 final, 3.4.2019 г. и SWD(2019) 1240 final, 3.4.2019 г.</w:t>
      </w:r>
    </w:p>
  </w:footnote>
  <w:footnote w:id="1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630 final, 12.9.2018 г.</w:t>
      </w:r>
    </w:p>
  </w:footnote>
  <w:footnote w:id="1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9" w:tgtFrame="_blank" w:history="1">
        <w:r>
          <w:rPr>
            <w:rStyle w:val="Hyperlink"/>
            <w:rFonts w:ascii="Times New Roman" w:hAnsi="Times New Roman"/>
          </w:rPr>
          <w:t>https://ec.europa.eu/programmes/horizon2020/en/h2020-section/cross-cutting-activities-focus-areas</w:t>
        </w:r>
      </w:hyperlink>
      <w:r>
        <w:rPr>
          <w:rFonts w:ascii="Times New Roman" w:hAnsi="Times New Roman"/>
        </w:rPr>
        <w:t>.</w:t>
      </w:r>
    </w:p>
  </w:footnote>
  <w:footnote w:id="1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Директива (ЕС) 2016/1148, 6.7.2016 г.</w:t>
      </w:r>
    </w:p>
  </w:footnote>
  <w:footnote w:id="1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10" w:history="1">
        <w:r>
          <w:rPr>
            <w:rStyle w:val="Hyperlink"/>
            <w:rFonts w:ascii="Times New Roman" w:hAnsi="Times New Roman"/>
          </w:rPr>
          <w:t>http://data.consilium.europa.eu/doc/document/ST-9916-2017-INIT/bg/pdf</w:t>
        </w:r>
      </w:hyperlink>
      <w:r>
        <w:t>.</w:t>
      </w:r>
    </w:p>
  </w:footnote>
  <w:footnote w:id="1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Това включва кибератаки, както и опити за кибератаки с потенциално значително въздействие, включващи например достъп до информационни системи или прихващане на данни чрез цифрова инфраструктура, като 5G мрежи (вж. също раздел III относно повишаване на сигурността на цифровите инфраструктури).</w:t>
      </w:r>
    </w:p>
  </w:footnote>
  <w:footnote w:id="2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Вж. доклада относно прилагането на Съвместната рамка от 2016 г. за борба с хибридните заплахи и Съвместното съобщение от 2018 г. относно повишаването на устойчивостта и укрепването на способностите за борба с хибридните заплахи (SWD(2019) 200 final, 28.5.2019 г.). Вж. също законодателното предложение от септември 2016 г. за Регламент за въвеждане на режим на Съюза за контрол на износа, трансфера, брокерската дейност, техническата помощ и транзита на изделия с двойна употреба (преработен) (COM(2016) 616 final, 28.9.2016 г.).</w:t>
      </w:r>
    </w:p>
  </w:footnote>
  <w:footnote w:id="2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11" w:history="1">
        <w:r>
          <w:rPr>
            <w:rStyle w:val="Hyperlink"/>
            <w:rFonts w:ascii="Times New Roman" w:hAnsi="Times New Roman"/>
          </w:rPr>
          <w:t>https://www.consilium.europa.eu/bg/press/press-releases/2019/06/20/european-council-conclusions-20-june-2019/</w:t>
        </w:r>
      </w:hyperlink>
      <w:r>
        <w:rPr>
          <w:rFonts w:ascii="Times New Roman" w:hAnsi="Times New Roman"/>
        </w:rPr>
        <w:t>.</w:t>
      </w:r>
    </w:p>
  </w:footnote>
  <w:footnote w:id="2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Регламент (ЕС) 2019/1148 от 20 юни 2019 г. за предлагането на пазара и употребата на прекурсори на взривни вещества.</w:t>
      </w:r>
    </w:p>
  </w:footnote>
  <w:footnote w:id="2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Директива (ЕС) 2019/1153 от 11 юли 2019 г.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w:t>
      </w:r>
    </w:p>
  </w:footnote>
  <w:footnote w:id="2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Регламент (ЕС) 2019/1157 от 20 юни 2019 г. относно повишаване на сигурността на личните карти на гражданите на Съюза и на документите за пребиваване, издавани на гражданите на Съюза и на членовете на техните семейства, които упражняват правото си на свободно движение.</w:t>
      </w:r>
    </w:p>
  </w:footnote>
  <w:footnote w:id="2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По около 85 % от наказателните разследвания са необходими електронни доказателства, като в две трети от случаите доказателствата трябва да бъдат поискани от доставчици на онлайн услуги, установени в друга юрисдикция. Вж. оценката на въздействието, придружаваща законодателното предложение (SWD(2018) 118 final, 17.4.2018 г.).</w:t>
      </w:r>
    </w:p>
  </w:footnote>
  <w:footnote w:id="2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225 final, 17.4.2018 г. Съветът одобри своя мандат за водене на преговори по предложения регламент на заседанието на Съвета по правосъдие и вътрешни работи на 7 декември 2018 г.</w:t>
      </w:r>
    </w:p>
  </w:footnote>
  <w:footnote w:id="2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r>
        <w:rPr>
          <w:rFonts w:ascii="Times New Roman" w:hAnsi="Times New Roman"/>
          <w:spacing w:val="-4"/>
        </w:rPr>
        <w:t>COM(2018) 226 final, 17.4.2018 г. Съветът прие своята позиция за водене на преговори по предложената директива на заседанието на Съвета по правосъдие и вътрешни работи на 8 март 2019 г.</w:t>
      </w:r>
    </w:p>
  </w:footnote>
  <w:footnote w:id="2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12" w:history="1">
        <w:r>
          <w:rPr>
            <w:rStyle w:val="Hyperlink"/>
            <w:rFonts w:ascii="Times New Roman" w:hAnsi="Times New Roman"/>
          </w:rPr>
          <w:t>https://www.consilium.europa.eu/bg/press/press-releases/2019/06/06/council-gives-mandate-to-commission-to-negotiate-international-agreements-on-e-evidence-in-criminal-matters/</w:t>
        </w:r>
      </w:hyperlink>
      <w:r>
        <w:t>.</w:t>
      </w:r>
    </w:p>
  </w:footnote>
  <w:footnote w:id="29">
    <w:p>
      <w:pPr>
        <w:pStyle w:val="FootnoteText"/>
        <w:ind w:left="425" w:hanging="425"/>
        <w:jc w:val="both"/>
      </w:pPr>
      <w:r>
        <w:rPr>
          <w:rStyle w:val="FootnoteReference"/>
        </w:rPr>
        <w:footnoteRef/>
      </w:r>
      <w:r>
        <w:rPr>
          <w:rFonts w:ascii="Times New Roman" w:hAnsi="Times New Roman"/>
        </w:rPr>
        <w:tab/>
        <w:t>Регламент (ЕС) 2019/817, 20.5.2019 г. и Регламент (ЕС) 2019/818, 20.5.2019 г.</w:t>
      </w:r>
    </w:p>
  </w:footnote>
  <w:footnote w:id="3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Регламент (ЕС) 2017/2226, 30.11.2017 г.</w:t>
      </w:r>
    </w:p>
  </w:footnote>
  <w:footnote w:id="31">
    <w:p>
      <w:pPr>
        <w:pStyle w:val="FootnoteText"/>
        <w:tabs>
          <w:tab w:val="left" w:pos="567"/>
        </w:tabs>
        <w:ind w:left="425" w:hanging="425"/>
        <w:jc w:val="both"/>
        <w:rPr>
          <w:rFonts w:ascii="Times New Roman" w:hAnsi="Times New Roman" w:cs="Times New Roman"/>
        </w:rPr>
      </w:pPr>
      <w:r>
        <w:rPr>
          <w:rStyle w:val="FootnoteReference"/>
        </w:rPr>
        <w:footnoteRef/>
      </w:r>
      <w:r>
        <w:rPr>
          <w:rFonts w:ascii="Times New Roman" w:hAnsi="Times New Roman"/>
        </w:rPr>
        <w:tab/>
        <w:t>Регламент (ЕС) 2018/1240, 12.9.2018 г. и Регламент (ЕС) 2018/1241, 12.9.2018 г.</w:t>
      </w:r>
    </w:p>
  </w:footnote>
  <w:footnote w:id="3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Регламент (ЕС) 2018/1860, 28.11.2018 г., Регламент (ЕС) 2018/1861, 28.11.2018 г., Регламент (ЕС) 2018/1862, 28.11.2018 г.</w:t>
      </w:r>
    </w:p>
  </w:footnote>
  <w:footnote w:id="3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Регламент (ЕС) 2019/816, 17.4.2019 г.</w:t>
      </w:r>
    </w:p>
  </w:footnote>
  <w:footnote w:id="34">
    <w:p>
      <w:pPr>
        <w:pStyle w:val="FootnoteText"/>
        <w:tabs>
          <w:tab w:val="left" w:pos="567"/>
        </w:tabs>
        <w:ind w:left="425" w:hanging="425"/>
        <w:rPr>
          <w:rFonts w:ascii="Times New Roman" w:hAnsi="Times New Roman" w:cs="Times New Roman"/>
        </w:rPr>
      </w:pPr>
      <w:r>
        <w:rPr>
          <w:rStyle w:val="FootnoteReference"/>
        </w:rPr>
        <w:footnoteRef/>
      </w:r>
      <w:r>
        <w:rPr>
          <w:rFonts w:ascii="Times New Roman" w:hAnsi="Times New Roman"/>
        </w:rPr>
        <w:tab/>
        <w:t>COM(2019) 3 final и COM(2019) 4 final, 7.1.2019 г.</w:t>
      </w:r>
    </w:p>
  </w:footnote>
  <w:footnote w:id="3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302 final, 16.5.2018 г.</w:t>
      </w:r>
    </w:p>
  </w:footnote>
  <w:footnote w:id="3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COM(2016) 272 final, 4.5.2016 г.</w:t>
      </w:r>
    </w:p>
  </w:footnote>
  <w:footnote w:id="37">
    <w:p>
      <w:pPr>
        <w:pStyle w:val="FootnoteText"/>
        <w:tabs>
          <w:tab w:val="left" w:pos="567"/>
        </w:tabs>
        <w:ind w:left="425" w:hanging="425"/>
        <w:jc w:val="both"/>
        <w:rPr>
          <w:rFonts w:ascii="Times New Roman" w:hAnsi="Times New Roman" w:cs="Times New Roman"/>
        </w:rPr>
      </w:pPr>
      <w:r>
        <w:rPr>
          <w:rStyle w:val="FootnoteReference"/>
        </w:rPr>
        <w:footnoteRef/>
      </w:r>
      <w:r>
        <w:rPr>
          <w:rFonts w:ascii="Times New Roman" w:hAnsi="Times New Roman"/>
        </w:rPr>
        <w:tab/>
      </w:r>
      <w:hyperlink r:id="rId13" w:history="1">
        <w:r>
          <w:rPr>
            <w:rStyle w:val="Hyperlink"/>
            <w:rFonts w:ascii="Times New Roman" w:hAnsi="Times New Roman"/>
          </w:rPr>
          <w:t>https://www.consilium.europa.eu/bg/press/press-releases/2018/12/14/european-council-conclusions-13-14-december-2018/</w:t>
        </w:r>
      </w:hyperlink>
      <w:r>
        <w:rPr>
          <w:rFonts w:ascii="Times New Roman" w:hAnsi="Times New Roman"/>
        </w:rPr>
        <w:t>.</w:t>
      </w:r>
    </w:p>
  </w:footnote>
  <w:footnote w:id="3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COM(2019) 126 final, 6.3.2019 г.</w:t>
      </w:r>
    </w:p>
  </w:footnote>
  <w:footnote w:id="39">
    <w:p>
      <w:pPr>
        <w:pStyle w:val="FootnoteText"/>
        <w:ind w:left="425" w:hanging="425"/>
        <w:jc w:val="both"/>
        <w:rPr>
          <w:rFonts w:ascii="Times New Roman" w:hAnsi="Times New Roman"/>
        </w:rPr>
      </w:pPr>
      <w:r>
        <w:rPr>
          <w:rStyle w:val="FootnoteReference"/>
        </w:rPr>
        <w:footnoteRef/>
      </w:r>
      <w:r>
        <w:rPr>
          <w:rFonts w:ascii="Times New Roman" w:hAnsi="Times New Roman"/>
        </w:rPr>
        <w:tab/>
      </w:r>
      <w:hyperlink r:id="rId14" w:history="1">
        <w:r>
          <w:rPr>
            <w:rStyle w:val="Hyperlink"/>
            <w:rFonts w:ascii="Times New Roman" w:hAnsi="Times New Roman"/>
          </w:rPr>
          <w:t>https://data.consilium.europa.eu/doc/document/ST-1-2019-INIT/bg/pdf</w:t>
        </w:r>
      </w:hyperlink>
      <w:r>
        <w:t>.</w:t>
      </w:r>
    </w:p>
  </w:footnote>
  <w:footnote w:id="40">
    <w:p>
      <w:pPr>
        <w:pStyle w:val="FootnoteText"/>
        <w:ind w:left="425" w:hanging="425"/>
        <w:jc w:val="both"/>
        <w:rPr>
          <w:rFonts w:ascii="Times New Roman" w:hAnsi="Times New Roman"/>
        </w:rPr>
      </w:pPr>
      <w:r>
        <w:rPr>
          <w:rStyle w:val="FootnoteReference"/>
        </w:rPr>
        <w:footnoteRef/>
      </w:r>
      <w:r>
        <w:rPr>
          <w:rFonts w:ascii="Times New Roman" w:hAnsi="Times New Roman"/>
        </w:rPr>
        <w:tab/>
        <w:t>C(2019) 2335 final, 26.3.2019 г.</w:t>
      </w:r>
    </w:p>
  </w:footnote>
  <w:footnote w:id="41">
    <w:p>
      <w:pPr>
        <w:pStyle w:val="FootnoteText"/>
        <w:ind w:left="425" w:hanging="425"/>
        <w:jc w:val="both"/>
        <w:rPr>
          <w:rFonts w:ascii="Times New Roman" w:hAnsi="Times New Roman"/>
        </w:rPr>
      </w:pPr>
      <w:r>
        <w:rPr>
          <w:rStyle w:val="FootnoteReference"/>
        </w:rPr>
        <w:footnoteRef/>
      </w:r>
      <w:r>
        <w:rPr>
          <w:rFonts w:ascii="Times New Roman" w:hAnsi="Times New Roman"/>
        </w:rPr>
        <w:tab/>
        <w:t>Групата за сътрудничество в областта на мрежовата и информационната сигурност е създадена с Директива (ЕС) 2016/1148 от 6 юли 2016 г. за мрежова и информационна сигурност. Както е предвидено в Препоръката, в рамките на Групата за сътрудничество в областта на мрежовата и информационната сигурност беше създадено специално работно направление под ръководството на няколко държави членки. Групата вече заседава три пъти — през април, май и юли 2019 г. — за да сподели информация за националните подходи и да обсъди как да се улесни изготвянето на координираната оценка на риска на равнището на ЕС.</w:t>
      </w:r>
    </w:p>
  </w:footnote>
  <w:footnote w:id="42">
    <w:p>
      <w:pPr>
        <w:pStyle w:val="FootnoteText"/>
        <w:ind w:left="425" w:hanging="425"/>
        <w:jc w:val="both"/>
      </w:pPr>
      <w:r>
        <w:rPr>
          <w:rStyle w:val="FootnoteReference"/>
        </w:rPr>
        <w:footnoteRef/>
      </w:r>
      <w:r>
        <w:rPr>
          <w:rFonts w:ascii="Times New Roman" w:hAnsi="Times New Roman"/>
        </w:rPr>
        <w:tab/>
        <w:t>Регламент (ЕС) 2019/452 от 19 март 2019 г. за създаване на рамка за скрининг на преки чуждестранни инвестиции в Съюза. Новата уредба създава механизъм за сътрудничество, чрез който държавите членки и Комисията ще могат да обменят информация и да поставят за разглеждане конкретни опасения, свързани с конкретни инвестиции. Тя също така ще позволи на Комисията да изготвя становища в случаите, когато дадена инвестиция заплашва сигурността или обществения ред в няколко държави членки или би могла да засегне проект или програма от интерес за целия ЕС. Държавата членка, в която се извършва инвестицията, има последната дума как да третира инвестицията.</w:t>
      </w:r>
    </w:p>
  </w:footnote>
  <w:footnote w:id="4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Доклад относно оценката на рисковете от изпиране на пари и финансиране на тероризъм, които засягат вътрешния пазар и са свързани с презгранични дейности (COM(2019) 370 final, 24.7.2019 г.), Доклад относно свързването на националните централизирани автоматизирани механизми (централни регистри или централни системи за извличане на електронни данни) на банковите сметки на държавите членки (COM(2019) 372 final, 24.7.2019 г.), Доклад относно оценката на неотдавнашните твърдения за случаи на изпиране на пари, свързани с кредитните институции в ЕС (COM(2019) 373 final, 24.7.2019 г.), Доклад за оценка на рамката за сътрудничество между звената за финансово разузнаване (COM(2019) 371 final, 24.7.2019 г.).</w:t>
      </w:r>
    </w:p>
  </w:footnote>
  <w:footnote w:id="4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Директива (ЕС) 2015/849, 20.5.2015 г.</w:t>
      </w:r>
    </w:p>
  </w:footnote>
  <w:footnote w:id="4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Директива (ЕС) 2019/1153, 20.6.2019 г.</w:t>
      </w:r>
    </w:p>
  </w:footnote>
  <w:footnote w:id="46">
    <w:p>
      <w:pPr>
        <w:pStyle w:val="FootnoteText"/>
        <w:ind w:left="425" w:hanging="425"/>
        <w:jc w:val="both"/>
      </w:pPr>
      <w:r>
        <w:rPr>
          <w:rStyle w:val="FootnoteReference"/>
        </w:rPr>
        <w:footnoteRef/>
      </w:r>
      <w:r>
        <w:rPr>
          <w:rFonts w:ascii="Times New Roman" w:hAnsi="Times New Roman"/>
        </w:rPr>
        <w:tab/>
        <w:t>Тази оценка се изисква съгласно член 65, параграф 2 от Петата директива относно борбата с изпирането на пари (Директива (ЕС) 2018/843, 30.5.2018 г.).</w:t>
      </w:r>
    </w:p>
  </w:footnote>
  <w:footnote w:id="4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В своя окончателен доклад, приет през декември 2018 г., специалната комисия на Европейския парламент относно тероризма призова за създаването на система на Европейския съюз за проследяване на финансирането на тероризма, насочена към трансакциите между физически лица с връзки с тероризма и тяхното финансиране в рамките на единната зона за плащания в евро.</w:t>
      </w:r>
    </w:p>
  </w:footnote>
  <w:footnote w:id="4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Вж. Осемнадесетия доклад за напредъка по създаването на ефективен и истински Съюз на сигурност (COM(2019) 145 final, 20.3.2019 г.).</w:t>
      </w:r>
    </w:p>
  </w:footnote>
  <w:footnote w:id="49">
    <w:p>
      <w:pPr>
        <w:pStyle w:val="FootnoteText"/>
        <w:ind w:left="426" w:hanging="426"/>
        <w:jc w:val="both"/>
        <w:rPr>
          <w:rFonts w:ascii="Times New Roman" w:hAnsi="Times New Roman" w:cs="Times New Roman"/>
        </w:rPr>
      </w:pPr>
      <w:r>
        <w:rPr>
          <w:rStyle w:val="FootnoteReference"/>
        </w:rPr>
        <w:footnoteRef/>
      </w:r>
      <w:r>
        <w:rPr>
          <w:rFonts w:ascii="Times New Roman" w:hAnsi="Times New Roman"/>
        </w:rPr>
        <w:tab/>
        <w:t>Директива (ЕС) 2016/681, 27.4.2016 г.</w:t>
      </w:r>
    </w:p>
  </w:footnote>
  <w:footnote w:id="5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В позоваванията на уведомление за пълно транспониране се вземат предвид уведомленията на държавите членки и не се засяга проверката на транспонирането от службите на Комисията.</w:t>
      </w:r>
    </w:p>
  </w:footnote>
  <w:footnote w:id="5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Словения изпрати уведомление за частично транспониране. Испания не е изпратила уведомление за транспониране (положение към 24 юли 2019 г.).</w:t>
      </w:r>
    </w:p>
  </w:footnote>
  <w:footnote w:id="52">
    <w:p>
      <w:pPr>
        <w:pStyle w:val="FootnoteText"/>
        <w:ind w:left="426" w:hanging="426"/>
        <w:jc w:val="both"/>
        <w:rPr>
          <w:rFonts w:ascii="Times New Roman" w:hAnsi="Times New Roman" w:cs="Times New Roman"/>
          <w:color w:val="000000" w:themeColor="text1"/>
        </w:rPr>
      </w:pPr>
      <w:r>
        <w:rPr>
          <w:rStyle w:val="FootnoteReference"/>
        </w:rPr>
        <w:footnoteRef/>
      </w:r>
      <w:r>
        <w:rPr>
          <w:rFonts w:ascii="Times New Roman" w:hAnsi="Times New Roman"/>
        </w:rPr>
        <w:tab/>
        <w:t>Директива (ЕС) 2017/541, 15.3.2017 г.</w:t>
      </w:r>
    </w:p>
  </w:footnote>
  <w:footnote w:id="53">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Полша изпрати уведомление за частично транспониране. Гърция и Люксембург не са изпрати уведомление за транспониране (положение към 24 юли 2019 г.).</w:t>
      </w:r>
    </w:p>
  </w:footnote>
  <w:footnote w:id="54">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Директива (ЕС) 2017/853, 17.5.2017 г.</w:t>
      </w:r>
    </w:p>
  </w:footnote>
  <w:footnote w:id="5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Белгия, Чехия, Естония, Литва, Полша, Португалия, Швеция и Обединеното кралство са изпратили уведомление за частично транспониране. Германия, Ирландия, Гърция, Испания, Кипър, Люксембург, Унгария, Нидерландия, Румъния, Словения, Словакия и Финландия не са изпратили уведомление за транспониране (положение към 24 юли 2019 г.).</w:t>
      </w:r>
    </w:p>
  </w:footnote>
  <w:footnote w:id="5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Директива (ЕС) 2016/680, 27.4.2016 г.</w:t>
      </w:r>
    </w:p>
  </w:footnote>
  <w:footnote w:id="57">
    <w:p>
      <w:pPr>
        <w:pStyle w:val="FootnoteText"/>
        <w:ind w:left="425" w:hanging="425"/>
        <w:jc w:val="both"/>
      </w:pPr>
      <w:r>
        <w:rPr>
          <w:rStyle w:val="FootnoteReference"/>
        </w:rPr>
        <w:footnoteRef/>
      </w:r>
      <w:r>
        <w:rPr>
          <w:rFonts w:ascii="Times New Roman" w:hAnsi="Times New Roman"/>
        </w:rPr>
        <w:tab/>
        <w:t>20 държави членки са приключили транспонирането (положение към 24 юли 2019 г.).</w:t>
      </w:r>
    </w:p>
  </w:footnote>
  <w:footnote w:id="5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Латвия, Португалия, Словения и Финландия изпратиха уведомление за частично транспониране. Гърция и Испания не са изпратили уведомление за транспониране. Въпреки че Германия изпрати уведомление за пълно транспониране, Комисията е на мнение, че транспонирането не е пълно (положение към 24 юли 2019 г.).</w:t>
      </w:r>
    </w:p>
  </w:footnote>
  <w:footnote w:id="5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Директива (ЕС) 2016/1148, 27.4.2016 г.</w:t>
      </w:r>
    </w:p>
  </w:footnote>
  <w:footnote w:id="60">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Белгия и Унгария са транспонирали Директивата частично (положение към 24 юли 2019 г.).</w:t>
      </w:r>
    </w:p>
  </w:footnote>
  <w:footnote w:id="6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Директива (ЕС) 2015/849, 20.5.2015 г.</w:t>
      </w:r>
    </w:p>
  </w:footnote>
  <w:footnote w:id="62">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Белгия, България, Чехия, Дания, Германия, Естония, Ирландия, Испания, Франция, Италия, Кипър, Латвия, Литва, Унгария, Нидерландия, Австрия, Полша, Португалия, Румъния, Словения, Словакия, Финландия, Швеция и Обединеното кралство (положение към 24 юли 2019 г.).</w:t>
      </w:r>
    </w:p>
  </w:footnote>
  <w:footnote w:id="63">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Словения изпрати уведомление за частично транспониране. Испания не е изпратила уведомление за транспониране (положение към 24 юли 2019 г.).</w:t>
      </w:r>
    </w:p>
  </w:footnote>
  <w:footnote w:id="64">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Унгария изпрати уведомление за частично транспониране. Гърция и Люксембург не са изпрати уведомление за транспониране (положение към 24 юли 2019 г.).</w:t>
      </w:r>
    </w:p>
  </w:footnote>
  <w:footnote w:id="65">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Белгия, Чехия, Естония, Литва, Полша, Португалия, Швеция и Обединеното кралство са изпратили уведомление за частично транспониране. Германия, Ирландия, Гърция, Испания, Кипър, Люксембург, Унгария, Нидерландия, Румъния, Словения, Словакия и Финландия не са изпратили уведомление за транспониране (положение към 24 юли 2019 г.).</w:t>
      </w:r>
    </w:p>
  </w:footnote>
  <w:footnote w:id="66">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Латвия, Португалия, Словения и Финландия са изпратили уведомление за частично транспониране. Гърция и Испания не са изпратили уведомление за транспониране. Въпреки че Германия изпрати уведомление за пълно транспониране, Комисията е на мнение, че транспонирането не е пълно (положение към 24 юли 2019 г.).</w:t>
      </w:r>
    </w:p>
  </w:footnote>
  <w:footnote w:id="67">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Белгия и Унгария са транспонирали частично Директивата (положение към 24 юли 2019 г.).</w:t>
      </w:r>
    </w:p>
  </w:footnote>
  <w:footnote w:id="68">
    <w:p>
      <w:pPr>
        <w:pStyle w:val="FootnoteText"/>
        <w:ind w:left="425" w:hanging="425"/>
        <w:jc w:val="both"/>
        <w:rPr>
          <w:rFonts w:ascii="Times New Roman" w:hAnsi="Times New Roman" w:cs="Times New Roman"/>
          <w:color w:val="000000" w:themeColor="text1"/>
        </w:rPr>
      </w:pPr>
      <w:r>
        <w:rPr>
          <w:rStyle w:val="FootnoteReference"/>
        </w:rPr>
        <w:footnoteRef/>
      </w:r>
      <w:r>
        <w:rPr>
          <w:rFonts w:ascii="Times New Roman" w:hAnsi="Times New Roman"/>
        </w:rPr>
        <w:tab/>
        <w:t>Белгия, България, Чехия, Дания, Германия, Естония, Ирландия, Испания, Франция, Италия, Кипър, Латвия, Литва, Унгария, Нидерландия, Австрия, Полша, Португалия, Румъния, Словения, Словакия, Финландия, Швеция и Обединеното кралство (положение към 24 юли 2019 г.).</w:t>
      </w:r>
    </w:p>
  </w:footnote>
  <w:footnote w:id="6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Вж. Плана за действие за борба с дезинформацията (JOIN(2018) 36 final, 5.12.2018 г.).</w:t>
      </w:r>
    </w:p>
  </w:footnote>
  <w:footnote w:id="7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JOIN(2019) 12 final, 14.6.2019 г.).</w:t>
      </w:r>
    </w:p>
  </w:footnote>
  <w:footnote w:id="71">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15" w:history="1">
        <w:r>
          <w:rPr>
            <w:rStyle w:val="Hyperlink"/>
            <w:rFonts w:ascii="Times New Roman" w:hAnsi="Times New Roman"/>
          </w:rPr>
          <w:t>https://www.consilium.europa.eu/bg/press/press-releases/2019/06/20/european-council-conclusions-20-june-2019/</w:t>
        </w:r>
      </w:hyperlink>
      <w:r>
        <w:t>.</w:t>
      </w:r>
      <w:r>
        <w:rPr>
          <w:rFonts w:ascii="Times New Roman" w:hAnsi="Times New Roman"/>
        </w:rPr>
        <w:t xml:space="preserve"> Призивът на Европейския съвет се основава на принос от страна на румънското председателство на Съвета и на принос на Комисията и върховния представител на Съюза по въпросите на външните работи и политиката на сигурност по отношение на извлечените поуки в областта на дезинформацията и гарантирането на свободни и честни избори, включително Съвместното съобщение относно изпълнението на Плана за действие за борба с дезинформацията.</w:t>
      </w:r>
    </w:p>
  </w:footnote>
  <w:footnote w:id="7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Кодексът за поведение беше подписан от онлайн платформите Facebook, Google, Twitter и Mozilla, както и от рекламодатели и представители на рекламната индустрия през октомври 2018 г. и определя стандарти за саморегулиране за борба с дезинформацията. Кодексът има за цел постигането на целите, определени в Съобщението на Комисията относно борбата с дезинформацията, разпространявана онлайн (COM(2018) 236 final, 26.4.2018 г.) от април 2018 г., като в него се определя широк спектър от ангажименти — от прозрачността по отношение на политическата реклама до закриването на фалшиви профили и демонетизацията на разпространителите на дезинформация.</w:t>
      </w:r>
    </w:p>
  </w:footnote>
  <w:footnote w:id="7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Европейската мрежа за сътрудничество в областта на изборите обединява звената за контакт на националните мрежи за изборно сътрудничество, състоящи се от органи, компетентни по въпроси, свързани с изборите, и органи, отговарящи за мониторинга и прилагането на правилата относно онлайн дейностите, свързани с изборния контекст. Европейската мрежа за сътрудничество в областта на изборите служи за предупреждение за заплахите, обмен на най-добри практики между националните мрежи, обсъждане на общи решения за идентифициране на предизвикателства и насърчаване на общи проекти и учения между националните мрежи.</w:t>
      </w:r>
    </w:p>
  </w:footnote>
  <w:footnote w:id="7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Групата на европейските регулатори за аудиовизуални медийни услуги обединява ръководители или представители на високо равнище на национални независими регулаторни органи в областта на аудиовизуалните услуги, които съветват Комисията във връзка с прилагането на Директивата на ЕС за аудиовизуалните медийни услуги (Директива 2010/13/ЕС, 10.3.2010 г.). На последното си заседание на 20 и 21 юни 2019 г. в Братислава групата представи резултатите от работата до този момент по въпросите на дезинформацията, с акцент върху изборите за Европейски парламент през 2019 г. и свързаните с тях области на политическа и тематично ориентирана реклама.</w:t>
      </w:r>
    </w:p>
  </w:footnote>
  <w:footnote w:id="7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Вж. „Добри практики за публичните органи и частните оператори за укрепване на сигурността на обществените пространства“, включени в Осемнадесетия доклад за напредъка по създаването на ефективен и истински Съюз на сигурност (COM(2019) 145 final, 20.3.2019 г.). Това се основава на Плана за действие от октомври 2017 г. за подкрепа на защитата на обществените пространства (COM(2017) 612 final, 18.10.2017 г.). На 5 юни 2019 г. се проведе третата среща на Форума на частните оператори на Форума на ЕС за защита на обществените пространства. Тя събра представители на държавите — членки на ЕС, и частни оператори на обществени пространства, представени чрез 14 европейски асоциации, обхващащи сектора на хотелиерството, изпълненията на живо, музиката и развлеченията, увеселителните паркове и атракции, въздухоплаването, железопътния транспорт, търговските центрове, телекомуникациите, както и частните охранителни услуги и производителите на оборудване в сферата на сигурността.</w:t>
      </w:r>
    </w:p>
  </w:footnote>
  <w:footnote w:id="7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По-специално чрез изпълнението на Плана за действие за подобряване на готовността за действие срещу химически, биологични, радиологични и ядрени рискове за сигурността от октомври 2017 г. (COM(2017) 610 final, 18.10.2017 г.).</w:t>
      </w:r>
    </w:p>
  </w:footnote>
  <w:footnote w:id="77">
    <w:p>
      <w:pPr>
        <w:pStyle w:val="FootnoteText"/>
        <w:ind w:left="426" w:hanging="426"/>
        <w:rPr>
          <w:rFonts w:ascii="Times New Roman" w:hAnsi="Times New Roman" w:cs="Times New Roman"/>
        </w:rPr>
      </w:pPr>
      <w:r>
        <w:rPr>
          <w:rStyle w:val="FootnoteReference"/>
        </w:rPr>
        <w:footnoteRef/>
      </w:r>
      <w:r>
        <w:rPr>
          <w:rFonts w:ascii="Times New Roman" w:hAnsi="Times New Roman"/>
        </w:rPr>
        <w:tab/>
        <w:t>Вж. член 12, параграф 2 от Решение № 1313/2013/ЕС относно Механизъм за гражданска защита на Съюза от 17 декември 2013 г., изменено с Решение (ЕС) 2019/420 от 13 март 2019 г.</w:t>
      </w:r>
    </w:p>
  </w:footnote>
  <w:footnote w:id="78">
    <w:p>
      <w:pPr>
        <w:pStyle w:val="Footnote10"/>
        <w:shd w:val="clear" w:color="auto" w:fill="auto"/>
        <w:tabs>
          <w:tab w:val="left" w:pos="432"/>
        </w:tabs>
        <w:ind w:left="460" w:hanging="460"/>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ab/>
        <w:t>Вж. засилените действия срещу химическите заплахи, представени в Петнадесетия доклад за напредъка по създаването на ефективен и истински Съюз на сигурност (COM(2018) 470 final, 13.6.2018 г.).</w:t>
      </w:r>
    </w:p>
  </w:footnote>
  <w:footnote w:id="79">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Регламент за изпълнение (ЕС) 2019/947 на Комисията от 24 май 2019 г. относно правилата и процедурите за експлоатация на безпилотни въздухоплавателни средства (ОВ L 152, 11.6.2019 г.).</w:t>
      </w:r>
    </w:p>
  </w:footnote>
  <w:footnote w:id="80">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Цялостната оценка на политиката за сигурност на ЕС от 2017 г. (SWD(2017) 278 final, 26.7.2017 г.) сочи, че е необходимо да се възприеме по-широк поглед по отношение на политиката в областта на защитата на критичните инфраструктури на ЕС.</w:t>
      </w:r>
    </w:p>
  </w:footnote>
  <w:footnote w:id="81">
    <w:p>
      <w:pPr>
        <w:pStyle w:val="FootnoteText"/>
        <w:spacing w:beforeLines="1" w:before="2"/>
        <w:ind w:left="425" w:hanging="425"/>
        <w:jc w:val="both"/>
        <w:rPr>
          <w:rFonts w:ascii="Times New Roman" w:hAnsi="Times New Roman" w:cs="Times New Roman"/>
        </w:rPr>
      </w:pPr>
      <w:r>
        <w:rPr>
          <w:rStyle w:val="FootnoteReference"/>
        </w:rPr>
        <w:footnoteRef/>
      </w:r>
      <w:r>
        <w:rPr>
          <w:rFonts w:ascii="Times New Roman" w:hAnsi="Times New Roman"/>
        </w:rPr>
        <w:tab/>
        <w:t>Директива 2008/114/ЕО на Съвета от 8 декември 2008 г. относно установяването и означаването на европейски критични инфраструктури и оценката на необходимостта от подобряване на тяхната защита има за цел да повиши защитата на критичните инфраструктури в Европейския съюз.</w:t>
      </w:r>
    </w:p>
  </w:footnote>
  <w:footnote w:id="82">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По-специално Регламент (ЕС) 2017/1938 от 25 октомври 2017 г. относно мерките за гарантиране на сигурността на доставките на газ и Регламент (ЕС) 2019/941 от 5 юни 2019 г. за готовност за справяне с рискове в електроенергийния сектор.</w:t>
      </w:r>
    </w:p>
  </w:footnote>
  <w:footnote w:id="83">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16" w:history="1">
        <w:r>
          <w:rPr>
            <w:rStyle w:val="Hyperlink"/>
            <w:rFonts w:ascii="Times New Roman" w:hAnsi="Times New Roman"/>
          </w:rPr>
          <w:t>https://eeas.europa.eu/sites/eeas/files/2019042019_un-eu_framework_on_counter-terrorism.pdf</w:t>
        </w:r>
      </w:hyperlink>
      <w:r>
        <w:rPr>
          <w:rFonts w:ascii="Times New Roman" w:hAnsi="Times New Roman"/>
        </w:rPr>
        <w:t>.</w:t>
      </w:r>
    </w:p>
  </w:footnote>
  <w:footnote w:id="84">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COM(2018) 65 final, 6.2.2018 г.</w:t>
      </w:r>
    </w:p>
  </w:footnote>
  <w:footnote w:id="85">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r>
      <w:hyperlink r:id="rId17" w:history="1">
        <w:r>
          <w:rPr>
            <w:rStyle w:val="Hyperlink"/>
            <w:rFonts w:ascii="Times New Roman" w:hAnsi="Times New Roman"/>
          </w:rPr>
          <w:t>https://ec.europa.eu/home-affairs/sites/homeaffairs/files/what-we-do/policies/european-agenda-security/20190627_com-2019-293-commission-report_en.pdf</w:t>
        </w:r>
      </w:hyperlink>
      <w:r>
        <w:rPr>
          <w:rFonts w:ascii="Times New Roman" w:hAnsi="Times New Roman"/>
        </w:rPr>
        <w:t>.</w:t>
      </w:r>
    </w:p>
  </w:footnote>
  <w:footnote w:id="86">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OВ L 215, 11.8.2012 г., стр. 5.</w:t>
      </w:r>
    </w:p>
  </w:footnote>
  <w:footnote w:id="87">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OВ L 195, 27.7.2010 г., стр. 5.</w:t>
      </w:r>
    </w:p>
  </w:footnote>
  <w:footnote w:id="88">
    <w:p>
      <w:pPr>
        <w:pStyle w:val="FootnoteText"/>
        <w:ind w:left="425" w:hanging="425"/>
        <w:jc w:val="both"/>
        <w:rPr>
          <w:rFonts w:ascii="Times New Roman" w:hAnsi="Times New Roman" w:cs="Times New Roman"/>
        </w:rPr>
      </w:pPr>
      <w:r>
        <w:rPr>
          <w:rStyle w:val="FootnoteReference"/>
        </w:rPr>
        <w:footnoteRef/>
      </w:r>
      <w:r>
        <w:rPr>
          <w:rFonts w:ascii="Times New Roman" w:hAnsi="Times New Roman"/>
        </w:rPr>
        <w:tab/>
        <w:t>COM(2019) 342 final, 22.7.2019 г.</w:t>
      </w:r>
    </w:p>
  </w:footnote>
  <w:footnote w:id="89">
    <w:p>
      <w:pPr>
        <w:pStyle w:val="FootnoteText"/>
        <w:ind w:left="425" w:hanging="425"/>
        <w:jc w:val="both"/>
      </w:pPr>
      <w:r>
        <w:rPr>
          <w:rStyle w:val="FootnoteReference"/>
        </w:rPr>
        <w:footnoteRef/>
      </w:r>
      <w:r>
        <w:rPr>
          <w:rFonts w:ascii="Times New Roman" w:hAnsi="Times New Roman"/>
        </w:rPr>
        <w:tab/>
        <w:t>OВ L 186, 14.7.2012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666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4CF1"/>
    <w:multiLevelType w:val="hybridMultilevel"/>
    <w:tmpl w:val="E69A4D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8F686F"/>
    <w:multiLevelType w:val="hybridMultilevel"/>
    <w:tmpl w:val="71BCB600"/>
    <w:lvl w:ilvl="0" w:tplc="912485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2063A2"/>
    <w:multiLevelType w:val="hybridMultilevel"/>
    <w:tmpl w:val="0BF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9A33A0"/>
    <w:multiLevelType w:val="hybridMultilevel"/>
    <w:tmpl w:val="99909910"/>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90C2819"/>
    <w:multiLevelType w:val="hybridMultilevel"/>
    <w:tmpl w:val="2274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241F82"/>
    <w:multiLevelType w:val="hybridMultilevel"/>
    <w:tmpl w:val="F8A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26A5515C"/>
    <w:multiLevelType w:val="multilevel"/>
    <w:tmpl w:val="EFFAD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797F99"/>
    <w:multiLevelType w:val="hybridMultilevel"/>
    <w:tmpl w:val="B636A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2D4DB2"/>
    <w:multiLevelType w:val="hybridMultilevel"/>
    <w:tmpl w:val="2D3E159C"/>
    <w:lvl w:ilvl="0" w:tplc="7554B212">
      <w:start w:val="1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14A1617"/>
    <w:multiLevelType w:val="hybridMultilevel"/>
    <w:tmpl w:val="897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938C6"/>
    <w:multiLevelType w:val="hybridMultilevel"/>
    <w:tmpl w:val="ADF40502"/>
    <w:lvl w:ilvl="0" w:tplc="833E69A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D86192"/>
    <w:multiLevelType w:val="hybridMultilevel"/>
    <w:tmpl w:val="B51EB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C93103"/>
    <w:multiLevelType w:val="hybridMultilevel"/>
    <w:tmpl w:val="E5488D0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00C44A9"/>
    <w:multiLevelType w:val="hybridMultilevel"/>
    <w:tmpl w:val="65CA8E72"/>
    <w:lvl w:ilvl="0" w:tplc="70D28B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F0CD6"/>
    <w:multiLevelType w:val="hybridMultilevel"/>
    <w:tmpl w:val="2B40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C5BB5"/>
    <w:multiLevelType w:val="hybridMultilevel"/>
    <w:tmpl w:val="C736F902"/>
    <w:lvl w:ilvl="0" w:tplc="60E6C220">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1E0375"/>
    <w:multiLevelType w:val="hybridMultilevel"/>
    <w:tmpl w:val="BD061C44"/>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C790A24"/>
    <w:multiLevelType w:val="hybridMultilevel"/>
    <w:tmpl w:val="559A5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3C577F"/>
    <w:multiLevelType w:val="hybridMultilevel"/>
    <w:tmpl w:val="DDF23C5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3E37D2A"/>
    <w:multiLevelType w:val="hybridMultilevel"/>
    <w:tmpl w:val="D792BC4A"/>
    <w:lvl w:ilvl="0" w:tplc="03A055B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9BF39C0"/>
    <w:multiLevelType w:val="multilevel"/>
    <w:tmpl w:val="9004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E31336"/>
    <w:multiLevelType w:val="hybridMultilevel"/>
    <w:tmpl w:val="F0220B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AA64924"/>
    <w:multiLevelType w:val="hybridMultilevel"/>
    <w:tmpl w:val="446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210C0A"/>
    <w:multiLevelType w:val="hybridMultilevel"/>
    <w:tmpl w:val="6C9C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E4719"/>
    <w:multiLevelType w:val="hybridMultilevel"/>
    <w:tmpl w:val="A584401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6">
    <w:nsid w:val="61B77CD6"/>
    <w:multiLevelType w:val="hybridMultilevel"/>
    <w:tmpl w:val="D9C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4FD0C73"/>
    <w:multiLevelType w:val="hybridMultilevel"/>
    <w:tmpl w:val="A09CF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B729CA"/>
    <w:multiLevelType w:val="hybridMultilevel"/>
    <w:tmpl w:val="F12A9892"/>
    <w:lvl w:ilvl="0" w:tplc="0809000F">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29">
    <w:nsid w:val="7462349C"/>
    <w:multiLevelType w:val="multilevel"/>
    <w:tmpl w:val="EAF4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3406A8"/>
    <w:multiLevelType w:val="hybridMultilevel"/>
    <w:tmpl w:val="A4F855B0"/>
    <w:lvl w:ilvl="0" w:tplc="C5D4F71E">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EB2E76"/>
    <w:multiLevelType w:val="multilevel"/>
    <w:tmpl w:val="592083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decimal"/>
      <w:pStyle w:val="Heading3"/>
      <w:lvlText w:val="%3"/>
      <w:lvlJc w:val="left"/>
      <w:pPr>
        <w:ind w:left="1283" w:hanging="432"/>
      </w:pPr>
      <w:rPr>
        <w:b w:val="0"/>
        <w:strike w:val="0"/>
        <w:dstrike w:val="0"/>
        <w:color w:val="auto"/>
        <w:u w:val="none"/>
        <w:effect w:val="none"/>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0"/>
  </w:num>
  <w:num w:numId="3">
    <w:abstractNumId w:val="5"/>
  </w:num>
  <w:num w:numId="4">
    <w:abstractNumId w:val="12"/>
  </w:num>
  <w:num w:numId="5">
    <w:abstractNumId w:val="3"/>
  </w:num>
  <w:num w:numId="6">
    <w:abstractNumId w:val="10"/>
  </w:num>
  <w:num w:numId="7">
    <w:abstractNumId w:val="23"/>
  </w:num>
  <w:num w:numId="8">
    <w:abstractNumId w:val="8"/>
  </w:num>
  <w:num w:numId="9">
    <w:abstractNumId w:val="26"/>
  </w:num>
  <w:num w:numId="10">
    <w:abstractNumId w:val="1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0"/>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8"/>
  </w:num>
  <w:num w:numId="20">
    <w:abstractNumId w:val="2"/>
  </w:num>
  <w:num w:numId="21">
    <w:abstractNumId w:val="13"/>
  </w:num>
  <w:num w:numId="22">
    <w:abstractNumId w:val="17"/>
  </w:num>
  <w:num w:numId="23">
    <w:abstractNumId w:val="19"/>
  </w:num>
  <w:num w:numId="24">
    <w:abstractNumId w:val="4"/>
  </w:num>
  <w:num w:numId="25">
    <w:abstractNumId w:val="21"/>
  </w:num>
  <w:num w:numId="26">
    <w:abstractNumId w:val="27"/>
  </w:num>
  <w:num w:numId="27">
    <w:abstractNumId w:val="18"/>
  </w:num>
  <w:num w:numId="28">
    <w:abstractNumId w:val="24"/>
  </w:num>
  <w:num w:numId="29">
    <w:abstractNumId w:val="14"/>
  </w:num>
  <w:num w:numId="30">
    <w:abstractNumId w:val="30"/>
  </w:num>
  <w:num w:numId="31">
    <w:abstractNumId w:val="7"/>
  </w:num>
  <w:num w:numId="32">
    <w:abstractNumId w:val="9"/>
  </w:num>
  <w:num w:numId="33">
    <w:abstractNumId w:val="11"/>
  </w:num>
  <w:num w:numId="34">
    <w:abstractNumId w:val="16"/>
  </w:num>
  <w:num w:numId="35">
    <w:abstractNumId w:val="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hideSpellingErrors/>
  <w:hideGrammaticalErrors/>
  <w:activeWritingStyle w:appName="MSWord" w:lang="fr-BE" w:vendorID="64" w:dllVersion="6" w:nlCheck="1" w:checkStyle="0"/>
  <w:activeWritingStyle w:appName="MSWord" w:lang="pt-PT" w:vendorID="64" w:dllVersion="6" w:nlCheck="1" w:checkStyle="0"/>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pt-PT" w:vendorID="64" w:dllVersion="0" w:nlCheck="1" w:checkStyle="0"/>
  <w:activeWritingStyle w:appName="MSWord" w:lang="fr-FR" w:vendorID="64" w:dllVersion="4096" w:nlCheck="1" w:checkStyle="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4096"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F793E8-6C32-40D4-BBB4-AD30FAD7ABA1"/>
    <w:docVar w:name="LW_COVERPAGE_TYPE" w:val="1"/>
    <w:docVar w:name="LW_CROSSREFERENCE" w:val="&lt;UNUSED&gt;"/>
    <w:docVar w:name="LW_DocType" w:val="NORMAL"/>
    <w:docVar w:name="LW_EMISSION" w:val="24.7.2019"/>
    <w:docVar w:name="LW_EMISSION_ISODATE" w:val="2019-07-24"/>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44?\u1077?\u1074?\u1077?\u1090?\u1085?\u1072?\u1076?\u1077?\u1089?\u1077?\u1090?\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lt;/FMT&gt;"/>
    <w:docVar w:name="LW_TYPE.DOC.CP" w:val="\u1057?\u1066?\u1054?\u1041?\u1065?\u1045?\u1053?\u1048?\u1045? \u1054?\u1058?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Ref"/>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character" w:customStyle="1" w:styleId="Footnote1">
    <w:name w:val="Footnote|1_"/>
    <w:basedOn w:val="DefaultParagraphFont"/>
    <w:link w:val="Footnote10"/>
    <w:rPr>
      <w:sz w:val="20"/>
      <w:szCs w:val="20"/>
      <w:shd w:val="clear" w:color="auto" w:fill="FFFFFF"/>
    </w:rPr>
  </w:style>
  <w:style w:type="paragraph" w:customStyle="1" w:styleId="Footnote10">
    <w:name w:val="Footnote|1"/>
    <w:basedOn w:val="Normal"/>
    <w:link w:val="Footnote1"/>
    <w:qFormat/>
    <w:pPr>
      <w:widowControl w:val="0"/>
      <w:shd w:val="clear" w:color="auto" w:fill="FFFFFF"/>
      <w:spacing w:after="0" w:line="226" w:lineRule="exact"/>
      <w:ind w:hanging="480"/>
      <w:jc w:val="both"/>
    </w:pPr>
    <w:rPr>
      <w:sz w:val="20"/>
      <w:szCs w:val="20"/>
    </w:rPr>
  </w:style>
  <w:style w:type="character" w:customStyle="1" w:styleId="Bodytext2">
    <w:name w:val="Body text|2_"/>
    <w:basedOn w:val="DefaultParagraphFont"/>
    <w:link w:val="Bodytext20"/>
    <w:rPr>
      <w:shd w:val="clear" w:color="auto" w:fill="FFFFFF"/>
    </w:rPr>
  </w:style>
  <w:style w:type="character" w:customStyle="1" w:styleId="Bodytext2Bold">
    <w:name w:val="Body text|2 + Bold"/>
    <w:basedOn w:val="Bodytext2"/>
    <w:semiHidden/>
    <w:unhideWhenUsed/>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paragraph" w:customStyle="1" w:styleId="Bodytext20">
    <w:name w:val="Body text|2"/>
    <w:basedOn w:val="Normal"/>
    <w:link w:val="Bodytext2"/>
    <w:qFormat/>
    <w:pPr>
      <w:widowControl w:val="0"/>
      <w:shd w:val="clear" w:color="auto" w:fill="FFFFFF"/>
      <w:spacing w:after="240" w:line="274" w:lineRule="exact"/>
      <w:jc w:val="both"/>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pPr>
      <w:keepNext/>
      <w:keepLines/>
      <w:widowControl w:val="0"/>
      <w:numPr>
        <w:ilvl w:val="2"/>
        <w:numId w:val="11"/>
      </w:numPr>
      <w:spacing w:after="240" w:line="360" w:lineRule="auto"/>
      <w:jc w:val="both"/>
      <w:outlineLvl w:val="2"/>
    </w:pPr>
    <w:rPr>
      <w:rFonts w:ascii="Arial" w:eastAsia="Times New Roman" w:hAnsi="Arial" w:cs="Arial"/>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ußnote, Char Char Car,fn,Schriftart: 9 pt,o,stile 1"/>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ußnote Char"/>
    <w:basedOn w:val="DefaultParagraphFont"/>
    <w:link w:val="FootnoteText"/>
    <w:uiPriority w:val="99"/>
    <w:qFormat/>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BVI fnr,Footnote Reference/,FR,Ref"/>
    <w:basedOn w:val="DefaultParagraphFont"/>
    <w:uiPriority w:val="99"/>
    <w:unhideWhenUsed/>
    <w:qFormat/>
    <w:rPr>
      <w:rFonts w:ascii="Times New Roman" w:hAnsi="Times New Roman" w:cs="Times New Roman"/>
      <w:sz w:val="20"/>
      <w:szCs w:val="20"/>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character" w:customStyle="1" w:styleId="Heading3Char">
    <w:name w:val="Heading 3 Char"/>
    <w:basedOn w:val="DefaultParagraphFont"/>
    <w:link w:val="Heading3"/>
    <w:rPr>
      <w:rFonts w:ascii="Arial" w:eastAsia="Times New Roman" w:hAnsi="Arial" w:cs="Arial"/>
      <w:sz w:val="24"/>
      <w:szCs w:val="20"/>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Pr>
      <w:rFonts w:ascii="Arial" w:hAnsi="Arial" w:cs="Arial"/>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widowControl w:val="0"/>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widowControl w:val="0"/>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39">
    <w:name w:val="s39"/>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Strong">
    <w:name w:val="Strong"/>
    <w:basedOn w:val="DefaultParagraphFont"/>
    <w:uiPriority w:val="22"/>
    <w:qFormat/>
    <w:rPr>
      <w:b/>
      <w:b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character" w:customStyle="1" w:styleId="Footnote1">
    <w:name w:val="Footnote|1_"/>
    <w:basedOn w:val="DefaultParagraphFont"/>
    <w:link w:val="Footnote10"/>
    <w:rPr>
      <w:sz w:val="20"/>
      <w:szCs w:val="20"/>
      <w:shd w:val="clear" w:color="auto" w:fill="FFFFFF"/>
    </w:rPr>
  </w:style>
  <w:style w:type="paragraph" w:customStyle="1" w:styleId="Footnote10">
    <w:name w:val="Footnote|1"/>
    <w:basedOn w:val="Normal"/>
    <w:link w:val="Footnote1"/>
    <w:qFormat/>
    <w:pPr>
      <w:widowControl w:val="0"/>
      <w:shd w:val="clear" w:color="auto" w:fill="FFFFFF"/>
      <w:spacing w:after="0" w:line="226" w:lineRule="exact"/>
      <w:ind w:hanging="480"/>
      <w:jc w:val="both"/>
    </w:pPr>
    <w:rPr>
      <w:sz w:val="20"/>
      <w:szCs w:val="20"/>
    </w:rPr>
  </w:style>
  <w:style w:type="character" w:customStyle="1" w:styleId="Bodytext2">
    <w:name w:val="Body text|2_"/>
    <w:basedOn w:val="DefaultParagraphFont"/>
    <w:link w:val="Bodytext20"/>
    <w:rPr>
      <w:shd w:val="clear" w:color="auto" w:fill="FFFFFF"/>
    </w:rPr>
  </w:style>
  <w:style w:type="character" w:customStyle="1" w:styleId="Bodytext2Bold">
    <w:name w:val="Body text|2 + Bold"/>
    <w:basedOn w:val="Bodytext2"/>
    <w:semiHidden/>
    <w:unhideWhenUsed/>
    <w:rPr>
      <w:rFonts w:ascii="Times New Roman" w:eastAsia="Times New Roman" w:hAnsi="Times New Roman" w:cs="Times New Roman"/>
      <w:b/>
      <w:bCs/>
      <w:color w:val="000000"/>
      <w:spacing w:val="0"/>
      <w:w w:val="100"/>
      <w:position w:val="0"/>
      <w:sz w:val="24"/>
      <w:szCs w:val="24"/>
      <w:shd w:val="clear" w:color="auto" w:fill="FFFFFF"/>
      <w:lang w:val="bg-BG" w:eastAsia="en-US" w:bidi="en-US"/>
    </w:rPr>
  </w:style>
  <w:style w:type="paragraph" w:customStyle="1" w:styleId="Bodytext20">
    <w:name w:val="Body text|2"/>
    <w:basedOn w:val="Normal"/>
    <w:link w:val="Bodytext2"/>
    <w:qFormat/>
    <w:pPr>
      <w:widowControl w:val="0"/>
      <w:shd w:val="clear" w:color="auto" w:fill="FFFFFF"/>
      <w:spacing w:after="240" w:line="274" w:lineRule="exact"/>
      <w:jc w:val="both"/>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89">
      <w:bodyDiv w:val="1"/>
      <w:marLeft w:val="0"/>
      <w:marRight w:val="0"/>
      <w:marTop w:val="0"/>
      <w:marBottom w:val="0"/>
      <w:divBdr>
        <w:top w:val="none" w:sz="0" w:space="0" w:color="auto"/>
        <w:left w:val="none" w:sz="0" w:space="0" w:color="auto"/>
        <w:bottom w:val="none" w:sz="0" w:space="0" w:color="auto"/>
        <w:right w:val="none" w:sz="0" w:space="0" w:color="auto"/>
      </w:divBdr>
    </w:div>
    <w:div w:id="15278821">
      <w:bodyDiv w:val="1"/>
      <w:marLeft w:val="0"/>
      <w:marRight w:val="0"/>
      <w:marTop w:val="0"/>
      <w:marBottom w:val="0"/>
      <w:divBdr>
        <w:top w:val="none" w:sz="0" w:space="0" w:color="auto"/>
        <w:left w:val="none" w:sz="0" w:space="0" w:color="auto"/>
        <w:bottom w:val="none" w:sz="0" w:space="0" w:color="auto"/>
        <w:right w:val="none" w:sz="0" w:space="0" w:color="auto"/>
      </w:divBdr>
    </w:div>
    <w:div w:id="58789712">
      <w:bodyDiv w:val="1"/>
      <w:marLeft w:val="0"/>
      <w:marRight w:val="0"/>
      <w:marTop w:val="0"/>
      <w:marBottom w:val="0"/>
      <w:divBdr>
        <w:top w:val="none" w:sz="0" w:space="0" w:color="auto"/>
        <w:left w:val="none" w:sz="0" w:space="0" w:color="auto"/>
        <w:bottom w:val="none" w:sz="0" w:space="0" w:color="auto"/>
        <w:right w:val="none" w:sz="0" w:space="0" w:color="auto"/>
      </w:divBdr>
      <w:divsChild>
        <w:div w:id="594705148">
          <w:marLeft w:val="0"/>
          <w:marRight w:val="0"/>
          <w:marTop w:val="0"/>
          <w:marBottom w:val="0"/>
          <w:divBdr>
            <w:top w:val="none" w:sz="0" w:space="0" w:color="auto"/>
            <w:left w:val="none" w:sz="0" w:space="0" w:color="auto"/>
            <w:bottom w:val="none" w:sz="0" w:space="0" w:color="auto"/>
            <w:right w:val="none" w:sz="0" w:space="0" w:color="auto"/>
          </w:divBdr>
        </w:div>
        <w:div w:id="899025392">
          <w:marLeft w:val="0"/>
          <w:marRight w:val="0"/>
          <w:marTop w:val="0"/>
          <w:marBottom w:val="0"/>
          <w:divBdr>
            <w:top w:val="none" w:sz="0" w:space="0" w:color="auto"/>
            <w:left w:val="none" w:sz="0" w:space="0" w:color="auto"/>
            <w:bottom w:val="none" w:sz="0" w:space="0" w:color="auto"/>
            <w:right w:val="none" w:sz="0" w:space="0" w:color="auto"/>
          </w:divBdr>
        </w:div>
        <w:div w:id="1193032561">
          <w:marLeft w:val="0"/>
          <w:marRight w:val="0"/>
          <w:marTop w:val="0"/>
          <w:marBottom w:val="0"/>
          <w:divBdr>
            <w:top w:val="none" w:sz="0" w:space="0" w:color="auto"/>
            <w:left w:val="none" w:sz="0" w:space="0" w:color="auto"/>
            <w:bottom w:val="none" w:sz="0" w:space="0" w:color="auto"/>
            <w:right w:val="none" w:sz="0" w:space="0" w:color="auto"/>
          </w:divBdr>
        </w:div>
        <w:div w:id="1529180462">
          <w:marLeft w:val="0"/>
          <w:marRight w:val="0"/>
          <w:marTop w:val="0"/>
          <w:marBottom w:val="0"/>
          <w:divBdr>
            <w:top w:val="none" w:sz="0" w:space="0" w:color="auto"/>
            <w:left w:val="none" w:sz="0" w:space="0" w:color="auto"/>
            <w:bottom w:val="none" w:sz="0" w:space="0" w:color="auto"/>
            <w:right w:val="none" w:sz="0" w:space="0" w:color="auto"/>
          </w:divBdr>
        </w:div>
        <w:div w:id="1895239237">
          <w:marLeft w:val="0"/>
          <w:marRight w:val="0"/>
          <w:marTop w:val="0"/>
          <w:marBottom w:val="0"/>
          <w:divBdr>
            <w:top w:val="none" w:sz="0" w:space="0" w:color="auto"/>
            <w:left w:val="none" w:sz="0" w:space="0" w:color="auto"/>
            <w:bottom w:val="none" w:sz="0" w:space="0" w:color="auto"/>
            <w:right w:val="none" w:sz="0" w:space="0" w:color="auto"/>
          </w:divBdr>
        </w:div>
      </w:divsChild>
    </w:div>
    <w:div w:id="97410077">
      <w:bodyDiv w:val="1"/>
      <w:marLeft w:val="0"/>
      <w:marRight w:val="0"/>
      <w:marTop w:val="0"/>
      <w:marBottom w:val="0"/>
      <w:divBdr>
        <w:top w:val="none" w:sz="0" w:space="0" w:color="auto"/>
        <w:left w:val="none" w:sz="0" w:space="0" w:color="auto"/>
        <w:bottom w:val="none" w:sz="0" w:space="0" w:color="auto"/>
        <w:right w:val="none" w:sz="0" w:space="0" w:color="auto"/>
      </w:divBdr>
    </w:div>
    <w:div w:id="167251616">
      <w:bodyDiv w:val="1"/>
      <w:marLeft w:val="0"/>
      <w:marRight w:val="0"/>
      <w:marTop w:val="0"/>
      <w:marBottom w:val="0"/>
      <w:divBdr>
        <w:top w:val="none" w:sz="0" w:space="0" w:color="auto"/>
        <w:left w:val="none" w:sz="0" w:space="0" w:color="auto"/>
        <w:bottom w:val="none" w:sz="0" w:space="0" w:color="auto"/>
        <w:right w:val="none" w:sz="0" w:space="0" w:color="auto"/>
      </w:divBdr>
    </w:div>
    <w:div w:id="197082980">
      <w:bodyDiv w:val="1"/>
      <w:marLeft w:val="0"/>
      <w:marRight w:val="0"/>
      <w:marTop w:val="0"/>
      <w:marBottom w:val="0"/>
      <w:divBdr>
        <w:top w:val="none" w:sz="0" w:space="0" w:color="auto"/>
        <w:left w:val="none" w:sz="0" w:space="0" w:color="auto"/>
        <w:bottom w:val="none" w:sz="0" w:space="0" w:color="auto"/>
        <w:right w:val="none" w:sz="0" w:space="0" w:color="auto"/>
      </w:divBdr>
    </w:div>
    <w:div w:id="292057211">
      <w:bodyDiv w:val="1"/>
      <w:marLeft w:val="0"/>
      <w:marRight w:val="0"/>
      <w:marTop w:val="0"/>
      <w:marBottom w:val="0"/>
      <w:divBdr>
        <w:top w:val="none" w:sz="0" w:space="0" w:color="auto"/>
        <w:left w:val="none" w:sz="0" w:space="0" w:color="auto"/>
        <w:bottom w:val="none" w:sz="0" w:space="0" w:color="auto"/>
        <w:right w:val="none" w:sz="0" w:space="0" w:color="auto"/>
      </w:divBdr>
    </w:div>
    <w:div w:id="343869250">
      <w:bodyDiv w:val="1"/>
      <w:marLeft w:val="0"/>
      <w:marRight w:val="0"/>
      <w:marTop w:val="0"/>
      <w:marBottom w:val="0"/>
      <w:divBdr>
        <w:top w:val="none" w:sz="0" w:space="0" w:color="auto"/>
        <w:left w:val="none" w:sz="0" w:space="0" w:color="auto"/>
        <w:bottom w:val="none" w:sz="0" w:space="0" w:color="auto"/>
        <w:right w:val="none" w:sz="0" w:space="0" w:color="auto"/>
      </w:divBdr>
      <w:divsChild>
        <w:div w:id="71440479">
          <w:marLeft w:val="0"/>
          <w:marRight w:val="0"/>
          <w:marTop w:val="0"/>
          <w:marBottom w:val="0"/>
          <w:divBdr>
            <w:top w:val="none" w:sz="0" w:space="0" w:color="auto"/>
            <w:left w:val="none" w:sz="0" w:space="0" w:color="auto"/>
            <w:bottom w:val="none" w:sz="0" w:space="0" w:color="auto"/>
            <w:right w:val="none" w:sz="0" w:space="0" w:color="auto"/>
          </w:divBdr>
        </w:div>
        <w:div w:id="1153371333">
          <w:marLeft w:val="0"/>
          <w:marRight w:val="0"/>
          <w:marTop w:val="0"/>
          <w:marBottom w:val="0"/>
          <w:divBdr>
            <w:top w:val="none" w:sz="0" w:space="0" w:color="auto"/>
            <w:left w:val="none" w:sz="0" w:space="0" w:color="auto"/>
            <w:bottom w:val="none" w:sz="0" w:space="0" w:color="auto"/>
            <w:right w:val="none" w:sz="0" w:space="0" w:color="auto"/>
          </w:divBdr>
        </w:div>
        <w:div w:id="1924797782">
          <w:marLeft w:val="0"/>
          <w:marRight w:val="0"/>
          <w:marTop w:val="0"/>
          <w:marBottom w:val="0"/>
          <w:divBdr>
            <w:top w:val="none" w:sz="0" w:space="0" w:color="auto"/>
            <w:left w:val="none" w:sz="0" w:space="0" w:color="auto"/>
            <w:bottom w:val="none" w:sz="0" w:space="0" w:color="auto"/>
            <w:right w:val="none" w:sz="0" w:space="0" w:color="auto"/>
          </w:divBdr>
        </w:div>
        <w:div w:id="2060861581">
          <w:marLeft w:val="0"/>
          <w:marRight w:val="0"/>
          <w:marTop w:val="0"/>
          <w:marBottom w:val="0"/>
          <w:divBdr>
            <w:top w:val="none" w:sz="0" w:space="0" w:color="auto"/>
            <w:left w:val="none" w:sz="0" w:space="0" w:color="auto"/>
            <w:bottom w:val="none" w:sz="0" w:space="0" w:color="auto"/>
            <w:right w:val="none" w:sz="0" w:space="0" w:color="auto"/>
          </w:divBdr>
        </w:div>
      </w:divsChild>
    </w:div>
    <w:div w:id="367023592">
      <w:bodyDiv w:val="1"/>
      <w:marLeft w:val="0"/>
      <w:marRight w:val="0"/>
      <w:marTop w:val="0"/>
      <w:marBottom w:val="0"/>
      <w:divBdr>
        <w:top w:val="none" w:sz="0" w:space="0" w:color="auto"/>
        <w:left w:val="none" w:sz="0" w:space="0" w:color="auto"/>
        <w:bottom w:val="none" w:sz="0" w:space="0" w:color="auto"/>
        <w:right w:val="none" w:sz="0" w:space="0" w:color="auto"/>
      </w:divBdr>
    </w:div>
    <w:div w:id="377628298">
      <w:bodyDiv w:val="1"/>
      <w:marLeft w:val="0"/>
      <w:marRight w:val="0"/>
      <w:marTop w:val="0"/>
      <w:marBottom w:val="0"/>
      <w:divBdr>
        <w:top w:val="none" w:sz="0" w:space="0" w:color="auto"/>
        <w:left w:val="none" w:sz="0" w:space="0" w:color="auto"/>
        <w:bottom w:val="none" w:sz="0" w:space="0" w:color="auto"/>
        <w:right w:val="none" w:sz="0" w:space="0" w:color="auto"/>
      </w:divBdr>
    </w:div>
    <w:div w:id="477964823">
      <w:bodyDiv w:val="1"/>
      <w:marLeft w:val="0"/>
      <w:marRight w:val="0"/>
      <w:marTop w:val="0"/>
      <w:marBottom w:val="0"/>
      <w:divBdr>
        <w:top w:val="none" w:sz="0" w:space="0" w:color="auto"/>
        <w:left w:val="none" w:sz="0" w:space="0" w:color="auto"/>
        <w:bottom w:val="none" w:sz="0" w:space="0" w:color="auto"/>
        <w:right w:val="none" w:sz="0" w:space="0" w:color="auto"/>
      </w:divBdr>
    </w:div>
    <w:div w:id="521364069">
      <w:bodyDiv w:val="1"/>
      <w:marLeft w:val="0"/>
      <w:marRight w:val="0"/>
      <w:marTop w:val="0"/>
      <w:marBottom w:val="0"/>
      <w:divBdr>
        <w:top w:val="none" w:sz="0" w:space="0" w:color="auto"/>
        <w:left w:val="none" w:sz="0" w:space="0" w:color="auto"/>
        <w:bottom w:val="none" w:sz="0" w:space="0" w:color="auto"/>
        <w:right w:val="none" w:sz="0" w:space="0" w:color="auto"/>
      </w:divBdr>
    </w:div>
    <w:div w:id="531848075">
      <w:bodyDiv w:val="1"/>
      <w:marLeft w:val="0"/>
      <w:marRight w:val="0"/>
      <w:marTop w:val="0"/>
      <w:marBottom w:val="0"/>
      <w:divBdr>
        <w:top w:val="none" w:sz="0" w:space="0" w:color="auto"/>
        <w:left w:val="none" w:sz="0" w:space="0" w:color="auto"/>
        <w:bottom w:val="none" w:sz="0" w:space="0" w:color="auto"/>
        <w:right w:val="none" w:sz="0" w:space="0" w:color="auto"/>
      </w:divBdr>
    </w:div>
    <w:div w:id="555362486">
      <w:bodyDiv w:val="1"/>
      <w:marLeft w:val="0"/>
      <w:marRight w:val="0"/>
      <w:marTop w:val="0"/>
      <w:marBottom w:val="0"/>
      <w:divBdr>
        <w:top w:val="none" w:sz="0" w:space="0" w:color="auto"/>
        <w:left w:val="none" w:sz="0" w:space="0" w:color="auto"/>
        <w:bottom w:val="none" w:sz="0" w:space="0" w:color="auto"/>
        <w:right w:val="none" w:sz="0" w:space="0" w:color="auto"/>
      </w:divBdr>
      <w:divsChild>
        <w:div w:id="126049705">
          <w:marLeft w:val="0"/>
          <w:marRight w:val="0"/>
          <w:marTop w:val="0"/>
          <w:marBottom w:val="0"/>
          <w:divBdr>
            <w:top w:val="none" w:sz="0" w:space="0" w:color="auto"/>
            <w:left w:val="none" w:sz="0" w:space="0" w:color="auto"/>
            <w:bottom w:val="none" w:sz="0" w:space="0" w:color="auto"/>
            <w:right w:val="none" w:sz="0" w:space="0" w:color="auto"/>
          </w:divBdr>
        </w:div>
        <w:div w:id="1139762194">
          <w:marLeft w:val="0"/>
          <w:marRight w:val="0"/>
          <w:marTop w:val="0"/>
          <w:marBottom w:val="0"/>
          <w:divBdr>
            <w:top w:val="none" w:sz="0" w:space="0" w:color="auto"/>
            <w:left w:val="none" w:sz="0" w:space="0" w:color="auto"/>
            <w:bottom w:val="none" w:sz="0" w:space="0" w:color="auto"/>
            <w:right w:val="none" w:sz="0" w:space="0" w:color="auto"/>
          </w:divBdr>
        </w:div>
      </w:divsChild>
    </w:div>
    <w:div w:id="570774864">
      <w:bodyDiv w:val="1"/>
      <w:marLeft w:val="0"/>
      <w:marRight w:val="0"/>
      <w:marTop w:val="0"/>
      <w:marBottom w:val="0"/>
      <w:divBdr>
        <w:top w:val="none" w:sz="0" w:space="0" w:color="auto"/>
        <w:left w:val="none" w:sz="0" w:space="0" w:color="auto"/>
        <w:bottom w:val="none" w:sz="0" w:space="0" w:color="auto"/>
        <w:right w:val="none" w:sz="0" w:space="0" w:color="auto"/>
      </w:divBdr>
    </w:div>
    <w:div w:id="578253381">
      <w:bodyDiv w:val="1"/>
      <w:marLeft w:val="0"/>
      <w:marRight w:val="0"/>
      <w:marTop w:val="0"/>
      <w:marBottom w:val="0"/>
      <w:divBdr>
        <w:top w:val="none" w:sz="0" w:space="0" w:color="auto"/>
        <w:left w:val="none" w:sz="0" w:space="0" w:color="auto"/>
        <w:bottom w:val="none" w:sz="0" w:space="0" w:color="auto"/>
        <w:right w:val="none" w:sz="0" w:space="0" w:color="auto"/>
      </w:divBdr>
    </w:div>
    <w:div w:id="596447730">
      <w:bodyDiv w:val="1"/>
      <w:marLeft w:val="0"/>
      <w:marRight w:val="0"/>
      <w:marTop w:val="0"/>
      <w:marBottom w:val="0"/>
      <w:divBdr>
        <w:top w:val="none" w:sz="0" w:space="0" w:color="auto"/>
        <w:left w:val="none" w:sz="0" w:space="0" w:color="auto"/>
        <w:bottom w:val="none" w:sz="0" w:space="0" w:color="auto"/>
        <w:right w:val="none" w:sz="0" w:space="0" w:color="auto"/>
      </w:divBdr>
    </w:div>
    <w:div w:id="607011828">
      <w:bodyDiv w:val="1"/>
      <w:marLeft w:val="0"/>
      <w:marRight w:val="0"/>
      <w:marTop w:val="0"/>
      <w:marBottom w:val="0"/>
      <w:divBdr>
        <w:top w:val="none" w:sz="0" w:space="0" w:color="auto"/>
        <w:left w:val="none" w:sz="0" w:space="0" w:color="auto"/>
        <w:bottom w:val="none" w:sz="0" w:space="0" w:color="auto"/>
        <w:right w:val="none" w:sz="0" w:space="0" w:color="auto"/>
      </w:divBdr>
      <w:divsChild>
        <w:div w:id="233049542">
          <w:marLeft w:val="0"/>
          <w:marRight w:val="0"/>
          <w:marTop w:val="0"/>
          <w:marBottom w:val="0"/>
          <w:divBdr>
            <w:top w:val="none" w:sz="0" w:space="0" w:color="auto"/>
            <w:left w:val="none" w:sz="0" w:space="0" w:color="auto"/>
            <w:bottom w:val="none" w:sz="0" w:space="0" w:color="auto"/>
            <w:right w:val="none" w:sz="0" w:space="0" w:color="auto"/>
          </w:divBdr>
        </w:div>
        <w:div w:id="1419208775">
          <w:marLeft w:val="0"/>
          <w:marRight w:val="0"/>
          <w:marTop w:val="0"/>
          <w:marBottom w:val="0"/>
          <w:divBdr>
            <w:top w:val="none" w:sz="0" w:space="0" w:color="auto"/>
            <w:left w:val="none" w:sz="0" w:space="0" w:color="auto"/>
            <w:bottom w:val="none" w:sz="0" w:space="0" w:color="auto"/>
            <w:right w:val="none" w:sz="0" w:space="0" w:color="auto"/>
          </w:divBdr>
        </w:div>
        <w:div w:id="2086143062">
          <w:marLeft w:val="0"/>
          <w:marRight w:val="0"/>
          <w:marTop w:val="0"/>
          <w:marBottom w:val="0"/>
          <w:divBdr>
            <w:top w:val="none" w:sz="0" w:space="0" w:color="auto"/>
            <w:left w:val="none" w:sz="0" w:space="0" w:color="auto"/>
            <w:bottom w:val="none" w:sz="0" w:space="0" w:color="auto"/>
            <w:right w:val="none" w:sz="0" w:space="0" w:color="auto"/>
          </w:divBdr>
        </w:div>
      </w:divsChild>
    </w:div>
    <w:div w:id="640815063">
      <w:bodyDiv w:val="1"/>
      <w:marLeft w:val="0"/>
      <w:marRight w:val="0"/>
      <w:marTop w:val="0"/>
      <w:marBottom w:val="0"/>
      <w:divBdr>
        <w:top w:val="none" w:sz="0" w:space="0" w:color="auto"/>
        <w:left w:val="none" w:sz="0" w:space="0" w:color="auto"/>
        <w:bottom w:val="none" w:sz="0" w:space="0" w:color="auto"/>
        <w:right w:val="none" w:sz="0" w:space="0" w:color="auto"/>
      </w:divBdr>
    </w:div>
    <w:div w:id="756175778">
      <w:bodyDiv w:val="1"/>
      <w:marLeft w:val="0"/>
      <w:marRight w:val="0"/>
      <w:marTop w:val="0"/>
      <w:marBottom w:val="0"/>
      <w:divBdr>
        <w:top w:val="none" w:sz="0" w:space="0" w:color="auto"/>
        <w:left w:val="none" w:sz="0" w:space="0" w:color="auto"/>
        <w:bottom w:val="none" w:sz="0" w:space="0" w:color="auto"/>
        <w:right w:val="none" w:sz="0" w:space="0" w:color="auto"/>
      </w:divBdr>
    </w:div>
    <w:div w:id="793250097">
      <w:bodyDiv w:val="1"/>
      <w:marLeft w:val="0"/>
      <w:marRight w:val="0"/>
      <w:marTop w:val="0"/>
      <w:marBottom w:val="0"/>
      <w:divBdr>
        <w:top w:val="none" w:sz="0" w:space="0" w:color="auto"/>
        <w:left w:val="none" w:sz="0" w:space="0" w:color="auto"/>
        <w:bottom w:val="none" w:sz="0" w:space="0" w:color="auto"/>
        <w:right w:val="none" w:sz="0" w:space="0" w:color="auto"/>
      </w:divBdr>
    </w:div>
    <w:div w:id="842816754">
      <w:bodyDiv w:val="1"/>
      <w:marLeft w:val="0"/>
      <w:marRight w:val="0"/>
      <w:marTop w:val="0"/>
      <w:marBottom w:val="0"/>
      <w:divBdr>
        <w:top w:val="none" w:sz="0" w:space="0" w:color="auto"/>
        <w:left w:val="none" w:sz="0" w:space="0" w:color="auto"/>
        <w:bottom w:val="none" w:sz="0" w:space="0" w:color="auto"/>
        <w:right w:val="none" w:sz="0" w:space="0" w:color="auto"/>
      </w:divBdr>
    </w:div>
    <w:div w:id="862941244">
      <w:bodyDiv w:val="1"/>
      <w:marLeft w:val="0"/>
      <w:marRight w:val="0"/>
      <w:marTop w:val="0"/>
      <w:marBottom w:val="0"/>
      <w:divBdr>
        <w:top w:val="none" w:sz="0" w:space="0" w:color="auto"/>
        <w:left w:val="none" w:sz="0" w:space="0" w:color="auto"/>
        <w:bottom w:val="none" w:sz="0" w:space="0" w:color="auto"/>
        <w:right w:val="none" w:sz="0" w:space="0" w:color="auto"/>
      </w:divBdr>
    </w:div>
    <w:div w:id="960114363">
      <w:bodyDiv w:val="1"/>
      <w:marLeft w:val="0"/>
      <w:marRight w:val="0"/>
      <w:marTop w:val="0"/>
      <w:marBottom w:val="0"/>
      <w:divBdr>
        <w:top w:val="none" w:sz="0" w:space="0" w:color="auto"/>
        <w:left w:val="none" w:sz="0" w:space="0" w:color="auto"/>
        <w:bottom w:val="none" w:sz="0" w:space="0" w:color="auto"/>
        <w:right w:val="none" w:sz="0" w:space="0" w:color="auto"/>
      </w:divBdr>
    </w:div>
    <w:div w:id="961154174">
      <w:bodyDiv w:val="1"/>
      <w:marLeft w:val="0"/>
      <w:marRight w:val="0"/>
      <w:marTop w:val="0"/>
      <w:marBottom w:val="0"/>
      <w:divBdr>
        <w:top w:val="none" w:sz="0" w:space="0" w:color="auto"/>
        <w:left w:val="none" w:sz="0" w:space="0" w:color="auto"/>
        <w:bottom w:val="none" w:sz="0" w:space="0" w:color="auto"/>
        <w:right w:val="none" w:sz="0" w:space="0" w:color="auto"/>
      </w:divBdr>
      <w:divsChild>
        <w:div w:id="7757221">
          <w:marLeft w:val="0"/>
          <w:marRight w:val="0"/>
          <w:marTop w:val="0"/>
          <w:marBottom w:val="0"/>
          <w:divBdr>
            <w:top w:val="none" w:sz="0" w:space="0" w:color="auto"/>
            <w:left w:val="none" w:sz="0" w:space="0" w:color="auto"/>
            <w:bottom w:val="none" w:sz="0" w:space="0" w:color="auto"/>
            <w:right w:val="none" w:sz="0" w:space="0" w:color="auto"/>
          </w:divBdr>
        </w:div>
        <w:div w:id="281232175">
          <w:marLeft w:val="0"/>
          <w:marRight w:val="0"/>
          <w:marTop w:val="0"/>
          <w:marBottom w:val="0"/>
          <w:divBdr>
            <w:top w:val="none" w:sz="0" w:space="0" w:color="auto"/>
            <w:left w:val="none" w:sz="0" w:space="0" w:color="auto"/>
            <w:bottom w:val="none" w:sz="0" w:space="0" w:color="auto"/>
            <w:right w:val="none" w:sz="0" w:space="0" w:color="auto"/>
          </w:divBdr>
        </w:div>
        <w:div w:id="728647808">
          <w:marLeft w:val="0"/>
          <w:marRight w:val="0"/>
          <w:marTop w:val="0"/>
          <w:marBottom w:val="0"/>
          <w:divBdr>
            <w:top w:val="none" w:sz="0" w:space="0" w:color="auto"/>
            <w:left w:val="none" w:sz="0" w:space="0" w:color="auto"/>
            <w:bottom w:val="none" w:sz="0" w:space="0" w:color="auto"/>
            <w:right w:val="none" w:sz="0" w:space="0" w:color="auto"/>
          </w:divBdr>
        </w:div>
        <w:div w:id="1757970084">
          <w:marLeft w:val="0"/>
          <w:marRight w:val="0"/>
          <w:marTop w:val="0"/>
          <w:marBottom w:val="0"/>
          <w:divBdr>
            <w:top w:val="none" w:sz="0" w:space="0" w:color="auto"/>
            <w:left w:val="none" w:sz="0" w:space="0" w:color="auto"/>
            <w:bottom w:val="none" w:sz="0" w:space="0" w:color="auto"/>
            <w:right w:val="none" w:sz="0" w:space="0" w:color="auto"/>
          </w:divBdr>
        </w:div>
        <w:div w:id="1761485511">
          <w:marLeft w:val="0"/>
          <w:marRight w:val="0"/>
          <w:marTop w:val="0"/>
          <w:marBottom w:val="0"/>
          <w:divBdr>
            <w:top w:val="none" w:sz="0" w:space="0" w:color="auto"/>
            <w:left w:val="none" w:sz="0" w:space="0" w:color="auto"/>
            <w:bottom w:val="none" w:sz="0" w:space="0" w:color="auto"/>
            <w:right w:val="none" w:sz="0" w:space="0" w:color="auto"/>
          </w:divBdr>
        </w:div>
      </w:divsChild>
    </w:div>
    <w:div w:id="1051883273">
      <w:bodyDiv w:val="1"/>
      <w:marLeft w:val="0"/>
      <w:marRight w:val="0"/>
      <w:marTop w:val="0"/>
      <w:marBottom w:val="0"/>
      <w:divBdr>
        <w:top w:val="none" w:sz="0" w:space="0" w:color="auto"/>
        <w:left w:val="none" w:sz="0" w:space="0" w:color="auto"/>
        <w:bottom w:val="none" w:sz="0" w:space="0" w:color="auto"/>
        <w:right w:val="none" w:sz="0" w:space="0" w:color="auto"/>
      </w:divBdr>
    </w:div>
    <w:div w:id="1120295643">
      <w:bodyDiv w:val="1"/>
      <w:marLeft w:val="0"/>
      <w:marRight w:val="0"/>
      <w:marTop w:val="0"/>
      <w:marBottom w:val="0"/>
      <w:divBdr>
        <w:top w:val="none" w:sz="0" w:space="0" w:color="auto"/>
        <w:left w:val="none" w:sz="0" w:space="0" w:color="auto"/>
        <w:bottom w:val="none" w:sz="0" w:space="0" w:color="auto"/>
        <w:right w:val="none" w:sz="0" w:space="0" w:color="auto"/>
      </w:divBdr>
    </w:div>
    <w:div w:id="1199270592">
      <w:bodyDiv w:val="1"/>
      <w:marLeft w:val="0"/>
      <w:marRight w:val="0"/>
      <w:marTop w:val="0"/>
      <w:marBottom w:val="0"/>
      <w:divBdr>
        <w:top w:val="none" w:sz="0" w:space="0" w:color="auto"/>
        <w:left w:val="none" w:sz="0" w:space="0" w:color="auto"/>
        <w:bottom w:val="none" w:sz="0" w:space="0" w:color="auto"/>
        <w:right w:val="none" w:sz="0" w:space="0" w:color="auto"/>
      </w:divBdr>
    </w:div>
    <w:div w:id="1207722040">
      <w:bodyDiv w:val="1"/>
      <w:marLeft w:val="0"/>
      <w:marRight w:val="0"/>
      <w:marTop w:val="0"/>
      <w:marBottom w:val="0"/>
      <w:divBdr>
        <w:top w:val="none" w:sz="0" w:space="0" w:color="auto"/>
        <w:left w:val="none" w:sz="0" w:space="0" w:color="auto"/>
        <w:bottom w:val="none" w:sz="0" w:space="0" w:color="auto"/>
        <w:right w:val="none" w:sz="0" w:space="0" w:color="auto"/>
      </w:divBdr>
    </w:div>
    <w:div w:id="1209680214">
      <w:bodyDiv w:val="1"/>
      <w:marLeft w:val="0"/>
      <w:marRight w:val="0"/>
      <w:marTop w:val="0"/>
      <w:marBottom w:val="0"/>
      <w:divBdr>
        <w:top w:val="none" w:sz="0" w:space="0" w:color="auto"/>
        <w:left w:val="none" w:sz="0" w:space="0" w:color="auto"/>
        <w:bottom w:val="none" w:sz="0" w:space="0" w:color="auto"/>
        <w:right w:val="none" w:sz="0" w:space="0" w:color="auto"/>
      </w:divBdr>
      <w:divsChild>
        <w:div w:id="88088853">
          <w:marLeft w:val="0"/>
          <w:marRight w:val="0"/>
          <w:marTop w:val="0"/>
          <w:marBottom w:val="0"/>
          <w:divBdr>
            <w:top w:val="none" w:sz="0" w:space="0" w:color="auto"/>
            <w:left w:val="none" w:sz="0" w:space="0" w:color="auto"/>
            <w:bottom w:val="none" w:sz="0" w:space="0" w:color="auto"/>
            <w:right w:val="none" w:sz="0" w:space="0" w:color="auto"/>
          </w:divBdr>
        </w:div>
        <w:div w:id="307174731">
          <w:marLeft w:val="0"/>
          <w:marRight w:val="0"/>
          <w:marTop w:val="0"/>
          <w:marBottom w:val="0"/>
          <w:divBdr>
            <w:top w:val="none" w:sz="0" w:space="0" w:color="auto"/>
            <w:left w:val="none" w:sz="0" w:space="0" w:color="auto"/>
            <w:bottom w:val="none" w:sz="0" w:space="0" w:color="auto"/>
            <w:right w:val="none" w:sz="0" w:space="0" w:color="auto"/>
          </w:divBdr>
        </w:div>
        <w:div w:id="617301475">
          <w:marLeft w:val="0"/>
          <w:marRight w:val="0"/>
          <w:marTop w:val="0"/>
          <w:marBottom w:val="0"/>
          <w:divBdr>
            <w:top w:val="none" w:sz="0" w:space="0" w:color="auto"/>
            <w:left w:val="none" w:sz="0" w:space="0" w:color="auto"/>
            <w:bottom w:val="none" w:sz="0" w:space="0" w:color="auto"/>
            <w:right w:val="none" w:sz="0" w:space="0" w:color="auto"/>
          </w:divBdr>
        </w:div>
        <w:div w:id="857309062">
          <w:marLeft w:val="0"/>
          <w:marRight w:val="0"/>
          <w:marTop w:val="0"/>
          <w:marBottom w:val="0"/>
          <w:divBdr>
            <w:top w:val="none" w:sz="0" w:space="0" w:color="auto"/>
            <w:left w:val="none" w:sz="0" w:space="0" w:color="auto"/>
            <w:bottom w:val="none" w:sz="0" w:space="0" w:color="auto"/>
            <w:right w:val="none" w:sz="0" w:space="0" w:color="auto"/>
          </w:divBdr>
        </w:div>
        <w:div w:id="981929749">
          <w:marLeft w:val="0"/>
          <w:marRight w:val="0"/>
          <w:marTop w:val="0"/>
          <w:marBottom w:val="0"/>
          <w:divBdr>
            <w:top w:val="none" w:sz="0" w:space="0" w:color="auto"/>
            <w:left w:val="none" w:sz="0" w:space="0" w:color="auto"/>
            <w:bottom w:val="none" w:sz="0" w:space="0" w:color="auto"/>
            <w:right w:val="none" w:sz="0" w:space="0" w:color="auto"/>
          </w:divBdr>
        </w:div>
        <w:div w:id="1701128820">
          <w:marLeft w:val="0"/>
          <w:marRight w:val="0"/>
          <w:marTop w:val="0"/>
          <w:marBottom w:val="0"/>
          <w:divBdr>
            <w:top w:val="none" w:sz="0" w:space="0" w:color="auto"/>
            <w:left w:val="none" w:sz="0" w:space="0" w:color="auto"/>
            <w:bottom w:val="none" w:sz="0" w:space="0" w:color="auto"/>
            <w:right w:val="none" w:sz="0" w:space="0" w:color="auto"/>
          </w:divBdr>
        </w:div>
        <w:div w:id="1862626075">
          <w:marLeft w:val="0"/>
          <w:marRight w:val="0"/>
          <w:marTop w:val="0"/>
          <w:marBottom w:val="0"/>
          <w:divBdr>
            <w:top w:val="none" w:sz="0" w:space="0" w:color="auto"/>
            <w:left w:val="none" w:sz="0" w:space="0" w:color="auto"/>
            <w:bottom w:val="none" w:sz="0" w:space="0" w:color="auto"/>
            <w:right w:val="none" w:sz="0" w:space="0" w:color="auto"/>
          </w:divBdr>
        </w:div>
      </w:divsChild>
    </w:div>
    <w:div w:id="1262176963">
      <w:bodyDiv w:val="1"/>
      <w:marLeft w:val="0"/>
      <w:marRight w:val="0"/>
      <w:marTop w:val="0"/>
      <w:marBottom w:val="0"/>
      <w:divBdr>
        <w:top w:val="none" w:sz="0" w:space="0" w:color="auto"/>
        <w:left w:val="none" w:sz="0" w:space="0" w:color="auto"/>
        <w:bottom w:val="none" w:sz="0" w:space="0" w:color="auto"/>
        <w:right w:val="none" w:sz="0" w:space="0" w:color="auto"/>
      </w:divBdr>
    </w:div>
    <w:div w:id="1316490480">
      <w:bodyDiv w:val="1"/>
      <w:marLeft w:val="0"/>
      <w:marRight w:val="0"/>
      <w:marTop w:val="0"/>
      <w:marBottom w:val="0"/>
      <w:divBdr>
        <w:top w:val="none" w:sz="0" w:space="0" w:color="auto"/>
        <w:left w:val="none" w:sz="0" w:space="0" w:color="auto"/>
        <w:bottom w:val="none" w:sz="0" w:space="0" w:color="auto"/>
        <w:right w:val="none" w:sz="0" w:space="0" w:color="auto"/>
      </w:divBdr>
    </w:div>
    <w:div w:id="1372459817">
      <w:bodyDiv w:val="1"/>
      <w:marLeft w:val="0"/>
      <w:marRight w:val="0"/>
      <w:marTop w:val="0"/>
      <w:marBottom w:val="0"/>
      <w:divBdr>
        <w:top w:val="none" w:sz="0" w:space="0" w:color="auto"/>
        <w:left w:val="none" w:sz="0" w:space="0" w:color="auto"/>
        <w:bottom w:val="none" w:sz="0" w:space="0" w:color="auto"/>
        <w:right w:val="none" w:sz="0" w:space="0" w:color="auto"/>
      </w:divBdr>
      <w:divsChild>
        <w:div w:id="1367296955">
          <w:marLeft w:val="0"/>
          <w:marRight w:val="0"/>
          <w:marTop w:val="0"/>
          <w:marBottom w:val="0"/>
          <w:divBdr>
            <w:top w:val="none" w:sz="0" w:space="0" w:color="auto"/>
            <w:left w:val="none" w:sz="0" w:space="0" w:color="auto"/>
            <w:bottom w:val="none" w:sz="0" w:space="0" w:color="auto"/>
            <w:right w:val="none" w:sz="0" w:space="0" w:color="auto"/>
          </w:divBdr>
        </w:div>
        <w:div w:id="1737240585">
          <w:marLeft w:val="0"/>
          <w:marRight w:val="0"/>
          <w:marTop w:val="0"/>
          <w:marBottom w:val="0"/>
          <w:divBdr>
            <w:top w:val="none" w:sz="0" w:space="0" w:color="auto"/>
            <w:left w:val="none" w:sz="0" w:space="0" w:color="auto"/>
            <w:bottom w:val="none" w:sz="0" w:space="0" w:color="auto"/>
            <w:right w:val="none" w:sz="0" w:space="0" w:color="auto"/>
          </w:divBdr>
        </w:div>
      </w:divsChild>
    </w:div>
    <w:div w:id="1578320704">
      <w:bodyDiv w:val="1"/>
      <w:marLeft w:val="0"/>
      <w:marRight w:val="0"/>
      <w:marTop w:val="0"/>
      <w:marBottom w:val="0"/>
      <w:divBdr>
        <w:top w:val="none" w:sz="0" w:space="0" w:color="auto"/>
        <w:left w:val="none" w:sz="0" w:space="0" w:color="auto"/>
        <w:bottom w:val="none" w:sz="0" w:space="0" w:color="auto"/>
        <w:right w:val="none" w:sz="0" w:space="0" w:color="auto"/>
      </w:divBdr>
      <w:divsChild>
        <w:div w:id="936718384">
          <w:marLeft w:val="0"/>
          <w:marRight w:val="0"/>
          <w:marTop w:val="0"/>
          <w:marBottom w:val="0"/>
          <w:divBdr>
            <w:top w:val="none" w:sz="0" w:space="0" w:color="auto"/>
            <w:left w:val="none" w:sz="0" w:space="0" w:color="auto"/>
            <w:bottom w:val="none" w:sz="0" w:space="0" w:color="auto"/>
            <w:right w:val="none" w:sz="0" w:space="0" w:color="auto"/>
          </w:divBdr>
        </w:div>
        <w:div w:id="1067611917">
          <w:marLeft w:val="0"/>
          <w:marRight w:val="0"/>
          <w:marTop w:val="0"/>
          <w:marBottom w:val="0"/>
          <w:divBdr>
            <w:top w:val="none" w:sz="0" w:space="0" w:color="auto"/>
            <w:left w:val="none" w:sz="0" w:space="0" w:color="auto"/>
            <w:bottom w:val="none" w:sz="0" w:space="0" w:color="auto"/>
            <w:right w:val="none" w:sz="0" w:space="0" w:color="auto"/>
          </w:divBdr>
        </w:div>
      </w:divsChild>
    </w:div>
    <w:div w:id="1673795753">
      <w:bodyDiv w:val="1"/>
      <w:marLeft w:val="0"/>
      <w:marRight w:val="0"/>
      <w:marTop w:val="0"/>
      <w:marBottom w:val="0"/>
      <w:divBdr>
        <w:top w:val="none" w:sz="0" w:space="0" w:color="auto"/>
        <w:left w:val="none" w:sz="0" w:space="0" w:color="auto"/>
        <w:bottom w:val="none" w:sz="0" w:space="0" w:color="auto"/>
        <w:right w:val="none" w:sz="0" w:space="0" w:color="auto"/>
      </w:divBdr>
    </w:div>
    <w:div w:id="1689019385">
      <w:bodyDiv w:val="1"/>
      <w:marLeft w:val="0"/>
      <w:marRight w:val="0"/>
      <w:marTop w:val="0"/>
      <w:marBottom w:val="0"/>
      <w:divBdr>
        <w:top w:val="none" w:sz="0" w:space="0" w:color="auto"/>
        <w:left w:val="none" w:sz="0" w:space="0" w:color="auto"/>
        <w:bottom w:val="none" w:sz="0" w:space="0" w:color="auto"/>
        <w:right w:val="none" w:sz="0" w:space="0" w:color="auto"/>
      </w:divBdr>
    </w:div>
    <w:div w:id="1789884564">
      <w:bodyDiv w:val="1"/>
      <w:marLeft w:val="0"/>
      <w:marRight w:val="0"/>
      <w:marTop w:val="0"/>
      <w:marBottom w:val="0"/>
      <w:divBdr>
        <w:top w:val="none" w:sz="0" w:space="0" w:color="auto"/>
        <w:left w:val="none" w:sz="0" w:space="0" w:color="auto"/>
        <w:bottom w:val="none" w:sz="0" w:space="0" w:color="auto"/>
        <w:right w:val="none" w:sz="0" w:space="0" w:color="auto"/>
      </w:divBdr>
      <w:divsChild>
        <w:div w:id="1923643036">
          <w:marLeft w:val="0"/>
          <w:marRight w:val="0"/>
          <w:marTop w:val="0"/>
          <w:marBottom w:val="0"/>
          <w:divBdr>
            <w:top w:val="none" w:sz="0" w:space="0" w:color="auto"/>
            <w:left w:val="none" w:sz="0" w:space="0" w:color="auto"/>
            <w:bottom w:val="none" w:sz="0" w:space="0" w:color="auto"/>
            <w:right w:val="none" w:sz="0" w:space="0" w:color="auto"/>
          </w:divBdr>
        </w:div>
        <w:div w:id="1547790993">
          <w:marLeft w:val="0"/>
          <w:marRight w:val="0"/>
          <w:marTop w:val="0"/>
          <w:marBottom w:val="0"/>
          <w:divBdr>
            <w:top w:val="none" w:sz="0" w:space="0" w:color="auto"/>
            <w:left w:val="none" w:sz="0" w:space="0" w:color="auto"/>
            <w:bottom w:val="none" w:sz="0" w:space="0" w:color="auto"/>
            <w:right w:val="none" w:sz="0" w:space="0" w:color="auto"/>
          </w:divBdr>
        </w:div>
        <w:div w:id="1608807805">
          <w:marLeft w:val="0"/>
          <w:marRight w:val="0"/>
          <w:marTop w:val="0"/>
          <w:marBottom w:val="0"/>
          <w:divBdr>
            <w:top w:val="none" w:sz="0" w:space="0" w:color="auto"/>
            <w:left w:val="none" w:sz="0" w:space="0" w:color="auto"/>
            <w:bottom w:val="none" w:sz="0" w:space="0" w:color="auto"/>
            <w:right w:val="none" w:sz="0" w:space="0" w:color="auto"/>
          </w:divBdr>
        </w:div>
        <w:div w:id="1564220127">
          <w:marLeft w:val="0"/>
          <w:marRight w:val="0"/>
          <w:marTop w:val="0"/>
          <w:marBottom w:val="0"/>
          <w:divBdr>
            <w:top w:val="none" w:sz="0" w:space="0" w:color="auto"/>
            <w:left w:val="none" w:sz="0" w:space="0" w:color="auto"/>
            <w:bottom w:val="none" w:sz="0" w:space="0" w:color="auto"/>
            <w:right w:val="none" w:sz="0" w:space="0" w:color="auto"/>
          </w:divBdr>
        </w:div>
      </w:divsChild>
    </w:div>
    <w:div w:id="1825731861">
      <w:bodyDiv w:val="1"/>
      <w:marLeft w:val="0"/>
      <w:marRight w:val="0"/>
      <w:marTop w:val="0"/>
      <w:marBottom w:val="0"/>
      <w:divBdr>
        <w:top w:val="none" w:sz="0" w:space="0" w:color="auto"/>
        <w:left w:val="none" w:sz="0" w:space="0" w:color="auto"/>
        <w:bottom w:val="none" w:sz="0" w:space="0" w:color="auto"/>
        <w:right w:val="none" w:sz="0" w:space="0" w:color="auto"/>
      </w:divBdr>
    </w:div>
    <w:div w:id="1828355933">
      <w:bodyDiv w:val="1"/>
      <w:marLeft w:val="0"/>
      <w:marRight w:val="0"/>
      <w:marTop w:val="0"/>
      <w:marBottom w:val="0"/>
      <w:divBdr>
        <w:top w:val="none" w:sz="0" w:space="0" w:color="auto"/>
        <w:left w:val="none" w:sz="0" w:space="0" w:color="auto"/>
        <w:bottom w:val="none" w:sz="0" w:space="0" w:color="auto"/>
        <w:right w:val="none" w:sz="0" w:space="0" w:color="auto"/>
      </w:divBdr>
    </w:div>
    <w:div w:id="1853258915">
      <w:bodyDiv w:val="1"/>
      <w:marLeft w:val="0"/>
      <w:marRight w:val="0"/>
      <w:marTop w:val="0"/>
      <w:marBottom w:val="0"/>
      <w:divBdr>
        <w:top w:val="none" w:sz="0" w:space="0" w:color="auto"/>
        <w:left w:val="none" w:sz="0" w:space="0" w:color="auto"/>
        <w:bottom w:val="none" w:sz="0" w:space="0" w:color="auto"/>
        <w:right w:val="none" w:sz="0" w:space="0" w:color="auto"/>
      </w:divBdr>
    </w:div>
    <w:div w:id="1863857146">
      <w:bodyDiv w:val="1"/>
      <w:marLeft w:val="0"/>
      <w:marRight w:val="0"/>
      <w:marTop w:val="0"/>
      <w:marBottom w:val="0"/>
      <w:divBdr>
        <w:top w:val="none" w:sz="0" w:space="0" w:color="auto"/>
        <w:left w:val="none" w:sz="0" w:space="0" w:color="auto"/>
        <w:bottom w:val="none" w:sz="0" w:space="0" w:color="auto"/>
        <w:right w:val="none" w:sz="0" w:space="0" w:color="auto"/>
      </w:divBdr>
    </w:div>
    <w:div w:id="1900438753">
      <w:bodyDiv w:val="1"/>
      <w:marLeft w:val="0"/>
      <w:marRight w:val="0"/>
      <w:marTop w:val="0"/>
      <w:marBottom w:val="0"/>
      <w:divBdr>
        <w:top w:val="none" w:sz="0" w:space="0" w:color="auto"/>
        <w:left w:val="none" w:sz="0" w:space="0" w:color="auto"/>
        <w:bottom w:val="none" w:sz="0" w:space="0" w:color="auto"/>
        <w:right w:val="none" w:sz="0" w:space="0" w:color="auto"/>
      </w:divBdr>
    </w:div>
    <w:div w:id="1922373558">
      <w:bodyDiv w:val="1"/>
      <w:marLeft w:val="0"/>
      <w:marRight w:val="0"/>
      <w:marTop w:val="0"/>
      <w:marBottom w:val="0"/>
      <w:divBdr>
        <w:top w:val="none" w:sz="0" w:space="0" w:color="auto"/>
        <w:left w:val="none" w:sz="0" w:space="0" w:color="auto"/>
        <w:bottom w:val="none" w:sz="0" w:space="0" w:color="auto"/>
        <w:right w:val="none" w:sz="0" w:space="0" w:color="auto"/>
      </w:divBdr>
    </w:div>
    <w:div w:id="2025670403">
      <w:bodyDiv w:val="1"/>
      <w:marLeft w:val="0"/>
      <w:marRight w:val="0"/>
      <w:marTop w:val="0"/>
      <w:marBottom w:val="0"/>
      <w:divBdr>
        <w:top w:val="none" w:sz="0" w:space="0" w:color="auto"/>
        <w:left w:val="none" w:sz="0" w:space="0" w:color="auto"/>
        <w:bottom w:val="none" w:sz="0" w:space="0" w:color="auto"/>
        <w:right w:val="none" w:sz="0" w:space="0" w:color="auto"/>
      </w:divBdr>
    </w:div>
    <w:div w:id="2059547176">
      <w:bodyDiv w:val="1"/>
      <w:marLeft w:val="0"/>
      <w:marRight w:val="0"/>
      <w:marTop w:val="0"/>
      <w:marBottom w:val="0"/>
      <w:divBdr>
        <w:top w:val="none" w:sz="0" w:space="0" w:color="auto"/>
        <w:left w:val="none" w:sz="0" w:space="0" w:color="auto"/>
        <w:bottom w:val="none" w:sz="0" w:space="0" w:color="auto"/>
        <w:right w:val="none" w:sz="0" w:space="0" w:color="auto"/>
      </w:divBdr>
    </w:div>
    <w:div w:id="2072190396">
      <w:bodyDiv w:val="1"/>
      <w:marLeft w:val="0"/>
      <w:marRight w:val="0"/>
      <w:marTop w:val="0"/>
      <w:marBottom w:val="0"/>
      <w:divBdr>
        <w:top w:val="none" w:sz="0" w:space="0" w:color="auto"/>
        <w:left w:val="none" w:sz="0" w:space="0" w:color="auto"/>
        <w:bottom w:val="none" w:sz="0" w:space="0" w:color="auto"/>
        <w:right w:val="none" w:sz="0" w:space="0" w:color="auto"/>
      </w:divBdr>
    </w:div>
    <w:div w:id="2088646357">
      <w:bodyDiv w:val="1"/>
      <w:marLeft w:val="0"/>
      <w:marRight w:val="0"/>
      <w:marTop w:val="0"/>
      <w:marBottom w:val="0"/>
      <w:divBdr>
        <w:top w:val="none" w:sz="0" w:space="0" w:color="auto"/>
        <w:left w:val="none" w:sz="0" w:space="0" w:color="auto"/>
        <w:bottom w:val="none" w:sz="0" w:space="0" w:color="auto"/>
        <w:right w:val="none" w:sz="0" w:space="0" w:color="auto"/>
      </w:divBdr>
    </w:div>
    <w:div w:id="2115903619">
      <w:bodyDiv w:val="1"/>
      <w:marLeft w:val="0"/>
      <w:marRight w:val="0"/>
      <w:marTop w:val="0"/>
      <w:marBottom w:val="0"/>
      <w:divBdr>
        <w:top w:val="none" w:sz="0" w:space="0" w:color="auto"/>
        <w:left w:val="none" w:sz="0" w:space="0" w:color="auto"/>
        <w:bottom w:val="none" w:sz="0" w:space="0" w:color="auto"/>
        <w:right w:val="none" w:sz="0" w:space="0" w:color="auto"/>
      </w:divBdr>
      <w:divsChild>
        <w:div w:id="489564755">
          <w:marLeft w:val="0"/>
          <w:marRight w:val="0"/>
          <w:marTop w:val="0"/>
          <w:marBottom w:val="0"/>
          <w:divBdr>
            <w:top w:val="none" w:sz="0" w:space="0" w:color="auto"/>
            <w:left w:val="none" w:sz="0" w:space="0" w:color="auto"/>
            <w:bottom w:val="none" w:sz="0" w:space="0" w:color="auto"/>
            <w:right w:val="none" w:sz="0" w:space="0" w:color="auto"/>
          </w:divBdr>
        </w:div>
        <w:div w:id="87465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eu10-million-eu-funding-available-projects-stepping-eus-cybersecurity-capabilities-and-cross" TargetMode="External"/><Relationship Id="rId13" Type="http://schemas.openxmlformats.org/officeDocument/2006/relationships/hyperlink" Target="https://www.consilium.europa.eu/bg/press/press-releases/2018/12/14/european-council-conclusions-13-14-december-2018/" TargetMode="External"/><Relationship Id="rId3" Type="http://schemas.openxmlformats.org/officeDocument/2006/relationships/hyperlink" Target="https://www.elysee.fr/emmanuel-macron/2019/05/15/the-christchurch-call-to-action-to-eliminate-terrorist-and-violent-extremist-content-online.en" TargetMode="External"/><Relationship Id="rId7" Type="http://schemas.openxmlformats.org/officeDocument/2006/relationships/hyperlink" Target="https://ec.europa.eu/digital-single-market/en/news/building-strong-cybersecurity-european-union-resilience-deterence-defence" TargetMode="External"/><Relationship Id="rId12" Type="http://schemas.openxmlformats.org/officeDocument/2006/relationships/hyperlink" Target="https://www.consilium.europa.eu/bg/press/press-releases/2019/06/06/council-gives-mandate-to-commission-to-negotiate-international-agreements-on-e-evidence-in-criminal-matters/" TargetMode="External"/><Relationship Id="rId17" Type="http://schemas.openxmlformats.org/officeDocument/2006/relationships/hyperlink" Target="https://ec.europa.eu/home-affairs/sites/homeaffairs/files/what-we-do/policies/european-agenda-security/20190627_com-2019-293-commission-report_en.pdf" TargetMode="External"/><Relationship Id="rId2" Type="http://schemas.openxmlformats.org/officeDocument/2006/relationships/hyperlink" Target="https://ec.europa.eu/commission/sites/beta-political/files/euco-sibiu-security-union_bg.pdf" TargetMode="External"/><Relationship Id="rId16" Type="http://schemas.openxmlformats.org/officeDocument/2006/relationships/hyperlink" Target="https://eeas.europa.eu/sites/eeas/files/2019042019_un-eu_framework_on_counter-terrorism.pdf" TargetMode="External"/><Relationship Id="rId1" Type="http://schemas.openxmlformats.org/officeDocument/2006/relationships/hyperlink" Target="https://www.consilium.europa.eu/media/39923/a-new-strategic-agenda-2019-2024-bg.pdf" TargetMode="External"/><Relationship Id="rId6" Type="http://schemas.openxmlformats.org/officeDocument/2006/relationships/hyperlink" Target="https://ec.europa.eu/home-affairs/what-we-do/networks/radicalisation_awareness_network_en" TargetMode="External"/><Relationship Id="rId11" Type="http://schemas.openxmlformats.org/officeDocument/2006/relationships/hyperlink" Target="https://www.consilium.europa.eu/bg/press/press-releases/2019/06/20/european-council-conclusions-20-june-2019/" TargetMode="External"/><Relationship Id="rId5" Type="http://schemas.openxmlformats.org/officeDocument/2006/relationships/hyperlink" Target="https://g20.org/pdf/documents/en/FINAL_G20_Statement_on_Preventing_Terrorist_and_VECT.pdf" TargetMode="External"/><Relationship Id="rId15" Type="http://schemas.openxmlformats.org/officeDocument/2006/relationships/hyperlink" Target="https://www.consilium.europa.eu/bg/press/press-releases/2019/06/20/european-council-conclusions-20-june-2019/" TargetMode="External"/><Relationship Id="rId10" Type="http://schemas.openxmlformats.org/officeDocument/2006/relationships/hyperlink" Target="http://data.consilium.europa.eu/doc/document/ST-9916-2017-INIT/bg/pdf" TargetMode="External"/><Relationship Id="rId4" Type="http://schemas.openxmlformats.org/officeDocument/2006/relationships/hyperlink" Target="https://www.elysee.fr/en/g7/2019/04/06/g7-interior-ministers-meeting-what-are-the-outcomes" TargetMode="External"/><Relationship Id="rId9" Type="http://schemas.openxmlformats.org/officeDocument/2006/relationships/hyperlink" Target="https://ec.europa.eu/programmes/horizon2020/en/h2020-section/cross-cutting-activities-focus-areas" TargetMode="External"/><Relationship Id="rId14" Type="http://schemas.openxmlformats.org/officeDocument/2006/relationships/hyperlink" Target="https://data.consilium.europa.eu/doc/document/ST-1-2019-INIT/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29DA-0A83-4CE0-980D-01927D5D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8395</Words>
  <Characters>49951</Characters>
  <Application>Microsoft Office Word</Application>
  <DocSecurity>0</DocSecurity>
  <Lines>805</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22</cp:revision>
  <cp:lastPrinted>2019-08-19T07:19:00Z</cp:lastPrinted>
  <dcterms:created xsi:type="dcterms:W3CDTF">2019-08-19T11:01:00Z</dcterms:created>
  <dcterms:modified xsi:type="dcterms:W3CDTF">2019-09-11T13:42:00Z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y fmtid="{D5CDD505-2E9C-101B-9397-08002B2CF9AE}" pid="8" name="CPTemplateID">
    <vt:lpwstr>CP-035</vt:lpwstr>
  </property>
</Properties>
</file>