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A0BF7F0E-8FF0-487C-B4A7-8A69B369B024" style="width:450.8pt;height:393.8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0" w:type="auto"/>
        <w:tblInd w:w="1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000" w:firstRow="0" w:lastRow="0" w:firstColumn="0" w:lastColumn="0" w:noHBand="0" w:noVBand="0"/>
      </w:tblPr>
      <w:tblGrid>
        <w:gridCol w:w="9455"/>
      </w:tblGrid>
      <w:tr>
        <w:trPr>
          <w:trHeight w:val="970"/>
        </w:trPr>
        <w:tc>
          <w:tcPr>
            <w:tcW w:w="9455" w:type="dxa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bookmarkStart w:id="1" w:name="_GoBack"/>
            <w:bookmarkEnd w:id="1"/>
          </w:p>
          <w:p>
            <w:pPr>
              <w:spacing w:after="0"/>
              <w:jc w:val="center"/>
              <w:rPr>
                <w:rFonts w:asciiTheme="minorHAnsi" w:hAnsiTheme="minorHAnsi"/>
                <w:noProof/>
                <w:sz w:val="22"/>
              </w:rPr>
            </w:pPr>
            <w:r>
              <w:rPr>
                <w:b/>
                <w:noProof/>
                <w:sz w:val="26"/>
              </w:rPr>
              <w:t>Статистически данни относно прилагането на Регламент (ЕО) № 1049/2001</w:t>
            </w:r>
          </w:p>
        </w:tc>
      </w:tr>
    </w:tbl>
    <w:p>
      <w:pPr>
        <w:keepNext/>
        <w:numPr>
          <w:ilvl w:val="0"/>
          <w:numId w:val="33"/>
        </w:numPr>
        <w:tabs>
          <w:tab w:val="num" w:pos="992"/>
        </w:tabs>
        <w:spacing w:before="60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Брой документи, вписани в регистъра</w:t>
      </w:r>
    </w:p>
    <w:tbl>
      <w:tblPr>
        <w:tblW w:w="4855" w:type="pct"/>
        <w:tblInd w:w="108" w:type="dxa"/>
        <w:tblLook w:val="01E0" w:firstRow="1" w:lastRow="1" w:firstColumn="1" w:lastColumn="1" w:noHBand="0" w:noVBand="0"/>
      </w:tblPr>
      <w:tblGrid>
        <w:gridCol w:w="1051"/>
        <w:gridCol w:w="1053"/>
        <w:gridCol w:w="1051"/>
        <w:gridCol w:w="1054"/>
        <w:gridCol w:w="1052"/>
        <w:gridCol w:w="1054"/>
        <w:gridCol w:w="1052"/>
        <w:gridCol w:w="1054"/>
        <w:gridCol w:w="1054"/>
      </w:tblGrid>
      <w:tr>
        <w:trPr>
          <w:trHeight w:val="17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C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COM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JOIN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OJ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PV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SEC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SWD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>
            <w:pPr>
              <w:spacing w:before="120" w:after="120" w:line="240" w:lineRule="auto"/>
              <w:jc w:val="center"/>
              <w:outlineLvl w:val="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</w:tr>
      <w:tr>
        <w:trPr>
          <w:trHeight w:val="17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 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14 749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1850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1373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18 825</w:t>
            </w:r>
          </w:p>
        </w:tc>
      </w:tr>
      <w:tr>
        <w:trPr>
          <w:trHeight w:val="17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 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15 297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1366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before="120" w:after="120" w:line="24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19 582</w:t>
            </w:r>
          </w:p>
        </w:tc>
      </w:tr>
    </w:tbl>
    <w:p>
      <w:pPr>
        <w:keepNext/>
        <w:numPr>
          <w:ilvl w:val="0"/>
          <w:numId w:val="33"/>
        </w:numPr>
        <w:tabs>
          <w:tab w:val="num" w:pos="992"/>
        </w:tabs>
        <w:spacing w:before="600" w:after="36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Посещаемост на страницата „Достъп до документи“ на уебсайта Europa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2126"/>
      </w:tblGrid>
      <w:tr>
        <w:trPr>
          <w:trHeight w:val="5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0"/>
              </w:rPr>
              <w:t>2018 г.</w:t>
            </w:r>
            <w:r>
              <w:rPr>
                <w:b/>
                <w:noProof/>
                <w:sz w:val="20"/>
                <w:vertAlign w:val="superscript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ПОСЕТИТЕЛИ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РАЗГЛЕДАНИ СТРАНИЦИ</w:t>
            </w:r>
          </w:p>
        </w:tc>
      </w:tr>
      <w:tr>
        <w:trPr>
          <w:trHeight w:val="1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240" w:lineRule="auto"/>
              <w:ind w:left="102" w:right="-36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highlight w:val="yellow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</w:rPr>
              <w:t>6458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</w:rPr>
              <w:t>8652</w:t>
            </w:r>
          </w:p>
        </w:tc>
      </w:tr>
    </w:tbl>
    <w:p>
      <w:pPr>
        <w:keepNext/>
        <w:numPr>
          <w:ilvl w:val="0"/>
          <w:numId w:val="33"/>
        </w:numPr>
        <w:tabs>
          <w:tab w:val="num" w:pos="992"/>
        </w:tabs>
        <w:spacing w:before="60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Брой на получените и обработените първоначални заявления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152"/>
        <w:gridCol w:w="1152"/>
        <w:gridCol w:w="1152"/>
        <w:gridCol w:w="1152"/>
        <w:gridCol w:w="1153"/>
      </w:tblGrid>
      <w:tr>
        <w:trPr>
          <w:trHeight w:val="746"/>
        </w:trPr>
        <w:tc>
          <w:tcPr>
            <w:tcW w:w="3778" w:type="dxa"/>
            <w:shd w:val="clear" w:color="auto" w:fill="auto"/>
          </w:tcPr>
          <w:p>
            <w:pPr>
              <w:tabs>
                <w:tab w:val="left" w:pos="1170"/>
                <w:tab w:val="left" w:pos="1485"/>
              </w:tabs>
              <w:spacing w:after="0" w:line="360" w:lineRule="auto"/>
              <w:jc w:val="both"/>
              <w:rPr>
                <w:rFonts w:eastAsia="Times New Roman" w:cs="Times New Roman"/>
                <w:noProof/>
                <w:sz w:val="22"/>
                <w:szCs w:val="24"/>
              </w:rPr>
            </w:pP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after="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after="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after="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after="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153" w:type="dxa"/>
            <w:shd w:val="clear" w:color="auto" w:fill="C6D9F1"/>
            <w:vAlign w:val="center"/>
          </w:tcPr>
          <w:p>
            <w:pPr>
              <w:spacing w:after="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746"/>
        </w:trPr>
        <w:tc>
          <w:tcPr>
            <w:tcW w:w="3778" w:type="dxa"/>
          </w:tcPr>
          <w:p>
            <w:pPr>
              <w:spacing w:before="120" w:after="120" w:line="240" w:lineRule="auto"/>
              <w:ind w:left="11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Регистрирани заявления</w:t>
            </w:r>
          </w:p>
        </w:tc>
        <w:tc>
          <w:tcPr>
            <w:tcW w:w="1152" w:type="dxa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6227</w:t>
            </w:r>
          </w:p>
        </w:tc>
        <w:tc>
          <w:tcPr>
            <w:tcW w:w="1152" w:type="dxa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6752</w:t>
            </w:r>
          </w:p>
        </w:tc>
        <w:tc>
          <w:tcPr>
            <w:tcW w:w="1152" w:type="dxa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6077</w:t>
            </w:r>
          </w:p>
        </w:tc>
        <w:tc>
          <w:tcPr>
            <w:tcW w:w="1152" w:type="dxa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6255</w:t>
            </w:r>
          </w:p>
        </w:tc>
        <w:tc>
          <w:tcPr>
            <w:tcW w:w="1153" w:type="dxa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6912</w:t>
            </w:r>
          </w:p>
        </w:tc>
      </w:tr>
      <w:tr>
        <w:trPr>
          <w:trHeight w:val="746"/>
        </w:trPr>
        <w:tc>
          <w:tcPr>
            <w:tcW w:w="3778" w:type="dxa"/>
            <w:shd w:val="clear" w:color="auto" w:fill="C6D9F1"/>
          </w:tcPr>
          <w:p>
            <w:pPr>
              <w:spacing w:before="120" w:after="120" w:line="240" w:lineRule="auto"/>
              <w:ind w:left="11"/>
              <w:jc w:val="both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Дадени отговори</w:t>
            </w:r>
            <w:r>
              <w:rPr>
                <w:noProof/>
                <w:sz w:val="20"/>
                <w:vertAlign w:val="superscript"/>
              </w:rPr>
              <w:footnoteReference w:id="2"/>
            </w:r>
            <w:r>
              <w:rPr>
                <w:noProof/>
                <w:sz w:val="20"/>
              </w:rPr>
              <w:t xml:space="preserve"> 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7156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7684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7139</w:t>
            </w:r>
          </w:p>
        </w:tc>
        <w:tc>
          <w:tcPr>
            <w:tcW w:w="1152" w:type="dxa"/>
            <w:shd w:val="clear" w:color="auto" w:fill="C6D9F1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6716</w:t>
            </w:r>
          </w:p>
        </w:tc>
        <w:tc>
          <w:tcPr>
            <w:tcW w:w="1153" w:type="dxa"/>
            <w:shd w:val="clear" w:color="auto" w:fill="C6D9F1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7257</w:t>
            </w:r>
          </w:p>
        </w:tc>
      </w:tr>
      <w:tr>
        <w:trPr>
          <w:trHeight w:val="746"/>
        </w:trPr>
        <w:tc>
          <w:tcPr>
            <w:tcW w:w="3778" w:type="dxa"/>
            <w:shd w:val="clear" w:color="auto" w:fill="auto"/>
          </w:tcPr>
          <w:p>
            <w:pPr>
              <w:spacing w:before="120" w:after="120" w:line="240" w:lineRule="auto"/>
              <w:ind w:left="1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Отговори на основание</w:t>
            </w:r>
            <w:r>
              <w:rPr>
                <w:noProof/>
                <w:sz w:val="20"/>
                <w:szCs w:val="20"/>
              </w:rPr>
              <w:br/>
              <w:t>Регламент (ЕО) № 1049/2001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5637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5819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5945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5181</w:t>
            </w:r>
          </w:p>
        </w:tc>
        <w:tc>
          <w:tcPr>
            <w:tcW w:w="1153" w:type="dxa"/>
            <w:shd w:val="clear" w:color="auto" w:fill="auto"/>
            <w:vAlign w:val="center"/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6117</w:t>
            </w:r>
          </w:p>
        </w:tc>
      </w:tr>
    </w:tbl>
    <w:p>
      <w:pPr>
        <w:rPr>
          <w:rFonts w:eastAsia="Times New Roman" w:cs="Times New Roman"/>
          <w:noProof/>
          <w:szCs w:val="32"/>
        </w:rPr>
      </w:pPr>
      <w:r>
        <w:rPr>
          <w:noProof/>
        </w:rPr>
        <w:br w:type="page"/>
      </w:r>
    </w:p>
    <w:p>
      <w:pPr>
        <w:keepNext/>
        <w:numPr>
          <w:ilvl w:val="0"/>
          <w:numId w:val="36"/>
        </w:numPr>
        <w:tabs>
          <w:tab w:val="num" w:pos="992"/>
        </w:tabs>
        <w:spacing w:before="48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Брой на получените и обработените потвърдителни заявления</w:t>
      </w:r>
    </w:p>
    <w:tbl>
      <w:tblPr>
        <w:tblW w:w="4889" w:type="pct"/>
        <w:tblInd w:w="108" w:type="dxa"/>
        <w:tblLook w:val="01E0" w:firstRow="1" w:lastRow="1" w:firstColumn="1" w:lastColumn="1" w:noHBand="0" w:noVBand="0"/>
      </w:tblPr>
      <w:tblGrid>
        <w:gridCol w:w="3797"/>
        <w:gridCol w:w="1148"/>
        <w:gridCol w:w="1149"/>
        <w:gridCol w:w="1149"/>
        <w:gridCol w:w="1149"/>
        <w:gridCol w:w="1149"/>
      </w:tblGrid>
      <w:tr>
        <w:trPr>
          <w:trHeight w:val="51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187"/>
              </w:tabs>
              <w:spacing w:before="120" w:after="0" w:line="36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51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Регистрирани заявления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318</w:t>
            </w:r>
          </w:p>
        </w:tc>
      </w:tr>
      <w:tr>
        <w:trPr>
          <w:trHeight w:val="51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>
            <w:pPr>
              <w:spacing w:before="120" w:after="12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Дадени отговори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326</w:t>
            </w:r>
          </w:p>
        </w:tc>
      </w:tr>
      <w:tr>
        <w:trPr>
          <w:trHeight w:val="51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120" w:after="12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Отговори на основание</w:t>
            </w:r>
            <w:r>
              <w:rPr>
                <w:noProof/>
                <w:sz w:val="20"/>
              </w:rPr>
              <w:br/>
              <w:t>Регламент (ЕО) № 1049/2001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120" w:after="0" w:line="360" w:lineRule="auto"/>
              <w:ind w:left="12" w:firstLine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288</w:t>
            </w:r>
          </w:p>
        </w:tc>
      </w:tr>
    </w:tbl>
    <w:p>
      <w:pPr>
        <w:keepNext/>
        <w:keepLines/>
        <w:numPr>
          <w:ilvl w:val="0"/>
          <w:numId w:val="36"/>
        </w:numPr>
        <w:tabs>
          <w:tab w:val="num" w:pos="992"/>
        </w:tabs>
        <w:spacing w:before="48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Дадени отговори по генерална дирекция или служба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8"/>
        <w:gridCol w:w="1144"/>
        <w:gridCol w:w="1145"/>
        <w:gridCol w:w="224"/>
        <w:gridCol w:w="1145"/>
        <w:gridCol w:w="1145"/>
      </w:tblGrid>
      <w:tr>
        <w:trPr>
          <w:trHeight w:val="510"/>
        </w:trPr>
        <w:tc>
          <w:tcPr>
            <w:tcW w:w="4738" w:type="dxa"/>
            <w:vMerge w:val="restart"/>
          </w:tcPr>
          <w:p>
            <w:pPr>
              <w:spacing w:before="120" w:after="0" w:line="240" w:lineRule="auto"/>
              <w:ind w:left="12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ЕТАП НА ПЪРВОНАЧАЛНИ ЗАЯВЛЕНИЯ </w:t>
            </w:r>
          </w:p>
          <w:p>
            <w:pPr>
              <w:spacing w:after="0"/>
              <w:jc w:val="center"/>
              <w:rPr>
                <w:rFonts w:cs="Times New Roman"/>
                <w:noProof/>
                <w:sz w:val="22"/>
              </w:rPr>
            </w:pPr>
            <w:r>
              <w:rPr>
                <w:b/>
                <w:noProof/>
                <w:sz w:val="20"/>
              </w:rPr>
              <w:t>(%)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shd w:val="clear" w:color="auto" w:fill="B8CCE4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 (%)</w:t>
            </w:r>
          </w:p>
        </w:tc>
      </w:tr>
      <w:tr>
        <w:trPr>
          <w:trHeight w:val="340"/>
        </w:trPr>
        <w:tc>
          <w:tcPr>
            <w:tcW w:w="4738" w:type="dxa"/>
            <w:vMerge/>
            <w:vAlign w:val="center"/>
          </w:tcPr>
          <w:p>
            <w:pPr>
              <w:spacing w:after="0" w:line="240" w:lineRule="auto"/>
              <w:ind w:left="12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145" w:type="dxa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145" w:type="dxa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Генерален секретариат (SG) 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5,84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6,73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8,49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Правна служба (SJ)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3,69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3,23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3,29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4,72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„Комуникации“ (COMM)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0,43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 xml:space="preserve">Европейски център за политическа стратегия (EPSC)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0,05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0,04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</w:rPr>
              <w:t>0</w:t>
            </w:r>
            <w:r>
              <w:rPr>
                <w:noProof/>
                <w:sz w:val="20"/>
                <w:lang w:val="en-GB"/>
              </w:rPr>
              <w:t>,32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Работна група за подготовката и провеждането на преговорите с Обединеното кралство по реда на член 50 от ДЕС (TF50)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0,55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0,63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„Бюджет“ (BUDG)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0,50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0,81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„Човешки ресурси и сигурност“, включително Службата за инфраструктура и логистика в Люксембург и Службата за управление и плащане по индивидуални права (HR, OIL, PMO)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4,17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1,95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3,46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„Информатика“ (DIGIT)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1,31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0,54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Службата за вътрешен одит (IAS)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0,16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2,20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Европейска служба за борба с измамите</w:t>
            </w:r>
            <w:r>
              <w:rPr>
                <w:noProof/>
                <w:sz w:val="20"/>
                <w:szCs w:val="20"/>
                <w:vertAlign w:val="superscript"/>
              </w:rPr>
              <w:footnoteReference w:id="3"/>
            </w:r>
            <w:r>
              <w:rPr>
                <w:noProof/>
                <w:sz w:val="20"/>
                <w:szCs w:val="20"/>
              </w:rPr>
              <w:t xml:space="preserve"> (OLAF)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0,37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0,27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„Икономически и финансови въпроси“ (ECFIN) 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0,95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„Вътрешен пазар, промишленост, предприемачество и МСП“ (GROW)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6,31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6,52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7,89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6,60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„Конкуренция“ (COMP)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9,86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5,86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19,74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13,84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„Трудова заетост, социални въпроси и приобщаване“ (EMPL)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2,78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1,87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2,96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3,14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„Земеделие и развитие на селските райони“ (AGRI)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2,01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3,17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2,20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noProof/>
                <w:spacing w:val="-6"/>
                <w:sz w:val="20"/>
              </w:rPr>
              <w:t>Генерална дирекция „Мобилност и транспорт“ (MOVE)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4,27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5,18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4,93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„Енергетика“ (ENER)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2,67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2,69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2,20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„Околна среда“ (ENV)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3,95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4,96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2,96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3,77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noProof/>
                <w:spacing w:val="-4"/>
                <w:sz w:val="20"/>
              </w:rPr>
              <w:t>Генерална дирекция „Действия по климата“ (CLIMA)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1,50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1,64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1,57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„Научни изследвания и иновации“ (RTD)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1,97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1,65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1,32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0,94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„Съобщителни мрежи, съдържание и технологии“ (CNECT) 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2,58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5,92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w:t xml:space="preserve">Съвместен изследователски център 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– JRC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0,19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0,26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1,00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t>0,32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„Морско дело и рибарство“ (MARE)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1,42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1,35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1,89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„Финансова стабилност, финансови услуги и съюз на капиталовите пазари“ (FISMA)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7,48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4,53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„Регионална и селищна политика“ (REGIO)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1,73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2,24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„Данъчно облагане и митнически съюз“ (TAXUD) 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4,86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6,42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5,92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3,77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„Образование, младеж, спорт и култура“ (EAC)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0,46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1,50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„Здравеопазване и безопасност на храните“ (SANTE)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7,93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11,00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5,92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7,86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„Миграция и вътрешни работи“ (HOME)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2,46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3,39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3,29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2,83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„Правосъдие и потребители“ (JUST)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3,52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6,25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5,66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„Търговия“ (TRADE)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4,24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4,37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1,32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3,15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„Политика за съседство и преговори за разширяване“ (NEAR) 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2,63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3,34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4,09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„Международно сътрудничество и развитие“ (DEVCO)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4,69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3,95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1,57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noProof/>
                <w:spacing w:val="-6"/>
                <w:sz w:val="20"/>
              </w:rPr>
              <w:t>Генерална дирекция „Европейска гражданска защита и европейски операции за хуманитарна помощ“ (ECHO)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5,29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Евростат (ESTAT)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0,12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Генерална дирекция „Устни преводи“ (SCIC)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0,02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Генерална дирекция „Писмени преводи“ (DGT)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0,05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0,07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Служба за публикации на Европейския съюз (OP) 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0,06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Служба за инструментите в областта на външната политика</w:t>
            </w:r>
            <w:r>
              <w:rPr>
                <w:noProof/>
                <w:sz w:val="20"/>
                <w:vertAlign w:val="superscript"/>
              </w:rPr>
              <w:footnoteReference w:id="4"/>
            </w:r>
            <w:r>
              <w:rPr>
                <w:noProof/>
                <w:sz w:val="20"/>
              </w:rPr>
              <w:t xml:space="preserve"> (FPI)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0,48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1,32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0,94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pacing w:val="-8"/>
                <w:sz w:val="20"/>
                <w:szCs w:val="20"/>
              </w:rPr>
            </w:pPr>
            <w:r>
              <w:rPr>
                <w:noProof/>
                <w:spacing w:val="-8"/>
                <w:sz w:val="20"/>
              </w:rPr>
              <w:t>Служба за инфраструктура и логистика в Брюксел (OIB)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0,06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00"/>
        </w:trPr>
        <w:tc>
          <w:tcPr>
            <w:tcW w:w="4738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Европейска служба за подбор на персонал (EPSO) </w:t>
            </w:r>
          </w:p>
        </w:tc>
        <w:tc>
          <w:tcPr>
            <w:tcW w:w="1144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0,42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0,49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1,32</w:t>
            </w:r>
          </w:p>
        </w:tc>
        <w:tc>
          <w:tcPr>
            <w:tcW w:w="1145" w:type="dxa"/>
            <w:shd w:val="clear" w:color="auto" w:fill="B8CCE4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3,77</w:t>
            </w:r>
          </w:p>
        </w:tc>
      </w:tr>
      <w:tr>
        <w:trPr>
          <w:trHeight w:val="340"/>
        </w:trPr>
        <w:tc>
          <w:tcPr>
            <w:tcW w:w="4738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rPr>
          <w:rFonts w:eastAsia="Times New Roman" w:cs="Times New Roman"/>
          <w:noProof/>
          <w:szCs w:val="32"/>
        </w:rPr>
      </w:pPr>
      <w:r>
        <w:rPr>
          <w:noProof/>
        </w:rPr>
        <w:br w:type="page"/>
      </w:r>
    </w:p>
    <w:p>
      <w:pPr>
        <w:keepNext/>
        <w:keepLines/>
        <w:numPr>
          <w:ilvl w:val="0"/>
          <w:numId w:val="36"/>
        </w:numPr>
        <w:tabs>
          <w:tab w:val="num" w:pos="992"/>
        </w:tabs>
        <w:spacing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Социално-професионална категория на заявителите (%)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1512"/>
        <w:gridCol w:w="1512"/>
        <w:gridCol w:w="270"/>
        <w:gridCol w:w="1520"/>
        <w:gridCol w:w="1517"/>
      </w:tblGrid>
      <w:tr>
        <w:trPr>
          <w:trHeight w:val="510"/>
        </w:trPr>
        <w:tc>
          <w:tcPr>
            <w:tcW w:w="3208" w:type="dxa"/>
            <w:vMerge w:val="restart"/>
          </w:tcPr>
          <w:p>
            <w:pPr>
              <w:spacing w:after="0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tcBorders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(%)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(%)</w:t>
            </w:r>
          </w:p>
        </w:tc>
      </w:tr>
      <w:tr>
        <w:trPr>
          <w:trHeight w:val="340"/>
        </w:trPr>
        <w:tc>
          <w:tcPr>
            <w:tcW w:w="3208" w:type="dxa"/>
            <w:vMerge/>
          </w:tcPr>
          <w:p>
            <w:pPr>
              <w:spacing w:after="0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517" w:type="dxa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auto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Академична институция/мозъчен тръст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21,06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10,62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8,22</w:t>
            </w:r>
          </w:p>
        </w:tc>
        <w:tc>
          <w:tcPr>
            <w:tcW w:w="1517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2,83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B8CCE4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Дружество/стопанско сдружение 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12,68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16,70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6,58</w:t>
            </w:r>
          </w:p>
        </w:tc>
        <w:tc>
          <w:tcPr>
            <w:tcW w:w="1517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7,86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auto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Журналист 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5,18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7,24</w:t>
            </w:r>
          </w:p>
        </w:tc>
        <w:tc>
          <w:tcPr>
            <w:tcW w:w="1517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15,09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B8CCE4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Адвокатска кантора/</w:t>
            </w:r>
            <w:r>
              <w:rPr>
                <w:noProof/>
                <w:sz w:val="20"/>
              </w:rPr>
              <w:br/>
              <w:t>самостоятелно зает адвокат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12,87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36,18</w:t>
            </w:r>
          </w:p>
        </w:tc>
        <w:tc>
          <w:tcPr>
            <w:tcW w:w="1517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15,41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auto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на ЕП/административен асистент на член на ЕП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0,95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3,95</w:t>
            </w:r>
          </w:p>
        </w:tc>
        <w:tc>
          <w:tcPr>
            <w:tcW w:w="1517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5,03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B8CCE4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Неправителствена организация (НПО)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7,37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6,76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13,16</w:t>
            </w:r>
          </w:p>
        </w:tc>
        <w:tc>
          <w:tcPr>
            <w:tcW w:w="1517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17,30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auto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Държави членки съгласно Регламент (ЕО) № 1049/2001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0,94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  <w:highlight w:val="yellow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B8CCE4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Орган на (под)национално равнище</w:t>
            </w:r>
          </w:p>
        </w:tc>
        <w:tc>
          <w:tcPr>
            <w:tcW w:w="1512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1,72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7" w:type="dxa"/>
            <w:shd w:val="clear" w:color="auto" w:fill="B8CCE4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13"/>
        </w:trPr>
        <w:tc>
          <w:tcPr>
            <w:tcW w:w="3208" w:type="dxa"/>
            <w:shd w:val="clear" w:color="auto" w:fill="auto"/>
          </w:tcPr>
          <w:p>
            <w:pPr>
              <w:spacing w:before="60" w:after="6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е посочено (граждани)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39,84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42,17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24,67</w:t>
            </w:r>
          </w:p>
        </w:tc>
        <w:tc>
          <w:tcPr>
            <w:tcW w:w="1517" w:type="dxa"/>
            <w:shd w:val="clear" w:color="auto" w:fill="auto"/>
            <w:vAlign w:val="bottom"/>
          </w:tcPr>
          <w:p>
            <w:pPr>
              <w:spacing w:before="60" w:after="6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36,16</w:t>
            </w:r>
          </w:p>
        </w:tc>
      </w:tr>
      <w:tr>
        <w:trPr>
          <w:trHeight w:val="340"/>
        </w:trPr>
        <w:tc>
          <w:tcPr>
            <w:tcW w:w="3208" w:type="dxa"/>
            <w:shd w:val="clear" w:color="auto" w:fill="auto"/>
            <w:vAlign w:val="center"/>
          </w:tcPr>
          <w:p>
            <w:pPr>
              <w:spacing w:after="0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  <w:highlight w:val="green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  <w:highlight w:val="green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keepNext/>
        <w:numPr>
          <w:ilvl w:val="0"/>
          <w:numId w:val="36"/>
        </w:numPr>
        <w:tabs>
          <w:tab w:val="num" w:pos="992"/>
        </w:tabs>
        <w:spacing w:before="48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Географски произход на заявителите (%)</w:t>
      </w: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3202"/>
        <w:gridCol w:w="1513"/>
        <w:gridCol w:w="1513"/>
        <w:gridCol w:w="274"/>
        <w:gridCol w:w="1521"/>
        <w:gridCol w:w="1518"/>
      </w:tblGrid>
      <w:tr>
        <w:trPr>
          <w:trHeight w:val="510"/>
        </w:trPr>
        <w:tc>
          <w:tcPr>
            <w:tcW w:w="3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after="0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  <w:p>
            <w:pPr>
              <w:spacing w:after="0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(%)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after="0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ЕТАП НА ПОТВЪРЖДАВАНЕ НА ЗАЯВЛЕНИЯТА </w:t>
            </w:r>
          </w:p>
          <w:p>
            <w:pPr>
              <w:spacing w:after="0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(%)</w:t>
            </w:r>
          </w:p>
        </w:tc>
      </w:tr>
      <w:tr>
        <w:trPr>
          <w:trHeight w:val="340"/>
        </w:trPr>
        <w:tc>
          <w:tcPr>
            <w:tcW w:w="3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20" w:after="0" w:line="24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340"/>
        </w:trPr>
        <w:tc>
          <w:tcPr>
            <w:tcW w:w="622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smallCaps/>
                <w:noProof/>
                <w:sz w:val="22"/>
              </w:rPr>
              <w:t>Държави</w:t>
            </w:r>
            <w:r>
              <w:rPr>
                <w:b/>
                <w:smallCaps/>
                <w:noProof/>
                <w:sz w:val="20"/>
              </w:rPr>
              <w:t> — </w:t>
            </w:r>
            <w:r>
              <w:rPr>
                <w:b/>
                <w:smallCaps/>
                <w:noProof/>
                <w:sz w:val="22"/>
              </w:rPr>
              <w:t>членки на ЕС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Белгия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25,68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32,86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30,59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45,91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0,51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0,63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Чехия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0,63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1,45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1,26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11,96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9,17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14,14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8,49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Ирландия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2,24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2,52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Гърция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1,41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0,63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Испания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8,22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2,52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Франция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6,60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6,93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5,92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4,40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Хърватия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0,51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0,94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Италия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6,41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5,70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6,25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6,60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Кипър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0,08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0,21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Люксембург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Унгария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0,88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0,94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Малта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0,22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Нидерландия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6,84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6,52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8,49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Aвстрия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1,57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1,69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2,40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3,62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1,89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Португалия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0,80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Словения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1,57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Словакия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0,94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1,19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0,91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Обединеното кралство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15,17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9,23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8,55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6,60</w:t>
            </w:r>
          </w:p>
        </w:tc>
      </w:tr>
      <w:tr>
        <w:trPr>
          <w:trHeight w:val="340"/>
        </w:trPr>
        <w:tc>
          <w:tcPr>
            <w:tcW w:w="6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2"/>
              </w:rPr>
            </w:pPr>
            <w:r>
              <w:rPr>
                <w:b/>
                <w:smallCaps/>
                <w:noProof/>
                <w:sz w:val="22"/>
              </w:rPr>
              <w:t>Трети държави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Европейски държави извън ЕС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1,57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1,57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Африка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0,16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0,26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Азия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0,50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1,14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Австралия и Нова Зеландия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0,06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Северна Америка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1,52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0,31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Южна Америка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0,12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е посочено</w:t>
            </w:r>
            <w:r>
              <w:rPr>
                <w:noProof/>
                <w:sz w:val="20"/>
                <w:vertAlign w:val="superscript"/>
              </w:rPr>
              <w:footnoteReference w:id="5"/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</w:tcPr>
          <w:p>
            <w:pPr>
              <w:spacing w:before="60" w:after="60" w:line="240" w:lineRule="auto"/>
              <w:ind w:left="12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>
        <w:trPr>
          <w:trHeight w:val="340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ind w:left="12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keepNext/>
        <w:keepLines/>
        <w:numPr>
          <w:ilvl w:val="0"/>
          <w:numId w:val="36"/>
        </w:numPr>
        <w:tabs>
          <w:tab w:val="num" w:pos="992"/>
        </w:tabs>
        <w:spacing w:before="48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Видове отговори, дадени на етапа на първоначалните заявления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738"/>
        <w:gridCol w:w="738"/>
        <w:gridCol w:w="738"/>
        <w:gridCol w:w="738"/>
        <w:gridCol w:w="738"/>
        <w:gridCol w:w="737"/>
        <w:gridCol w:w="738"/>
        <w:gridCol w:w="738"/>
        <w:gridCol w:w="738"/>
        <w:gridCol w:w="738"/>
      </w:tblGrid>
      <w:tr>
        <w:trPr>
          <w:cantSplit/>
          <w:trHeight w:val="510"/>
        </w:trPr>
        <w:tc>
          <w:tcPr>
            <w:tcW w:w="2161" w:type="dxa"/>
            <w:vMerge w:val="restart"/>
            <w:noWrap/>
            <w:vAlign w:val="center"/>
          </w:tcPr>
          <w:p>
            <w:pPr>
              <w:keepLines/>
              <w:spacing w:before="120" w:after="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shd w:val="clear" w:color="auto" w:fill="C6D9F1"/>
            <w:vAlign w:val="center"/>
          </w:tcPr>
          <w:p>
            <w:pPr>
              <w:keepLines/>
              <w:spacing w:before="120" w:after="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1476" w:type="dxa"/>
            <w:gridSpan w:val="2"/>
            <w:shd w:val="clear" w:color="auto" w:fill="C6D9F1"/>
            <w:vAlign w:val="center"/>
          </w:tcPr>
          <w:p>
            <w:pPr>
              <w:keepLines/>
              <w:spacing w:before="120" w:after="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1475" w:type="dxa"/>
            <w:gridSpan w:val="2"/>
            <w:shd w:val="clear" w:color="auto" w:fill="C6D9F1"/>
            <w:vAlign w:val="center"/>
          </w:tcPr>
          <w:p>
            <w:pPr>
              <w:keepLines/>
              <w:spacing w:before="120" w:after="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476" w:type="dxa"/>
            <w:gridSpan w:val="2"/>
            <w:shd w:val="clear" w:color="auto" w:fill="C6D9F1"/>
            <w:vAlign w:val="center"/>
          </w:tcPr>
          <w:p>
            <w:pPr>
              <w:keepLines/>
              <w:spacing w:before="120" w:after="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476" w:type="dxa"/>
            <w:gridSpan w:val="2"/>
            <w:shd w:val="clear" w:color="auto" w:fill="C6D9F1"/>
            <w:vAlign w:val="center"/>
          </w:tcPr>
          <w:p>
            <w:pPr>
              <w:keepLines/>
              <w:spacing w:before="120" w:after="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cantSplit/>
          <w:trHeight w:val="340"/>
        </w:trPr>
        <w:tc>
          <w:tcPr>
            <w:tcW w:w="2161" w:type="dxa"/>
            <w:vMerge/>
            <w:vAlign w:val="center"/>
          </w:tcPr>
          <w:p>
            <w:pPr>
              <w:keepLines/>
              <w:spacing w:after="0"/>
              <w:jc w:val="center"/>
              <w:rPr>
                <w:rFonts w:asciiTheme="minorHAnsi" w:hAnsiTheme="minorHAnsi"/>
                <w:b/>
                <w:bCs/>
                <w:noProof/>
                <w:sz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37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Бр.</w:t>
            </w:r>
          </w:p>
        </w:tc>
        <w:tc>
          <w:tcPr>
            <w:tcW w:w="738" w:type="dxa"/>
            <w:vAlign w:val="center"/>
          </w:tcPr>
          <w:p>
            <w:pPr>
              <w:keepLines/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</w:tr>
      <w:tr>
        <w:trPr>
          <w:cantSplit/>
          <w:trHeight w:val="267"/>
        </w:trPr>
        <w:tc>
          <w:tcPr>
            <w:tcW w:w="2161" w:type="dxa"/>
            <w:shd w:val="clear" w:color="auto" w:fill="FFFFFF" w:themeFill="background1"/>
            <w:noWrap/>
            <w:vAlign w:val="center"/>
          </w:tcPr>
          <w:p>
            <w:pPr>
              <w:keepLines/>
              <w:spacing w:after="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пълен достъп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4096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72,77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4003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68,79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3622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60,93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3201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61,78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3633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59,39</w:t>
            </w:r>
          </w:p>
        </w:tc>
      </w:tr>
      <w:tr>
        <w:trPr>
          <w:cantSplit/>
          <w:trHeight w:val="267"/>
        </w:trPr>
        <w:tc>
          <w:tcPr>
            <w:tcW w:w="2161" w:type="dxa"/>
            <w:shd w:val="clear" w:color="auto" w:fill="B8CCE4"/>
            <w:noWrap/>
            <w:vAlign w:val="center"/>
          </w:tcPr>
          <w:p>
            <w:pPr>
              <w:keepLines/>
              <w:spacing w:after="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частичен достъп</w:t>
            </w:r>
          </w:p>
        </w:tc>
        <w:tc>
          <w:tcPr>
            <w:tcW w:w="737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668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11,87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926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15,91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1214</w:t>
            </w:r>
          </w:p>
        </w:tc>
        <w:tc>
          <w:tcPr>
            <w:tcW w:w="737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20,42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1050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20,27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1274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keepLines/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20,83</w:t>
            </w:r>
          </w:p>
        </w:tc>
      </w:tr>
      <w:tr>
        <w:trPr>
          <w:cantSplit/>
          <w:trHeight w:val="267"/>
        </w:trPr>
        <w:tc>
          <w:tcPr>
            <w:tcW w:w="2161" w:type="dxa"/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Отказ на достъп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15,36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15,29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1109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18,65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17,95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969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15,84</w:t>
            </w:r>
          </w:p>
        </w:tc>
      </w:tr>
      <w:tr>
        <w:trPr>
          <w:cantSplit/>
          <w:trHeight w:val="267"/>
        </w:trPr>
        <w:tc>
          <w:tcPr>
            <w:tcW w:w="2161" w:type="dxa"/>
            <w:shd w:val="clear" w:color="auto" w:fill="B8CCE4"/>
            <w:noWrap/>
            <w:vAlign w:val="center"/>
          </w:tcPr>
          <w:p>
            <w:pPr>
              <w:spacing w:after="0" w:line="24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Няма държани документи</w:t>
            </w:r>
          </w:p>
        </w:tc>
        <w:tc>
          <w:tcPr>
            <w:tcW w:w="737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7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241</w:t>
            </w:r>
          </w:p>
        </w:tc>
        <w:tc>
          <w:tcPr>
            <w:tcW w:w="738" w:type="dxa"/>
            <w:shd w:val="clear" w:color="auto" w:fill="B8CCE4"/>
            <w:vAlign w:val="center"/>
          </w:tcPr>
          <w:p>
            <w:pPr>
              <w:spacing w:before="120" w:after="0" w:line="360" w:lineRule="auto"/>
              <w:ind w:left="11"/>
              <w:jc w:val="center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3,94</w:t>
            </w:r>
          </w:p>
        </w:tc>
      </w:tr>
      <w:tr>
        <w:trPr>
          <w:cantSplit/>
          <w:trHeight w:val="340"/>
        </w:trPr>
        <w:tc>
          <w:tcPr>
            <w:tcW w:w="2161" w:type="dxa"/>
            <w:noWrap/>
            <w:vAlign w:val="center"/>
          </w:tcPr>
          <w:p>
            <w:pPr>
              <w:spacing w:before="60" w:after="60" w:line="24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before="60" w:after="6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5630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spacing w:before="60" w:after="60" w:line="360" w:lineRule="auto"/>
              <w:ind w:left="11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5819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5944</w:t>
            </w:r>
          </w:p>
        </w:tc>
        <w:tc>
          <w:tcPr>
            <w:tcW w:w="737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5181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6117</w:t>
            </w:r>
          </w:p>
        </w:tc>
        <w:tc>
          <w:tcPr>
            <w:tcW w:w="738" w:type="dxa"/>
            <w:vAlign w:val="center"/>
          </w:tcPr>
          <w:p>
            <w:pPr>
              <w:spacing w:before="60" w:after="60" w:line="360" w:lineRule="auto"/>
              <w:ind w:left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keepNext/>
        <w:numPr>
          <w:ilvl w:val="0"/>
          <w:numId w:val="36"/>
        </w:numPr>
        <w:tabs>
          <w:tab w:val="num" w:pos="992"/>
        </w:tabs>
        <w:spacing w:before="84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Видове отговори, дадени на етапа на потвърждаване на заявленията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76"/>
      </w:tblGrid>
      <w:tr>
        <w:trPr>
          <w:trHeight w:val="510"/>
        </w:trPr>
        <w:tc>
          <w:tcPr>
            <w:tcW w:w="1415" w:type="pct"/>
            <w:vMerge w:val="restart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17" w:type="pct"/>
            <w:gridSpan w:val="2"/>
            <w:shd w:val="clear" w:color="auto" w:fill="C6D9F1"/>
            <w:vAlign w:val="center"/>
          </w:tcPr>
          <w:p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718" w:type="pct"/>
            <w:gridSpan w:val="2"/>
            <w:shd w:val="clear" w:color="auto" w:fill="C6D9F1"/>
            <w:vAlign w:val="center"/>
          </w:tcPr>
          <w:p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718" w:type="pct"/>
            <w:gridSpan w:val="2"/>
            <w:shd w:val="clear" w:color="auto" w:fill="C6D9F1"/>
            <w:vAlign w:val="center"/>
          </w:tcPr>
          <w:p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718" w:type="pct"/>
            <w:gridSpan w:val="2"/>
            <w:shd w:val="clear" w:color="auto" w:fill="C6D9F1"/>
            <w:vAlign w:val="center"/>
          </w:tcPr>
          <w:p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714" w:type="pct"/>
            <w:gridSpan w:val="2"/>
            <w:shd w:val="clear" w:color="auto" w:fill="C6D9F1"/>
            <w:vAlign w:val="center"/>
          </w:tcPr>
          <w:p>
            <w:pPr>
              <w:spacing w:before="60" w:after="60" w:line="36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340"/>
        </w:trPr>
        <w:tc>
          <w:tcPr>
            <w:tcW w:w="1415" w:type="pct"/>
            <w:vMerge/>
            <w:vAlign w:val="center"/>
          </w:tcPr>
          <w:p>
            <w:pPr>
              <w:spacing w:after="0" w:line="360" w:lineRule="auto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Бр.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</w:tr>
      <w:tr>
        <w:trPr>
          <w:trHeight w:val="454"/>
        </w:trPr>
        <w:tc>
          <w:tcPr>
            <w:tcW w:w="1415" w:type="pct"/>
            <w:shd w:val="clear" w:color="auto" w:fill="C6D9F1"/>
            <w:noWrap/>
            <w:vAlign w:val="center"/>
          </w:tcPr>
          <w:p>
            <w:pPr>
              <w:spacing w:after="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Пълно преразглеждане —</w:t>
            </w:r>
          </w:p>
          <w:p>
            <w:pPr>
              <w:spacing w:after="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пълен достъп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18,75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9,57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5,00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5,40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6,60</w:t>
            </w:r>
          </w:p>
        </w:tc>
      </w:tr>
      <w:tr>
        <w:trPr>
          <w:trHeight w:val="454"/>
        </w:trPr>
        <w:tc>
          <w:tcPr>
            <w:tcW w:w="1415" w:type="pct"/>
            <w:noWrap/>
            <w:vAlign w:val="center"/>
          </w:tcPr>
          <w:p>
            <w:pPr>
              <w:spacing w:after="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Частично преразглеждане — </w:t>
            </w:r>
          </w:p>
          <w:p>
            <w:pPr>
              <w:spacing w:after="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частичен достъп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24,63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31,74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104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47,27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108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41,70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98</w:t>
            </w:r>
          </w:p>
        </w:tc>
        <w:tc>
          <w:tcPr>
            <w:tcW w:w="359" w:type="pct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34,03</w:t>
            </w:r>
          </w:p>
        </w:tc>
      </w:tr>
      <w:tr>
        <w:trPr>
          <w:trHeight w:val="454"/>
        </w:trPr>
        <w:tc>
          <w:tcPr>
            <w:tcW w:w="1415" w:type="pct"/>
            <w:shd w:val="clear" w:color="auto" w:fill="C6D9F1"/>
            <w:noWrap/>
            <w:vAlign w:val="center"/>
          </w:tcPr>
          <w:p>
            <w:pPr>
              <w:spacing w:after="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Потвърждаване на първоначалния отговор —</w:t>
            </w:r>
          </w:p>
          <w:p>
            <w:pPr>
              <w:spacing w:after="0" w:line="240" w:lineRule="auto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отказ на достъп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154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56,62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135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58,70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105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47,73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137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52,90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120</w:t>
            </w:r>
          </w:p>
        </w:tc>
        <w:tc>
          <w:tcPr>
            <w:tcW w:w="359" w:type="pct"/>
            <w:shd w:val="clear" w:color="auto" w:fill="C6D9F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41,67</w:t>
            </w:r>
          </w:p>
        </w:tc>
      </w:tr>
      <w:tr>
        <w:trPr>
          <w:trHeight w:val="454"/>
        </w:trPr>
        <w:tc>
          <w:tcPr>
            <w:tcW w:w="1415" w:type="pct"/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ind w:left="11"/>
              <w:rPr>
                <w:rFonts w:eastAsia="Times New Roman"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Няма държани документи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0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>
            <w:pPr>
              <w:spacing w:after="0" w:line="360" w:lineRule="auto"/>
              <w:jc w:val="center"/>
              <w:rPr>
                <w:rFonts w:eastAsia="Times New Roman" w:cs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17,70</w:t>
            </w:r>
          </w:p>
        </w:tc>
      </w:tr>
      <w:tr>
        <w:trPr>
          <w:trHeight w:val="454"/>
        </w:trPr>
        <w:tc>
          <w:tcPr>
            <w:tcW w:w="1415" w:type="pct"/>
            <w:noWrap/>
            <w:vAlign w:val="center"/>
          </w:tcPr>
          <w:p>
            <w:pPr>
              <w:spacing w:before="60" w:after="60" w:line="240" w:lineRule="auto"/>
              <w:ind w:left="11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358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272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230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220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259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  <w:tc>
          <w:tcPr>
            <w:tcW w:w="359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288</w:t>
            </w:r>
          </w:p>
        </w:tc>
        <w:tc>
          <w:tcPr>
            <w:tcW w:w="355" w:type="pct"/>
            <w:vAlign w:val="center"/>
          </w:tcPr>
          <w:p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>
      <w:pPr>
        <w:keepNext/>
        <w:numPr>
          <w:ilvl w:val="0"/>
          <w:numId w:val="36"/>
        </w:numPr>
        <w:tabs>
          <w:tab w:val="num" w:pos="992"/>
        </w:tabs>
        <w:spacing w:before="480" w:after="240" w:line="240" w:lineRule="auto"/>
        <w:ind w:left="851" w:hanging="851"/>
        <w:jc w:val="both"/>
        <w:outlineLvl w:val="0"/>
        <w:rPr>
          <w:rFonts w:eastAsia="Times New Roman" w:cs="Times New Roman"/>
          <w:b/>
          <w:bCs/>
          <w:smallCaps/>
          <w:noProof/>
          <w:szCs w:val="32"/>
        </w:rPr>
      </w:pPr>
      <w:r>
        <w:rPr>
          <w:b/>
          <w:smallCaps/>
          <w:noProof/>
        </w:rPr>
        <w:t>Отказ на достъп според използваното основание за изключение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1344"/>
        <w:gridCol w:w="1168"/>
        <w:gridCol w:w="292"/>
        <w:gridCol w:w="1168"/>
        <w:gridCol w:w="1168"/>
      </w:tblGrid>
      <w:tr>
        <w:trPr>
          <w:trHeight w:val="510"/>
        </w:trPr>
        <w:tc>
          <w:tcPr>
            <w:tcW w:w="4270" w:type="dxa"/>
            <w:vMerge w:val="restart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Изключения, посочени в член 4 от Регламент (EО) № 1049/2001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B8CCE4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 (%)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B8CCE4"/>
            <w:vAlign w:val="center"/>
          </w:tcPr>
          <w:p>
            <w:pPr>
              <w:spacing w:before="120" w:after="0" w:line="24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 (%)</w:t>
            </w:r>
          </w:p>
        </w:tc>
      </w:tr>
      <w:tr>
        <w:trPr>
          <w:trHeight w:val="340"/>
        </w:trPr>
        <w:tc>
          <w:tcPr>
            <w:tcW w:w="4270" w:type="dxa"/>
            <w:vMerge/>
            <w:noWrap/>
            <w:vAlign w:val="bottom"/>
          </w:tcPr>
          <w:p>
            <w:pPr>
              <w:spacing w:after="0"/>
              <w:rPr>
                <w:rFonts w:cs="Times New Roman"/>
                <w:noProof/>
                <w:sz w:val="20"/>
                <w:szCs w:val="20"/>
              </w:rPr>
            </w:pPr>
            <w:bookmarkStart w:id="2" w:name="_CopyToNewDocument_"/>
            <w:bookmarkEnd w:id="2"/>
          </w:p>
        </w:tc>
        <w:tc>
          <w:tcPr>
            <w:tcW w:w="1305" w:type="dxa"/>
            <w:vAlign w:val="center"/>
          </w:tcPr>
          <w:p>
            <w:pPr>
              <w:spacing w:before="60" w:after="60" w:line="24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center" w:pos="556"/>
              </w:tabs>
              <w:spacing w:before="60" w:after="60" w:line="24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before="60" w:after="60" w:line="24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before="60" w:after="60" w:line="240" w:lineRule="auto"/>
              <w:ind w:left="12" w:firstLine="12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2018 г.</w:t>
            </w:r>
          </w:p>
        </w:tc>
      </w:tr>
      <w:tr>
        <w:trPr>
          <w:trHeight w:val="510"/>
        </w:trPr>
        <w:tc>
          <w:tcPr>
            <w:tcW w:w="4270" w:type="dxa"/>
            <w:shd w:val="clear" w:color="auto" w:fill="C6D9F1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първо тире — защита на обществения интерес по отношение на обществената сигурност</w:t>
            </w:r>
          </w:p>
        </w:tc>
        <w:tc>
          <w:tcPr>
            <w:tcW w:w="1305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8,79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5,60</w:t>
            </w:r>
          </w:p>
        </w:tc>
      </w:tr>
      <w:tr>
        <w:trPr>
          <w:trHeight w:val="510"/>
        </w:trPr>
        <w:tc>
          <w:tcPr>
            <w:tcW w:w="4270" w:type="dxa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второ тире — защита на обществения интерес по отношение на отбраната и военните въпроси</w:t>
            </w:r>
          </w:p>
        </w:tc>
        <w:tc>
          <w:tcPr>
            <w:tcW w:w="1305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0,43</w:t>
            </w:r>
          </w:p>
        </w:tc>
      </w:tr>
      <w:tr>
        <w:trPr>
          <w:trHeight w:val="510"/>
        </w:trPr>
        <w:tc>
          <w:tcPr>
            <w:tcW w:w="4270" w:type="dxa"/>
            <w:shd w:val="clear" w:color="auto" w:fill="C6D9F1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трето тире — защита на обществения интерес по отношение на международните отношения</w:t>
            </w:r>
          </w:p>
        </w:tc>
        <w:tc>
          <w:tcPr>
            <w:tcW w:w="1305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5,79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3,96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5,60</w:t>
            </w:r>
          </w:p>
        </w:tc>
      </w:tr>
      <w:tr>
        <w:trPr>
          <w:trHeight w:val="567"/>
        </w:trPr>
        <w:tc>
          <w:tcPr>
            <w:tcW w:w="4270" w:type="dxa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a), четвърто тире — защита на обществения интерес по отношение на финансовата, валутната или икономическата политика на ЕС или на държава членка</w:t>
            </w:r>
          </w:p>
        </w:tc>
        <w:tc>
          <w:tcPr>
            <w:tcW w:w="1305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4,62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2,16</w:t>
            </w:r>
          </w:p>
        </w:tc>
      </w:tr>
      <w:tr>
        <w:trPr>
          <w:trHeight w:val="510"/>
        </w:trPr>
        <w:tc>
          <w:tcPr>
            <w:tcW w:w="4270" w:type="dxa"/>
            <w:shd w:val="clear" w:color="auto" w:fill="C6D9F1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1, буква б) — защита на частния живот и личната неприкосновеност</w:t>
            </w:r>
          </w:p>
        </w:tc>
        <w:tc>
          <w:tcPr>
            <w:tcW w:w="1305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31,36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26,07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25,00</w:t>
            </w:r>
          </w:p>
        </w:tc>
      </w:tr>
      <w:tr>
        <w:trPr>
          <w:trHeight w:val="510"/>
        </w:trPr>
        <w:tc>
          <w:tcPr>
            <w:tcW w:w="4270" w:type="dxa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2, първо тире — защита на търговските интереси</w:t>
            </w:r>
          </w:p>
        </w:tc>
        <w:tc>
          <w:tcPr>
            <w:tcW w:w="1305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16,77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13,20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12,50</w:t>
            </w:r>
          </w:p>
        </w:tc>
      </w:tr>
      <w:tr>
        <w:trPr>
          <w:trHeight w:val="510"/>
        </w:trPr>
        <w:tc>
          <w:tcPr>
            <w:tcW w:w="4270" w:type="dxa"/>
            <w:shd w:val="clear" w:color="auto" w:fill="C6D9F1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2, второ тире — защита на съдебните процедури и правните становища</w:t>
            </w:r>
          </w:p>
        </w:tc>
        <w:tc>
          <w:tcPr>
            <w:tcW w:w="1305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4,33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2,64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5,17</w:t>
            </w:r>
          </w:p>
        </w:tc>
      </w:tr>
      <w:tr>
        <w:trPr>
          <w:trHeight w:val="510"/>
        </w:trPr>
        <w:tc>
          <w:tcPr>
            <w:tcW w:w="4270" w:type="dxa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2, трето тире — защита на целите на дейности по инспектиране, разследване и одит</w:t>
            </w:r>
          </w:p>
        </w:tc>
        <w:tc>
          <w:tcPr>
            <w:tcW w:w="1305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34,98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30,60</w:t>
            </w:r>
          </w:p>
        </w:tc>
      </w:tr>
      <w:tr>
        <w:trPr>
          <w:trHeight w:val="510"/>
        </w:trPr>
        <w:tc>
          <w:tcPr>
            <w:tcW w:w="4270" w:type="dxa"/>
            <w:shd w:val="clear" w:color="auto" w:fill="C6D9F1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3, първа алинея — процес на вземане на решения, когато решение все още не е взето</w:t>
            </w:r>
          </w:p>
        </w:tc>
        <w:tc>
          <w:tcPr>
            <w:tcW w:w="1305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12,21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10,78</w:t>
            </w:r>
          </w:p>
        </w:tc>
      </w:tr>
      <w:tr>
        <w:trPr>
          <w:trHeight w:val="933"/>
        </w:trPr>
        <w:tc>
          <w:tcPr>
            <w:tcW w:w="4270" w:type="dxa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 3, втора алинея — процес на вземане на решения, когато решение вече е взето (становища за вътрешно ползване в рамките на предварителни обсъждания и консултации)</w:t>
            </w:r>
          </w:p>
        </w:tc>
        <w:tc>
          <w:tcPr>
            <w:tcW w:w="1305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1,98</w:t>
            </w:r>
          </w:p>
        </w:tc>
        <w:tc>
          <w:tcPr>
            <w:tcW w:w="1134" w:type="dxa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2,16</w:t>
            </w:r>
          </w:p>
        </w:tc>
      </w:tr>
      <w:tr>
        <w:trPr>
          <w:trHeight w:val="510"/>
        </w:trPr>
        <w:tc>
          <w:tcPr>
            <w:tcW w:w="4270" w:type="dxa"/>
            <w:shd w:val="clear" w:color="auto" w:fill="C6D9F1"/>
            <w:vAlign w:val="center"/>
          </w:tcPr>
          <w:p>
            <w:pPr>
              <w:spacing w:before="20" w:after="20" w:line="240" w:lineRule="auto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 4, параграфи 4 и 5 — отказ от страна на държава членка или на трета страна</w:t>
            </w:r>
            <w:r>
              <w:rPr>
                <w:noProof/>
                <w:sz w:val="20"/>
                <w:vertAlign w:val="superscript"/>
              </w:rPr>
              <w:footnoteReference w:id="6"/>
            </w:r>
          </w:p>
        </w:tc>
        <w:tc>
          <w:tcPr>
            <w:tcW w:w="1305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/</w:t>
            </w:r>
          </w:p>
        </w:tc>
        <w:tc>
          <w:tcPr>
            <w:tcW w:w="1134" w:type="dxa"/>
            <w:shd w:val="clear" w:color="auto" w:fill="C6D9F1"/>
            <w:vAlign w:val="center"/>
          </w:tcPr>
          <w:p>
            <w:pPr>
              <w:spacing w:before="60"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/</w:t>
            </w:r>
          </w:p>
        </w:tc>
      </w:tr>
      <w:tr>
        <w:trPr>
          <w:trHeight w:val="510"/>
        </w:trPr>
        <w:tc>
          <w:tcPr>
            <w:tcW w:w="4270" w:type="dxa"/>
            <w:noWrap/>
            <w:vAlign w:val="center"/>
          </w:tcPr>
          <w:p>
            <w:pPr>
              <w:spacing w:after="0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pacing w:after="0"/>
              <w:jc w:val="center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>
      <w:pPr>
        <w:jc w:val="both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287" w:bottom="1134" w:left="107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96978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>
        <w:pPr>
          <w:pStyle w:val="Footer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 Поради избора на нов алгоритъм през 2018 г. с цел да бъдат получени по-точни статистически данни, извлечените данни не са съпоставими с онези от предходните години. </w:t>
      </w:r>
    </w:p>
  </w:footnote>
  <w:footnote w:id="2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> Едно заявление може да се отнася до няколко документа и съответно може да доведе до няколко различни отговора. От друга страна, в някои случаи няколко заявления могат да бъдат групирани заедно и да доведат до само един отговор. Тази бройка включва всички видове последващи действия, предвидени от Европейската комисия, простиращи се от отговорите, давани съгласно Регламент (ЕО) № 1049/2001 (включително отговори, когато няма държани документи), до отговорите, давани съгласно различни правни уредби (поради съдържанието на заявлението или статуса на заявителя и др); или приключване на случаи вследствие на пропуска на заявителите да представят необходимите разяснения или да изпълнят процедурните изисквания.</w:t>
      </w:r>
    </w:p>
  </w:footnote>
  <w:footnote w:id="3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> Данните за Европейската служба за борба с измамите (OLAF) се отнасят до заявленията за достъп до документи във връзка с нейните административни дейности, които са регистрирани в същата информационна система, използвана и от други служби на Европейската комисия (GestDem). Заявленията за достъп до документи, свързани с дейностите по разследване на OLAF, не са предмет на настоящия доклад.</w:t>
      </w:r>
    </w:p>
  </w:footnote>
  <w:footnote w:id="4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> След създаването на Европейската служба за външна дейност (</w:t>
      </w:r>
      <w:r>
        <w:rPr>
          <w:lang w:val="en-US"/>
        </w:rPr>
        <w:t>EEAS</w:t>
      </w:r>
      <w:r>
        <w:t>) единствено документите на Службата за инструментите в областта на външната политика останаха в рамките на Европейската комисия.</w:t>
      </w:r>
    </w:p>
  </w:footnote>
  <w:footnote w:id="5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> Тази категория се появява в статистическите данни, тъй като в случаите, когато първоначалното заявление не е било подадено чрез онлайн инструмента, кодът му е бил въведен ръчно и в някои случаи поради техническа грешка държавата на заявителя не е била посочена в информационната система, използвана за управление на достъпа до преписките с документи (GestDem).</w:t>
      </w:r>
    </w:p>
  </w:footnote>
  <w:footnote w:id="6">
    <w:p>
      <w:pPr>
        <w:pStyle w:val="FootnoteText"/>
        <w:ind w:left="142" w:hanging="142"/>
      </w:pPr>
      <w:r>
        <w:rPr>
          <w:vertAlign w:val="superscript"/>
        </w:rPr>
        <w:footnoteRef/>
      </w:r>
      <w:r>
        <w:t> Тази категория вече не се използва, тъй като не представлява изключение по смисъла на член 4 от Регламент (ЕО) № 1049/2001. Независимо от това, категорията все още се посочва, тъй като необработените данни не дават във всички случаи възможност за разглеждане в съответствие с изключенията по член 4 от Регламент (EО) № 1049/2001.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6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5A75284"/>
    <w:multiLevelType w:val="hybridMultilevel"/>
    <w:tmpl w:val="FBE2B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CA28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5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7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9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613B597C"/>
    <w:multiLevelType w:val="hybridMultilevel"/>
    <w:tmpl w:val="4904A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4">
    <w:nsid w:val="64A12FA4"/>
    <w:multiLevelType w:val="multilevel"/>
    <w:tmpl w:val="66147ADA"/>
    <w:name w:val="Heading"/>
    <w:lvl w:ilvl="0">
      <w:start w:val="1"/>
      <w:numFmt w:val="decimal"/>
      <w:lvlRestart w:val="0"/>
      <w:lvlText w:val="%1."/>
      <w:lvlJc w:val="left"/>
      <w:pPr>
        <w:tabs>
          <w:tab w:val="num" w:pos="5245"/>
        </w:tabs>
        <w:ind w:left="5245" w:hanging="8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5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5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6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3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4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5"/>
  </w:num>
  <w:num w:numId="5">
    <w:abstractNumId w:val="20"/>
  </w:num>
  <w:num w:numId="6">
    <w:abstractNumId w:val="18"/>
  </w:num>
  <w:num w:numId="7">
    <w:abstractNumId w:val="14"/>
  </w:num>
  <w:num w:numId="8">
    <w:abstractNumId w:val="25"/>
  </w:num>
  <w:num w:numId="9">
    <w:abstractNumId w:val="29"/>
  </w:num>
  <w:num w:numId="10">
    <w:abstractNumId w:val="28"/>
  </w:num>
  <w:num w:numId="11">
    <w:abstractNumId w:val="32"/>
  </w:num>
  <w:num w:numId="12">
    <w:abstractNumId w:val="8"/>
  </w:num>
  <w:num w:numId="13">
    <w:abstractNumId w:val="7"/>
  </w:num>
  <w:num w:numId="14">
    <w:abstractNumId w:val="22"/>
  </w:num>
  <w:num w:numId="15">
    <w:abstractNumId w:val="9"/>
  </w:num>
  <w:num w:numId="16">
    <w:abstractNumId w:val="16"/>
  </w:num>
  <w:num w:numId="17">
    <w:abstractNumId w:val="19"/>
  </w:num>
  <w:num w:numId="18">
    <w:abstractNumId w:val="31"/>
  </w:num>
  <w:num w:numId="19">
    <w:abstractNumId w:val="4"/>
  </w:num>
  <w:num w:numId="20">
    <w:abstractNumId w:val="1"/>
  </w:num>
  <w:num w:numId="21">
    <w:abstractNumId w:val="0"/>
  </w:num>
  <w:num w:numId="22">
    <w:abstractNumId w:val="27"/>
  </w:num>
  <w:num w:numId="23">
    <w:abstractNumId w:val="26"/>
  </w:num>
  <w:num w:numId="24">
    <w:abstractNumId w:val="2"/>
  </w:num>
  <w:num w:numId="25">
    <w:abstractNumId w:val="10"/>
  </w:num>
  <w:num w:numId="26">
    <w:abstractNumId w:val="34"/>
  </w:num>
  <w:num w:numId="27">
    <w:abstractNumId w:val="11"/>
  </w:num>
  <w:num w:numId="28">
    <w:abstractNumId w:val="23"/>
  </w:num>
  <w:num w:numId="29">
    <w:abstractNumId w:val="17"/>
  </w:num>
  <w:num w:numId="30">
    <w:abstractNumId w:val="30"/>
  </w:num>
  <w:num w:numId="31">
    <w:abstractNumId w:val="33"/>
  </w:num>
  <w:num w:numId="32">
    <w:abstractNumId w:val="12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"/>
  </w:num>
  <w:num w:numId="36">
    <w:abstractNumId w:val="2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0BF7F0E-8FF0-487C-B4A7-8A69B369B024"/>
    <w:docVar w:name="LW_COVERPAGE_TYPE" w:val="1"/>
    <w:docVar w:name="LW_CROSSREFERENCE" w:val="&lt;UNUSED&gt;"/>
    <w:docVar w:name="LW_DocType" w:val="NORMAL"/>
    <w:docVar w:name="LW_EMISSION" w:val="29.7.2019"/>
    <w:docVar w:name="LW_EMISSION_ISODATE" w:val="2019-07-2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80?\u1083?\u1072?\u1075?\u1072?\u1085?\u1077?\u1090?\u1086? \u1087?\u1088?\u1077?\u1079? 2018 \u1075?. \u1085?\u1072? \u1056?\u1077?\u1075?\u1083?\u1072?\u1084?\u1077?\u1085?\u1090? (\u1045?\u1054?) \u8470? 1049/2001 \u1086?\u1090?\u1085?\u1086?\u1089?\u1085?\u1086? \u1087?\u1091?\u1073?\u1083?\u1080?\u1095?\u1085?\u1080?\u1103? \u1076?\u1086?\u1089?\u1090?\u1098?\u1087? \u1076?\u1086? \u1076?\u1086?\u1082?\u1091?\u1084?\u1077?\u1085?\u1090?\u1080? \u1085?\u1072? \u1045?\u1074?\u1088?\u1086?\u1087?\u1077?\u1081?\u1089?\u1082?\u1080?\u1103? \u1087?\u1072?\u1088?\u1083?\u1072?\u1084?\u1077?\u1085?\u1090?, \u1085?\u1072? \u1057?\u1098?\u1074?\u1077?\u1090?\u1072? \u1080? \u1085?\u1072? \u1050?\u1086?\u1084?\u1080?\u1089?\u1080?\u1103?\u1090?\u1072? "/>
    <w:docVar w:name="LW_PART_NBR" w:val="1"/>
    <w:docVar w:name="LW_PART_NBR_TOTAL" w:val="1"/>
    <w:docVar w:name="LW_REF.INST.NEW" w:val="COM"/>
    <w:docVar w:name="LW_REF.INST.NEW_ADOPTED" w:val="final"/>
    <w:docVar w:name="LW_REF.INST.NEW_TEXT" w:val="(2019) 35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9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small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 w:cs="Times New Roman"/>
      <w:bCs/>
      <w:szCs w:val="28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eastAsia="Times New Roman" w:cs="Times New Roman"/>
      <w:b/>
      <w:i/>
      <w:szCs w:val="24"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eastAsia="Times New Roman" w:cs="Times New Roman"/>
      <w:szCs w:val="24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szCs w:val="24"/>
      <w:u w:val="single"/>
    </w:rPr>
  </w:style>
  <w:style w:type="paragraph" w:customStyle="1" w:styleId="Bullet0">
    <w:name w:val="Bullet 0"/>
    <w:basedOn w:val="Normal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1">
    <w:name w:val="Bullet 1"/>
    <w:basedOn w:val="Normal"/>
    <w:pPr>
      <w:numPr>
        <w:numId w:val="4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2">
    <w:name w:val="Bullet 2"/>
    <w:basedOn w:val="Normal"/>
    <w:pPr>
      <w:numPr>
        <w:numId w:val="5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3">
    <w:name w:val="Bullet 3"/>
    <w:basedOn w:val="Normal"/>
    <w:pPr>
      <w:numPr>
        <w:numId w:val="6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4">
    <w:name w:val="Bullet 4"/>
    <w:basedOn w:val="Normal"/>
    <w:pPr>
      <w:numPr>
        <w:numId w:val="7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  <w:szCs w:val="24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  <w:szCs w:val="24"/>
    </w:rPr>
  </w:style>
  <w:style w:type="paragraph" w:customStyle="1" w:styleId="Confidentialit">
    <w:name w:val="Confidentialité"/>
    <w:basedOn w:val="Normal"/>
    <w:next w:val="Normal"/>
    <w:pPr>
      <w:spacing w:before="240" w:after="240" w:line="240" w:lineRule="auto"/>
      <w:ind w:left="5103"/>
      <w:jc w:val="both"/>
    </w:pPr>
    <w:rPr>
      <w:rFonts w:eastAsia="Times New Roman" w:cs="Times New Roman"/>
      <w:szCs w:val="24"/>
      <w:u w:val="single"/>
    </w:rPr>
  </w:style>
  <w:style w:type="paragraph" w:customStyle="1" w:styleId="Considrant">
    <w:name w:val="Considérant"/>
    <w:basedOn w:val="Normal"/>
    <w:pPr>
      <w:numPr>
        <w:numId w:val="8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  <w:szCs w:val="24"/>
    </w:rPr>
  </w:style>
  <w:style w:type="paragraph" w:customStyle="1" w:styleId="Datedadoption">
    <w:name w:val="Date d'adoption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after="0" w:line="240" w:lineRule="auto"/>
      <w:ind w:left="5103"/>
    </w:pPr>
    <w:rPr>
      <w:rFonts w:eastAsia="Times New Roman" w:cs="Times New Roman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Fait">
    <w:name w:val="Fait à"/>
    <w:basedOn w:val="Normal"/>
    <w:next w:val="Normal"/>
    <w:pPr>
      <w:keepNext/>
      <w:spacing w:before="120" w:after="0" w:line="240" w:lineRule="auto"/>
      <w:jc w:val="both"/>
    </w:pPr>
    <w:rPr>
      <w:rFonts w:eastAsia="Times New Roman" w:cs="Times New Roman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eastAsia="Calibri" w:cs="Times New Roman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  <w:ind w:left="720" w:hanging="72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sz w:val="20"/>
      <w:szCs w:val="20"/>
    </w:rPr>
  </w:style>
  <w:style w:type="paragraph" w:customStyle="1" w:styleId="Formuledadoption">
    <w:name w:val="Formule d'adoption"/>
    <w:basedOn w:val="Normal"/>
    <w:next w:val="Normal"/>
    <w:pPr>
      <w:keepNext/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Calibri" w:cs="Times New Roman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 w:line="240" w:lineRule="auto"/>
      <w:jc w:val="both"/>
    </w:pPr>
    <w:rPr>
      <w:rFonts w:eastAsia="Times New Roman" w:cs="Times New Roman"/>
      <w:i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  <w:szCs w:val="24"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  <w:szCs w:val="24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  <w:szCs w:val="24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  <w:szCs w:val="24"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  <w:szCs w:val="24"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  <w:szCs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ManualNumPar2">
    <w:name w:val="Manual NumPar 2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ManualNumPar3">
    <w:name w:val="Manual NumPar 3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ManualNumPar4">
    <w:name w:val="Manual NumPar 4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  <w:szCs w:val="24"/>
    </w:rPr>
  </w:style>
  <w:style w:type="paragraph" w:customStyle="1" w:styleId="NumPar1">
    <w:name w:val="NumPar 1"/>
    <w:basedOn w:val="Normal"/>
    <w:next w:val="Normal"/>
    <w:pPr>
      <w:numPr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NumPar2">
    <w:name w:val="NumPar 2"/>
    <w:basedOn w:val="Normal"/>
    <w:next w:val="Normal"/>
    <w:pPr>
      <w:numPr>
        <w:ilvl w:val="1"/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NumPar3">
    <w:name w:val="NumPar 3"/>
    <w:basedOn w:val="Normal"/>
    <w:next w:val="Normal"/>
    <w:pPr>
      <w:numPr>
        <w:ilvl w:val="2"/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NumPar4">
    <w:name w:val="NumPar 4"/>
    <w:basedOn w:val="Normal"/>
    <w:next w:val="Normal"/>
    <w:pPr>
      <w:numPr>
        <w:ilvl w:val="3"/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eastAsia="Times New Roman" w:cs="Times New Roman"/>
      <w:i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Point0letter">
    <w:name w:val="Point 0 (letter)"/>
    <w:basedOn w:val="Normal"/>
    <w:pPr>
      <w:numPr>
        <w:ilvl w:val="4"/>
        <w:numId w:val="11"/>
      </w:numPr>
      <w:tabs>
        <w:tab w:val="clear" w:pos="1984"/>
        <w:tab w:val="num" w:pos="850"/>
      </w:tabs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Point0number">
    <w:name w:val="Point 0 (number)"/>
    <w:basedOn w:val="Normal"/>
    <w:pPr>
      <w:numPr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Cs w:val="24"/>
    </w:rPr>
  </w:style>
  <w:style w:type="paragraph" w:customStyle="1" w:styleId="Point1letter">
    <w:name w:val="Point 1 (letter)"/>
    <w:basedOn w:val="Normal"/>
    <w:pPr>
      <w:numPr>
        <w:ilvl w:val="6"/>
        <w:numId w:val="11"/>
      </w:numPr>
      <w:tabs>
        <w:tab w:val="clear" w:pos="2551"/>
        <w:tab w:val="num" w:pos="1417"/>
      </w:tabs>
      <w:spacing w:before="120" w:after="120" w:line="240" w:lineRule="auto"/>
      <w:ind w:left="1417"/>
      <w:jc w:val="both"/>
    </w:pPr>
    <w:rPr>
      <w:rFonts w:eastAsia="Times New Roman" w:cs="Times New Roman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eastAsia="Times New Roman" w:cs="Times New Roman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eastAsia="Times New Roman" w:cs="Times New Roman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Cs w:val="24"/>
    </w:rPr>
  </w:style>
  <w:style w:type="paragraph" w:customStyle="1" w:styleId="Rfrenceinterinstitutionnelle">
    <w:name w:val="Référence interinstitutionnelle"/>
    <w:basedOn w:val="Normal"/>
    <w:next w:val="Normal"/>
    <w:pPr>
      <w:spacing w:after="0" w:line="240" w:lineRule="auto"/>
      <w:ind w:left="5103"/>
    </w:pPr>
    <w:rPr>
      <w:rFonts w:eastAsia="Times New Roman" w:cs="Times New Roman"/>
      <w:szCs w:val="24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eastAsia="Times New Roman" w:cs="Times New Roman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  <w:szCs w:val="24"/>
    </w:r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  <w:szCs w:val="24"/>
    </w:r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  <w:szCs w:val="24"/>
    </w:r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eastAsia="Times New Roman" w:cs="Times New Roman"/>
      <w:b/>
      <w:sz w:val="28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Cs w:val="24"/>
    </w:rPr>
  </w:style>
  <w:style w:type="paragraph" w:styleId="ListBullet">
    <w:name w:val="List Bullet"/>
    <w:basedOn w:val="Normal"/>
    <w:uiPriority w:val="99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2">
    <w:name w:val="List Bullet 2"/>
    <w:basedOn w:val="Normal"/>
    <w:uiPriority w:val="99"/>
    <w:pPr>
      <w:numPr>
        <w:numId w:val="2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3">
    <w:name w:val="List Bullet 3"/>
    <w:basedOn w:val="Normal"/>
    <w:uiPriority w:val="99"/>
    <w:pPr>
      <w:numPr>
        <w:numId w:val="25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4">
    <w:name w:val="List Bullet 4"/>
    <w:basedOn w:val="Normal"/>
    <w:uiPriority w:val="99"/>
    <w:pPr>
      <w:numPr>
        <w:numId w:val="2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">
    <w:name w:val="List Number"/>
    <w:basedOn w:val="Normal"/>
    <w:uiPriority w:val="99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2">
    <w:name w:val="List Number 2"/>
    <w:basedOn w:val="Normal"/>
    <w:uiPriority w:val="99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uiPriority w:val="99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uiPriority w:val="99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Bullet1">
    <w:name w:val="List Bullet 1"/>
    <w:basedOn w:val="Normal"/>
    <w:pPr>
      <w:numPr>
        <w:numId w:val="23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">
    <w:name w:val="List Dash"/>
    <w:basedOn w:val="Normal"/>
    <w:pPr>
      <w:numPr>
        <w:numId w:val="2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1">
    <w:name w:val="List Dash 1"/>
    <w:basedOn w:val="Normal"/>
    <w:pPr>
      <w:numPr>
        <w:numId w:val="28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2">
    <w:name w:val="List Dash 2"/>
    <w:basedOn w:val="Normal"/>
    <w:pPr>
      <w:numPr>
        <w:numId w:val="2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3">
    <w:name w:val="List Dash 3"/>
    <w:basedOn w:val="Normal"/>
    <w:pPr>
      <w:numPr>
        <w:numId w:val="3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4">
    <w:name w:val="List Dash 4"/>
    <w:basedOn w:val="Normal"/>
    <w:pPr>
      <w:numPr>
        <w:numId w:val="3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">
    <w:name w:val="List Number 1"/>
    <w:basedOn w:val="Text1"/>
    <w:pPr>
      <w:numPr>
        <w:ilvl w:val="2"/>
        <w:numId w:val="18"/>
      </w:numPr>
      <w:tabs>
        <w:tab w:val="clear" w:pos="2977"/>
        <w:tab w:val="num" w:pos="1560"/>
      </w:tabs>
      <w:ind w:left="1560"/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9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20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21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9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20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21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9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20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21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eastAsia="Times New Roman" w:cs="Times New Roman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eastAsia="Times New Roman" w:cs="Times New Roman"/>
      <w:b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eastAsia="Times New Roman" w:cs="Times New Roman"/>
      <w:b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b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eastAsia="Times New Roman" w:cs="Times New Roman"/>
      <w:b/>
      <w:sz w:val="40"/>
      <w:szCs w:val="20"/>
    </w:rPr>
  </w:style>
  <w:style w:type="paragraph" w:styleId="BlockText">
    <w:name w:val="Block Text"/>
    <w:basedOn w:val="Normal"/>
    <w:uiPriority w:val="99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  <w:jc w:val="both"/>
    </w:pPr>
    <w:rPr>
      <w:rFonts w:eastAsia="Times New Roman" w:cs="Times New Roman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eastAsia="Times New Roman" w:cs="Times New Roman"/>
      <w:b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EndnoteText">
    <w:name w:val="endnote text"/>
    <w:basedOn w:val="Normal"/>
    <w:link w:val="EndnoteTextChar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eastAsia="Times New Roman" w:cs="Times New Roman"/>
      <w:sz w:val="20"/>
      <w:szCs w:val="20"/>
      <w:lang w:eastAsia="bg-BG"/>
    </w:rPr>
  </w:style>
  <w:style w:type="character" w:styleId="EndnoteReference">
    <w:name w:val="endnote reference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mbria" w:eastAsia="Times New Roman" w:hAnsi="Cambria" w:cs="Times New Roman"/>
      <w:szCs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eastAsia="Calibri" w:cs="Times New Roman"/>
    </w:rPr>
  </w:style>
  <w:style w:type="character" w:styleId="Emphasis">
    <w:name w:val="Emphasis"/>
    <w:qFormat/>
    <w:rPr>
      <w:i/>
      <w:iCs/>
      <w:shd w:val="clear" w:color="auto" w:fill="auto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</w:pPr>
    <w:rPr>
      <w:rFonts w:asciiTheme="minorHAnsi" w:hAnsiTheme="minorHAnsi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</w:pPr>
    <w:rPr>
      <w:rFonts w:asciiTheme="minorHAnsi" w:hAnsiTheme="minorHAnsi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9"/>
      </w:numPr>
      <w:spacing w:before="360" w:after="120" w:line="240" w:lineRule="auto"/>
      <w:jc w:val="both"/>
      <w:outlineLvl w:val="0"/>
    </w:pPr>
    <w:rPr>
      <w:rFonts w:eastAsia="Times New Roman" w:cs="Times New Roman"/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eastAsia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9"/>
      </w:numPr>
      <w:spacing w:before="120" w:after="120" w:line="240" w:lineRule="auto"/>
      <w:jc w:val="both"/>
      <w:outlineLvl w:val="2"/>
    </w:pPr>
    <w:rPr>
      <w:rFonts w:eastAsia="Times New Roman" w:cs="Times New Roman"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eastAsia="Times New Roman" w:cs="Times New Roman"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</w:style>
  <w:style w:type="character" w:customStyle="1" w:styleId="HeaderCoverPageChar">
    <w:name w:val="Header Cover Page Char"/>
    <w:basedOn w:val="DefaultParagraphFont"/>
    <w:link w:val="HeaderCoverPage"/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Times New Roman"/>
      <w:b/>
      <w:bCs/>
      <w:small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 w:cs="Times New Roman"/>
      <w:bCs/>
      <w:szCs w:val="28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Accompagnant">
    <w:name w:val="Accompagnant"/>
    <w:basedOn w:val="Normal"/>
    <w:next w:val="Normal"/>
    <w:pPr>
      <w:spacing w:after="240" w:line="240" w:lineRule="auto"/>
      <w:jc w:val="center"/>
    </w:pPr>
    <w:rPr>
      <w:rFonts w:eastAsia="Times New Roman" w:cs="Times New Roman"/>
      <w:b/>
      <w:i/>
      <w:szCs w:val="24"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eastAsia="Times New Roman" w:cs="Times New Roman"/>
      <w:szCs w:val="24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eastAsia="Times New Roman" w:cs="Times New Roman"/>
      <w:szCs w:val="24"/>
      <w:u w:val="single"/>
    </w:rPr>
  </w:style>
  <w:style w:type="paragraph" w:customStyle="1" w:styleId="Bullet0">
    <w:name w:val="Bullet 0"/>
    <w:basedOn w:val="Normal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1">
    <w:name w:val="Bullet 1"/>
    <w:basedOn w:val="Normal"/>
    <w:pPr>
      <w:numPr>
        <w:numId w:val="4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2">
    <w:name w:val="Bullet 2"/>
    <w:basedOn w:val="Normal"/>
    <w:pPr>
      <w:numPr>
        <w:numId w:val="5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3">
    <w:name w:val="Bullet 3"/>
    <w:basedOn w:val="Normal"/>
    <w:pPr>
      <w:numPr>
        <w:numId w:val="6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Bullet4">
    <w:name w:val="Bullet 4"/>
    <w:basedOn w:val="Normal"/>
    <w:pPr>
      <w:numPr>
        <w:numId w:val="7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eastAsia="Times New Roman" w:cs="Times New Roman"/>
      <w:b/>
      <w:sz w:val="32"/>
      <w:szCs w:val="24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eastAsia="Times New Roman" w:cs="Times New Roman"/>
      <w:szCs w:val="24"/>
    </w:rPr>
  </w:style>
  <w:style w:type="paragraph" w:customStyle="1" w:styleId="Confidentialit">
    <w:name w:val="Confidentialité"/>
    <w:basedOn w:val="Normal"/>
    <w:next w:val="Normal"/>
    <w:pPr>
      <w:spacing w:before="240" w:after="240" w:line="240" w:lineRule="auto"/>
      <w:ind w:left="5103"/>
      <w:jc w:val="both"/>
    </w:pPr>
    <w:rPr>
      <w:rFonts w:eastAsia="Times New Roman" w:cs="Times New Roman"/>
      <w:szCs w:val="24"/>
      <w:u w:val="single"/>
    </w:rPr>
  </w:style>
  <w:style w:type="paragraph" w:customStyle="1" w:styleId="Considrant">
    <w:name w:val="Considérant"/>
    <w:basedOn w:val="Normal"/>
    <w:pPr>
      <w:numPr>
        <w:numId w:val="8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eastAsia="Times New Roman" w:cs="Times New Roman"/>
      <w:szCs w:val="24"/>
    </w:rPr>
  </w:style>
  <w:style w:type="paragraph" w:customStyle="1" w:styleId="Datedadoption">
    <w:name w:val="Date d'adoption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after="0" w:line="240" w:lineRule="auto"/>
      <w:ind w:left="5103"/>
    </w:pPr>
    <w:rPr>
      <w:rFonts w:eastAsia="Times New Roman" w:cs="Times New Roman"/>
      <w:szCs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Fait">
    <w:name w:val="Fait à"/>
    <w:basedOn w:val="Normal"/>
    <w:next w:val="Normal"/>
    <w:pPr>
      <w:keepNext/>
      <w:spacing w:before="120" w:after="0" w:line="240" w:lineRule="auto"/>
      <w:jc w:val="both"/>
    </w:pPr>
    <w:rPr>
      <w:rFonts w:eastAsia="Times New Roman" w:cs="Times New Roman"/>
      <w:szCs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  <w:u w:val="single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eastAsia="Calibri" w:cs="Times New Roman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  <w:ind w:left="720" w:hanging="72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sz w:val="20"/>
      <w:szCs w:val="20"/>
    </w:rPr>
  </w:style>
  <w:style w:type="paragraph" w:customStyle="1" w:styleId="Formuledadoption">
    <w:name w:val="Formule d'adoption"/>
    <w:basedOn w:val="Normal"/>
    <w:next w:val="Normal"/>
    <w:pPr>
      <w:keepNext/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eastAsia="Calibri" w:cs="Times New Roman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 w:line="240" w:lineRule="auto"/>
      <w:jc w:val="both"/>
    </w:pPr>
    <w:rPr>
      <w:rFonts w:eastAsia="Times New Roman" w:cs="Times New Roman"/>
      <w:i/>
      <w:szCs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after="600" w:line="240" w:lineRule="auto"/>
      <w:jc w:val="center"/>
    </w:pPr>
    <w:rPr>
      <w:rFonts w:eastAsia="Times New Roman" w:cs="Times New Roman"/>
      <w:b/>
      <w:caps/>
      <w:szCs w:val="24"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eastAsia="Times New Roman" w:cs="Times New Roman"/>
      <w:szCs w:val="24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eastAsia="Times New Roman" w:cs="Times New Roman"/>
      <w:b/>
      <w:smallCaps/>
      <w:szCs w:val="24"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eastAsia="Times New Roman" w:cs="Times New Roman"/>
      <w:b/>
      <w:szCs w:val="24"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eastAsia="Times New Roman" w:cs="Times New Roman"/>
      <w:i/>
      <w:szCs w:val="24"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eastAsia="Times New Roman" w:cs="Times New Roman"/>
      <w:szCs w:val="24"/>
    </w:rPr>
  </w:style>
  <w:style w:type="paragraph" w:customStyle="1" w:styleId="ManualNumPar1">
    <w:name w:val="Manual NumPar 1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ManualNumPar2">
    <w:name w:val="Manual NumPar 2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ManualNumPar3">
    <w:name w:val="Manual NumPar 3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ManualNumPar4">
    <w:name w:val="Manual NumPar 4"/>
    <w:basedOn w:val="Normal"/>
    <w:next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eastAsia="Times New Roman" w:cs="Times New Roman"/>
      <w:szCs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eastAsia="Times New Roman" w:cs="Times New Roman"/>
      <w:szCs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eastAsia="Times New Roman" w:cs="Times New Roman"/>
      <w:szCs w:val="24"/>
    </w:rPr>
  </w:style>
  <w:style w:type="paragraph" w:customStyle="1" w:styleId="NumPar1">
    <w:name w:val="NumPar 1"/>
    <w:basedOn w:val="Normal"/>
    <w:next w:val="Normal"/>
    <w:pPr>
      <w:numPr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NumPar2">
    <w:name w:val="NumPar 2"/>
    <w:basedOn w:val="Normal"/>
    <w:next w:val="Normal"/>
    <w:pPr>
      <w:numPr>
        <w:ilvl w:val="1"/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NumPar3">
    <w:name w:val="NumPar 3"/>
    <w:basedOn w:val="Normal"/>
    <w:next w:val="Normal"/>
    <w:pPr>
      <w:numPr>
        <w:ilvl w:val="2"/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NumPar4">
    <w:name w:val="NumPar 4"/>
    <w:basedOn w:val="Normal"/>
    <w:next w:val="Normal"/>
    <w:pPr>
      <w:numPr>
        <w:ilvl w:val="3"/>
        <w:numId w:val="10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Objetacteprincipal">
    <w:name w:val="Objet acte principal"/>
    <w:basedOn w:val="Normal"/>
    <w:next w:val="Normal"/>
    <w:pPr>
      <w:spacing w:after="36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eastAsia="Times New Roman" w:cs="Times New Roman"/>
      <w:i/>
      <w:caps/>
      <w:szCs w:val="24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eastAsia="Times New Roman" w:cs="Times New Roman"/>
      <w:b/>
      <w:sz w:val="36"/>
      <w:szCs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eastAsia="Times New Roman" w:cs="Times New Roman"/>
      <w:i/>
      <w:szCs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Point0letter">
    <w:name w:val="Point 0 (letter)"/>
    <w:basedOn w:val="Normal"/>
    <w:pPr>
      <w:numPr>
        <w:ilvl w:val="4"/>
        <w:numId w:val="11"/>
      </w:numPr>
      <w:tabs>
        <w:tab w:val="clear" w:pos="1984"/>
        <w:tab w:val="num" w:pos="850"/>
      </w:tabs>
      <w:spacing w:before="120" w:after="120" w:line="240" w:lineRule="auto"/>
      <w:ind w:left="850" w:hanging="850"/>
      <w:jc w:val="both"/>
    </w:pPr>
    <w:rPr>
      <w:rFonts w:eastAsia="Times New Roman" w:cs="Times New Roman"/>
      <w:szCs w:val="24"/>
    </w:rPr>
  </w:style>
  <w:style w:type="paragraph" w:customStyle="1" w:styleId="Point0number">
    <w:name w:val="Point 0 (number)"/>
    <w:basedOn w:val="Normal"/>
    <w:pPr>
      <w:numPr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Cs w:val="24"/>
    </w:rPr>
  </w:style>
  <w:style w:type="paragraph" w:customStyle="1" w:styleId="Point1letter">
    <w:name w:val="Point 1 (letter)"/>
    <w:basedOn w:val="Normal"/>
    <w:pPr>
      <w:numPr>
        <w:ilvl w:val="6"/>
        <w:numId w:val="11"/>
      </w:numPr>
      <w:tabs>
        <w:tab w:val="clear" w:pos="2551"/>
        <w:tab w:val="num" w:pos="1417"/>
      </w:tabs>
      <w:spacing w:before="120" w:after="120" w:line="240" w:lineRule="auto"/>
      <w:ind w:left="1417"/>
      <w:jc w:val="both"/>
    </w:pPr>
    <w:rPr>
      <w:rFonts w:eastAsia="Times New Roman" w:cs="Times New Roman"/>
      <w:szCs w:val="24"/>
    </w:rPr>
  </w:style>
  <w:style w:type="paragraph" w:customStyle="1" w:styleId="Point1number">
    <w:name w:val="Point 1 (number)"/>
    <w:basedOn w:val="Normal"/>
    <w:pPr>
      <w:numPr>
        <w:ilvl w:val="2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eastAsia="Times New Roman" w:cs="Times New Roman"/>
      <w:szCs w:val="24"/>
    </w:rPr>
  </w:style>
  <w:style w:type="paragraph" w:customStyle="1" w:styleId="Point2letter">
    <w:name w:val="Point 2 (letter)"/>
    <w:basedOn w:val="Normal"/>
    <w:pPr>
      <w:numPr>
        <w:ilvl w:val="5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eastAsia="Times New Roman" w:cs="Times New Roman"/>
      <w:szCs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eastAsia="Times New Roman" w:cs="Times New Roman"/>
      <w:szCs w:val="24"/>
    </w:rPr>
  </w:style>
  <w:style w:type="paragraph" w:customStyle="1" w:styleId="Point3letter">
    <w:name w:val="Point 3 (letter)"/>
    <w:basedOn w:val="Normal"/>
    <w:pPr>
      <w:numPr>
        <w:ilvl w:val="7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eastAsia="Times New Roman" w:cs="Times New Roman"/>
      <w:szCs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eastAsia="Times New Roman" w:cs="Times New Roman"/>
      <w:szCs w:val="24"/>
    </w:rPr>
  </w:style>
  <w:style w:type="paragraph" w:customStyle="1" w:styleId="Point4letter">
    <w:name w:val="Point 4 (letter)"/>
    <w:basedOn w:val="Normal"/>
    <w:pPr>
      <w:numPr>
        <w:ilvl w:val="8"/>
        <w:numId w:val="11"/>
      </w:numPr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eastAsia="Times New Roman" w:cs="Times New Roman"/>
      <w:szCs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eastAsia="Times New Roman" w:cs="Times New Roman"/>
      <w:szCs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eastAsia="Times New Roman" w:cs="Times New Roman"/>
      <w:szCs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eastAsia="Times New Roman" w:cs="Times New Roman"/>
      <w:szCs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eastAsia="Times New Roman" w:cs="Times New Roman"/>
      <w:szCs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eastAsia="Times New Roman" w:cs="Times New Roman"/>
      <w:szCs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eastAsia="Times New Roman" w:cs="Times New Roman"/>
      <w:szCs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eastAsia="Times New Roman" w:cs="Times New Roman"/>
      <w:szCs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eastAsia="Times New Roman" w:cs="Times New Roman"/>
      <w:szCs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eastAsia="Times New Roman" w:cs="Times New Roman"/>
      <w:szCs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eastAsia="Times New Roman" w:cs="Times New Roman"/>
      <w:szCs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Cs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Cs w:val="24"/>
    </w:rPr>
  </w:style>
  <w:style w:type="paragraph" w:customStyle="1" w:styleId="Rfrenceinterinstitutionnelle">
    <w:name w:val="Référence interinstitutionnelle"/>
    <w:basedOn w:val="Normal"/>
    <w:next w:val="Normal"/>
    <w:pPr>
      <w:spacing w:after="0" w:line="240" w:lineRule="auto"/>
      <w:ind w:left="5103"/>
    </w:pPr>
    <w:rPr>
      <w:rFonts w:eastAsia="Times New Roman" w:cs="Times New Roman"/>
      <w:szCs w:val="24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eastAsia="Times New Roman" w:cs="Times New Roman"/>
      <w:szCs w:val="24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eastAsia="Times New Roman" w:cs="Times New Roman"/>
      <w:b/>
      <w:smallCaps/>
      <w:sz w:val="28"/>
      <w:szCs w:val="24"/>
    </w:rPr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szCs w:val="24"/>
    </w:r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eastAsia="Times New Roman" w:cs="Times New Roman"/>
      <w:szCs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eastAsia="Times New Roman" w:cs="Times New Roman"/>
      <w:szCs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eastAsia="Times New Roman" w:cs="Times New Roman"/>
      <w:szCs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eastAsia="Times New Roman" w:cs="Times New Roman"/>
      <w:szCs w:val="24"/>
    </w:r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eastAsia="Times New Roman" w:cs="Times New Roman"/>
      <w:i/>
      <w:szCs w:val="24"/>
    </w:rPr>
  </w:style>
  <w:style w:type="paragraph" w:customStyle="1" w:styleId="Titreobjet">
    <w:name w:val="Titre objet"/>
    <w:basedOn w:val="Normal"/>
    <w:next w:val="Sous-titreobjet"/>
    <w:pPr>
      <w:spacing w:before="360" w:after="36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 w:after="120" w:line="240" w:lineRule="auto"/>
      <w:ind w:left="850" w:hanging="850"/>
    </w:pPr>
    <w:rPr>
      <w:rFonts w:eastAsia="Times New Roman" w:cs="Times New Roman"/>
      <w:szCs w:val="24"/>
    </w:r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 w:after="120" w:line="240" w:lineRule="auto"/>
    </w:pPr>
    <w:rPr>
      <w:rFonts w:eastAsia="Times New Roman" w:cs="Times New Roman"/>
      <w:szCs w:val="24"/>
    </w:r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 w:after="120" w:line="240" w:lineRule="auto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 w:after="120" w:line="240" w:lineRule="auto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spacing w:before="120" w:after="120" w:line="240" w:lineRule="auto"/>
    </w:pPr>
    <w:rPr>
      <w:rFonts w:eastAsia="Times New Roman" w:cs="Times New Roman"/>
      <w:szCs w:val="24"/>
    </w:r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  <w:spacing w:before="120" w:after="120" w:line="240" w:lineRule="auto"/>
      <w:jc w:val="both"/>
    </w:pPr>
    <w:rPr>
      <w:rFonts w:eastAsia="Times New Roman" w:cs="Times New Roman"/>
      <w:szCs w:val="24"/>
    </w:rPr>
  </w:style>
  <w:style w:type="paragraph" w:styleId="TOCHeading">
    <w:name w:val="TOC Heading"/>
    <w:basedOn w:val="Normal"/>
    <w:next w:val="Normal"/>
    <w:uiPriority w:val="39"/>
    <w:qFormat/>
    <w:pPr>
      <w:spacing w:before="120" w:after="240" w:line="240" w:lineRule="auto"/>
      <w:jc w:val="center"/>
    </w:pPr>
    <w:rPr>
      <w:rFonts w:eastAsia="Times New Roman" w:cs="Times New Roman"/>
      <w:b/>
      <w:sz w:val="28"/>
      <w:szCs w:val="24"/>
    </w:r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eastAsia="Times New Roman" w:cs="Times New Roman"/>
      <w:b/>
      <w:szCs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eastAsia="Times New Roman" w:cs="Times New Roman"/>
      <w:szCs w:val="24"/>
    </w:rPr>
  </w:style>
  <w:style w:type="paragraph" w:styleId="ListBullet">
    <w:name w:val="List Bullet"/>
    <w:basedOn w:val="Normal"/>
    <w:uiPriority w:val="99"/>
    <w:pPr>
      <w:numPr>
        <w:numId w:val="22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2">
    <w:name w:val="List Bullet 2"/>
    <w:basedOn w:val="Normal"/>
    <w:uiPriority w:val="99"/>
    <w:pPr>
      <w:numPr>
        <w:numId w:val="24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3">
    <w:name w:val="List Bullet 3"/>
    <w:basedOn w:val="Normal"/>
    <w:uiPriority w:val="99"/>
    <w:pPr>
      <w:numPr>
        <w:numId w:val="25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Bullet4">
    <w:name w:val="List Bullet 4"/>
    <w:basedOn w:val="Normal"/>
    <w:uiPriority w:val="99"/>
    <w:pPr>
      <w:numPr>
        <w:numId w:val="26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">
    <w:name w:val="List Number"/>
    <w:basedOn w:val="Normal"/>
    <w:uiPriority w:val="99"/>
    <w:pPr>
      <w:numPr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2">
    <w:name w:val="List Number 2"/>
    <w:basedOn w:val="Normal"/>
    <w:uiPriority w:val="99"/>
    <w:pPr>
      <w:numPr>
        <w:numId w:val="1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3">
    <w:name w:val="List Number 3"/>
    <w:basedOn w:val="Normal"/>
    <w:uiPriority w:val="99"/>
    <w:pPr>
      <w:numPr>
        <w:numId w:val="2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styleId="ListNumber4">
    <w:name w:val="List Number 4"/>
    <w:basedOn w:val="Normal"/>
    <w:uiPriority w:val="99"/>
    <w:pPr>
      <w:numPr>
        <w:numId w:val="2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Bullet1">
    <w:name w:val="List Bullet 1"/>
    <w:basedOn w:val="Normal"/>
    <w:pPr>
      <w:numPr>
        <w:numId w:val="23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">
    <w:name w:val="List Dash"/>
    <w:basedOn w:val="Normal"/>
    <w:pPr>
      <w:numPr>
        <w:numId w:val="2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1">
    <w:name w:val="List Dash 1"/>
    <w:basedOn w:val="Normal"/>
    <w:pPr>
      <w:numPr>
        <w:numId w:val="28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2">
    <w:name w:val="List Dash 2"/>
    <w:basedOn w:val="Normal"/>
    <w:pPr>
      <w:numPr>
        <w:numId w:val="29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3">
    <w:name w:val="List Dash 3"/>
    <w:basedOn w:val="Normal"/>
    <w:pPr>
      <w:numPr>
        <w:numId w:val="30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Dash4">
    <w:name w:val="List Dash 4"/>
    <w:basedOn w:val="Normal"/>
    <w:pPr>
      <w:numPr>
        <w:numId w:val="31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">
    <w:name w:val="List Number 1"/>
    <w:basedOn w:val="Text1"/>
    <w:pPr>
      <w:numPr>
        <w:ilvl w:val="2"/>
        <w:numId w:val="18"/>
      </w:numPr>
      <w:tabs>
        <w:tab w:val="clear" w:pos="2977"/>
        <w:tab w:val="num" w:pos="1560"/>
      </w:tabs>
      <w:ind w:left="1560"/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9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20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21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9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20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21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7"/>
      </w:numPr>
      <w:spacing w:before="120" w:after="120" w:line="240" w:lineRule="auto"/>
      <w:jc w:val="both"/>
    </w:pPr>
    <w:rPr>
      <w:rFonts w:eastAsia="Times New Roman" w:cs="Times New Roman"/>
    </w:r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9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20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21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after="0" w:line="240" w:lineRule="auto"/>
      <w:ind w:left="5103"/>
    </w:pPr>
    <w:rPr>
      <w:rFonts w:eastAsia="Times New Roman" w:cs="Times New Roman"/>
    </w:rPr>
  </w:style>
  <w:style w:type="paragraph" w:customStyle="1" w:styleId="Sous-titreobjetprliminaire">
    <w:name w:val="Sous-titre objet (préliminaire)"/>
    <w:basedOn w:val="Normal"/>
    <w:pPr>
      <w:spacing w:after="0" w:line="240" w:lineRule="auto"/>
      <w:jc w:val="center"/>
    </w:pPr>
    <w:rPr>
      <w:rFonts w:eastAsia="Times New Roman" w:cs="Times New Roman"/>
      <w:b/>
    </w:rPr>
  </w:style>
  <w:style w:type="paragraph" w:customStyle="1" w:styleId="Statutprliminaire">
    <w:name w:val="Statut (préliminai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 w:line="240" w:lineRule="auto"/>
      <w:jc w:val="center"/>
    </w:pPr>
    <w:rPr>
      <w:rFonts w:eastAsia="Times New Roman" w:cs="Times New Roman"/>
      <w:b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 w:line="240" w:lineRule="auto"/>
      <w:jc w:val="center"/>
    </w:pPr>
    <w:rPr>
      <w:rFonts w:eastAsia="Times New Roman" w:cs="Times New Roman"/>
      <w:b/>
    </w:rPr>
  </w:style>
  <w:style w:type="paragraph" w:customStyle="1" w:styleId="Fichefinanciretextetable">
    <w:name w:val="Fiche financière texte (table)"/>
    <w:basedOn w:val="Normal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spacing w:before="120" w:after="120" w:line="240" w:lineRule="auto"/>
      <w:jc w:val="center"/>
    </w:pPr>
    <w:rPr>
      <w:rFonts w:eastAsia="Times New Roman" w:cs="Times New Roman"/>
      <w:b/>
      <w:sz w:val="40"/>
      <w:szCs w:val="20"/>
    </w:rPr>
  </w:style>
  <w:style w:type="paragraph" w:styleId="BlockText">
    <w:name w:val="Block Text"/>
    <w:basedOn w:val="Normal"/>
    <w:uiPriority w:val="99"/>
    <w:pPr>
      <w:spacing w:after="120" w:line="240" w:lineRule="auto"/>
      <w:ind w:left="1440" w:right="1440"/>
      <w:jc w:val="both"/>
    </w:pPr>
    <w:rPr>
      <w:rFonts w:eastAsia="Times New Roman" w:cs="Times New Roman"/>
      <w:szCs w:val="20"/>
    </w:rPr>
  </w:style>
  <w:style w:type="paragraph" w:customStyle="1" w:styleId="FichedimpactPMEtitre">
    <w:name w:val="Fiche d'impact PME titre"/>
    <w:basedOn w:val="Normal"/>
    <w:next w:val="Normal"/>
    <w:pPr>
      <w:spacing w:before="120" w:after="120" w:line="240" w:lineRule="auto"/>
      <w:jc w:val="center"/>
    </w:pPr>
    <w:rPr>
      <w:rFonts w:eastAsia="Times New Roman" w:cs="Times New Roman"/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pPr>
      <w:spacing w:before="120" w:after="120" w:line="240" w:lineRule="auto"/>
      <w:jc w:val="both"/>
    </w:pPr>
    <w:rPr>
      <w:rFonts w:eastAsia="Times New Roman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  <w:jc w:val="both"/>
    </w:pPr>
    <w:rPr>
      <w:rFonts w:eastAsia="Times New Roman" w:cs="Times New Roman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after="240" w:line="240" w:lineRule="auto"/>
      <w:ind w:left="5103"/>
    </w:pPr>
    <w:rPr>
      <w:rFonts w:eastAsia="Times New Roman" w:cs="Times New Roman"/>
    </w:rPr>
  </w:style>
  <w:style w:type="paragraph" w:customStyle="1" w:styleId="Prliminairetitre">
    <w:name w:val="Préliminaire titre"/>
    <w:basedOn w:val="Normal"/>
    <w:next w:val="Normal"/>
    <w:pPr>
      <w:spacing w:before="360" w:after="360" w:line="240" w:lineRule="auto"/>
      <w:jc w:val="center"/>
    </w:pPr>
    <w:rPr>
      <w:rFonts w:eastAsia="Times New Roman" w:cs="Times New Roman"/>
      <w:b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ahoma"/>
      <w:sz w:val="20"/>
      <w:szCs w:val="20"/>
      <w:shd w:val="clear" w:color="auto" w:fill="000080"/>
      <w:lang w:eastAsia="bg-BG"/>
    </w:rPr>
  </w:style>
  <w:style w:type="paragraph" w:styleId="EndnoteText">
    <w:name w:val="endnote text"/>
    <w:basedOn w:val="Normal"/>
    <w:link w:val="EndnoteTextChar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eastAsia="Times New Roman" w:cs="Times New Roman"/>
      <w:sz w:val="20"/>
      <w:szCs w:val="20"/>
      <w:lang w:eastAsia="bg-BG"/>
    </w:rPr>
  </w:style>
  <w:style w:type="character" w:styleId="EndnoteReference">
    <w:name w:val="endnote reference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mbria" w:eastAsia="Times New Roman" w:hAnsi="Cambria" w:cs="Times New Roman"/>
      <w:szCs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eastAsia="Calibri" w:cs="Times New Roman"/>
    </w:rPr>
  </w:style>
  <w:style w:type="character" w:styleId="Emphasis">
    <w:name w:val="Emphasis"/>
    <w:qFormat/>
    <w:rPr>
      <w:i/>
      <w:iCs/>
      <w:shd w:val="clear" w:color="auto" w:fill="auto"/>
    </w:rPr>
  </w:style>
  <w:style w:type="paragraph" w:customStyle="1" w:styleId="LegalNumPar">
    <w:name w:val="LegalNumPar"/>
    <w:basedOn w:val="Normal"/>
    <w:pPr>
      <w:numPr>
        <w:numId w:val="38"/>
      </w:numPr>
      <w:spacing w:line="360" w:lineRule="auto"/>
    </w:pPr>
    <w:rPr>
      <w:rFonts w:asciiTheme="minorHAnsi" w:hAnsiTheme="minorHAnsi"/>
    </w:rPr>
  </w:style>
  <w:style w:type="paragraph" w:customStyle="1" w:styleId="LegalNumPar2">
    <w:name w:val="LegalNumPar2"/>
    <w:basedOn w:val="Normal"/>
    <w:pPr>
      <w:numPr>
        <w:ilvl w:val="1"/>
        <w:numId w:val="38"/>
      </w:numPr>
      <w:spacing w:line="360" w:lineRule="auto"/>
    </w:pPr>
    <w:rPr>
      <w:rFonts w:asciiTheme="minorHAnsi" w:hAnsiTheme="minorHAnsi"/>
    </w:rPr>
  </w:style>
  <w:style w:type="paragraph" w:customStyle="1" w:styleId="LegalNumPar3">
    <w:name w:val="LegalNumPar3"/>
    <w:basedOn w:val="Normal"/>
    <w:pPr>
      <w:numPr>
        <w:ilvl w:val="2"/>
        <w:numId w:val="38"/>
      </w:numPr>
      <w:spacing w:line="36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02E56D-E912-454A-962B-9202072B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1496</Words>
  <Characters>7512</Characters>
  <Application>Microsoft Office Word</Application>
  <DocSecurity>0</DocSecurity>
  <Lines>1073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WES PDFC Administrator</cp:lastModifiedBy>
  <cp:revision>31</cp:revision>
  <dcterms:created xsi:type="dcterms:W3CDTF">2019-06-28T10:03:00Z</dcterms:created>
  <dcterms:modified xsi:type="dcterms:W3CDTF">2019-08-01T12:41:00Z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