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022D612-2FA5-43F8-B5FC-4AA65FB3170D" style="width:450.35pt;height:408.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Style w:val="NormalWeb"/>
        <w:jc w:val="both"/>
        <w:rPr>
          <w:noProof/>
          <w:color w:val="000000"/>
        </w:rPr>
      </w:pPr>
      <w:r>
        <w:rPr>
          <w:noProof/>
        </w:rPr>
        <w:t>Публичните служби по заетостта (ПСЗ) са основните агенции, които изпълняват политиките в областта на заетостта, улесняващи интегрирането на лицата, търсещи работа, на пазара на труда. Въпреки че структурата на ПСЗ е различна в отделните държави, всички те спомагат за постигането на съответствие между предлагането и търсенето на работна ръка на пазара на труда, като предоставят услуги за информиране, намиране на работа и активна подкрепа на местно, национално и европейско равнище. ПСЗ са и основните структури, които прилагат политиките за активизиране в държавите членки; също така те играят важна роля за улесняване на успешния преход и интегриране на пазара на труда. Качеството на техните услуги се отразява пряко на политиките по заетостта по места. Така ПСЗ имат ключова роля в борбата с безработицата в Европа и за гарантиране на успешното прилагане на съответните политически инициативи на ЕС.</w:t>
      </w:r>
    </w:p>
    <w:p>
      <w:pPr>
        <w:pStyle w:val="NormalWeb"/>
        <w:jc w:val="both"/>
        <w:rPr>
          <w:noProof/>
          <w:color w:val="000000"/>
        </w:rPr>
      </w:pPr>
      <w:r>
        <w:rPr>
          <w:noProof/>
        </w:rPr>
        <w:t>Съвместната работа на ПСЗ на европейско равнище започна през 1997 г., когато Комисията учреди неформална консултативна група, съставена от ръководителите на ПСЗ (Европейската мрежа на ръководителите на ПСЗ). Целта беше да се насърчат сътрудничеството, обменът и взаимното обучение между членуващите организации и да се получи обратна информация за инициативите в областта на политиката по заетостта.</w:t>
      </w:r>
    </w:p>
    <w:p>
      <w:pPr>
        <w:pStyle w:val="NormalWeb"/>
        <w:jc w:val="both"/>
        <w:rPr>
          <w:noProof/>
          <w:color w:val="000000"/>
        </w:rPr>
      </w:pPr>
      <w:r>
        <w:rPr>
          <w:noProof/>
        </w:rPr>
        <w:t>Въз основа на този опит през 2013 г. Комисията предложи да придаде официална форма на това сътрудничество, което да е в подкрепа на иновациите, сравнителния анализ и взаимното обучение на европейско равнище. През 2014 г. с Решение № 573/2014/ЕС на Европейския парламент и на Съвета за укрепване на сътрудничеството между публичните служби по заетостта беше създадена Европейската мрежа на публичните служби по заетостта („Мрежата“) до 31 декември 2020 г.</w:t>
      </w:r>
    </w:p>
    <w:p>
      <w:pPr>
        <w:pStyle w:val="NormalWeb"/>
        <w:jc w:val="both"/>
        <w:rPr>
          <w:noProof/>
          <w:color w:val="000000"/>
        </w:rPr>
      </w:pPr>
      <w:r>
        <w:rPr>
          <w:noProof/>
        </w:rPr>
        <w:t>Целта на настоящото предложение е да продължат да се увеличават капацитетът на ПСЗ и тяхната ефективност и ефикасност чрез осигуряването на платформа за сравнение на резултатите от работата им на европейско равнище, за установяване на добри практики и за развиване на система за взаимно обучение. Освен това се цели да се дадат повече възможности на ПСЗ да подпомогнат разработването на новаторски и основани на факти политики.</w:t>
      </w:r>
    </w:p>
    <w:p>
      <w:pPr>
        <w:pStyle w:val="NormalWeb"/>
        <w:jc w:val="both"/>
        <w:rPr>
          <w:noProof/>
          <w:color w:val="000000"/>
        </w:rPr>
      </w:pPr>
      <w:r>
        <w:rPr>
          <w:noProof/>
        </w:rPr>
        <w:t>Следва да се гарантира, че Мрежата допълва, а не замества, нито дублира действията, предприети като част от Европейската стратегия по заетостта по смисъла на дял IX от Договора за функционирането на Европейския съюз (ДФЕС), и по-специално тези на Комитета по заетостта и неговите инструменти, като например Рамката за съвместна оценка, както и програмата за взаимно обучение. Освен това с цел да се стимулират синергии, Комисията следва да осигури тясното сътрудничество между секретариата на Мрежата и секретариата на Комитета по заетостта.</w:t>
      </w:r>
    </w:p>
    <w:p>
      <w:pPr>
        <w:pStyle w:val="Text2"/>
        <w:ind w:left="0"/>
        <w:rPr>
          <w:noProof/>
          <w:szCs w:val="24"/>
        </w:rPr>
      </w:pPr>
      <w:r>
        <w:rPr>
          <w:noProof/>
        </w:rPr>
        <w:t xml:space="preserve">Беше извършена оценка на изпълнението на предишното решение, както и на свързаните с това предизвикателства и възможностите за по-нататъшно продължаване </w:t>
      </w:r>
      <w:r>
        <w:rPr>
          <w:noProof/>
        </w:rPr>
        <w:lastRenderedPageBreak/>
        <w:t>на действието на Мрежата след 31 декември 2020 г. Оценката показа, че решението е приложено успешно, по-специално инициативата за възприемане на добрия опит</w:t>
      </w:r>
      <w:r>
        <w:rPr>
          <w:rStyle w:val="FootnoteReference"/>
          <w:noProof/>
        </w:rPr>
        <w:footnoteReference w:id="1"/>
      </w:r>
      <w:r>
        <w:rPr>
          <w:noProof/>
        </w:rPr>
        <w:t>, която е добър пример за общ инструмент на ЕС, насърчаващ сравнимостта, ученето и съзряването на ПСЗ в ЕС. В нея е посочено също така заключението, че Мрежата е била ефективна при изпълнението на целите, определени в решението.</w:t>
      </w:r>
    </w:p>
    <w:p>
      <w:pPr>
        <w:pStyle w:val="Text2"/>
        <w:ind w:left="0"/>
        <w:rPr>
          <w:noProof/>
          <w:szCs w:val="24"/>
        </w:rPr>
      </w:pPr>
    </w:p>
    <w:p>
      <w:pPr>
        <w:pBdr>
          <w:top w:val="nil"/>
          <w:left w:val="nil"/>
          <w:bottom w:val="nil"/>
          <w:right w:val="nil"/>
          <w:between w:val="nil"/>
          <w:bar w:val="nil"/>
        </w:pBdr>
        <w:spacing w:before="0" w:after="240"/>
        <w:rPr>
          <w:rFonts w:eastAsia="Arial Unicode MS"/>
          <w:noProof/>
        </w:rPr>
      </w:pPr>
      <w:r>
        <w:rPr>
          <w:noProof/>
        </w:rPr>
        <w:t>Следователно целта на предложението за изменение на Решение № 573/2014/ЕС е да се доразвият постиженията на Мрежата, видни от констатациите на тази оценка</w:t>
      </w:r>
      <w:r>
        <w:rPr>
          <w:rStyle w:val="FootnoteReference"/>
          <w:noProof/>
        </w:rPr>
        <w:footnoteReference w:id="2"/>
      </w:r>
      <w:r>
        <w:rPr>
          <w:noProof/>
        </w:rPr>
        <w:t>, и същевременно да се отговори на нуждите и да се окаже силна подкрепа на заинтересованите страни в Мрежата, за да продължат това ценно сътрудничество и след 2020 г. Ето защо предложението има за цел срокът на функциониране на Мрежата да се удължи до 31 декември 2027 г.</w:t>
      </w:r>
    </w:p>
    <w:p>
      <w:pPr>
        <w:pStyle w:val="ManualHeading2"/>
        <w:rPr>
          <w:rFonts w:eastAsia="Arial Unicode MS"/>
          <w:noProof/>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Style w:val="Text2"/>
        <w:ind w:left="0"/>
        <w:rPr>
          <w:noProof/>
          <w:color w:val="000000"/>
        </w:rPr>
      </w:pPr>
      <w:r>
        <w:rPr>
          <w:noProof/>
        </w:rPr>
        <w:t>Мрежата, чието правно основание е член 149 от ДФЕС, е създадена, за да допринася за сътрудничеството между държавите членки и да подкрепя техните действия в областта на заетостта. Тя е част от рамката на политиката на ЕС в областта на заетостта, разработена в отговор на новите приоритети и промените на пазара на труда. В съответствие с член 148, параграф 4 от Договора, с Решение 2010/707/ЕС Съветът прие насоки за политиките по заетостта на държавите членки, които бяха актуализирани (Решение (ЕС) 2018/1215 на Съвета от 16 юли 2018 г.) и запазени за 2019 г.</w:t>
      </w:r>
    </w:p>
    <w:p>
      <w:pPr>
        <w:pStyle w:val="Text2"/>
        <w:ind w:left="0"/>
        <w:rPr>
          <w:noProof/>
          <w:color w:val="000000"/>
        </w:rPr>
      </w:pPr>
      <w:r>
        <w:rPr>
          <w:noProof/>
        </w:rPr>
        <w:t>Заедно с насоките за икономическата политика насоките за заетостта са ориентир за държавите членки при определянето на техните национални програми за реформи и при осъществяването на реформите. В насока № 7 се подчертава, че „държавите членки следва да се стремят към по-ефективни и ефикасни публични служби по заетостта, като гарантират, че те предоставят навременно и съобразено с конкретните нужди подпомагане на търсещите работа, подкрепа за търсенето в рамките на пазара на труда и прилагат управление въз основа на постигнатите резултати“. Интегрираните насоки са в основата на специфичните за отделните държави препоръки, които Съветът отправя към държавите членки в рамките на европейския семестър. През последните години те съдържаха специфични препоръки за функционирането и капацитета на ПСЗ и ефективността на активните политики на пазара на труда в държавите членки. Това включва необходимостта от по-персонализирани услуги за безработните, по-всеобхватна система за измерване на изпълнението, по-добро насочване и определяне на приоритети, както и по-добра координация между централните и регионалните администрации.</w:t>
      </w:r>
    </w:p>
    <w:p>
      <w:pPr>
        <w:rPr>
          <w:noProof/>
          <w:color w:val="000000"/>
        </w:rPr>
      </w:pPr>
      <w:r>
        <w:rPr>
          <w:noProof/>
        </w:rPr>
        <w:t>Активната подкрепа за заетостта е и един от приоритетите на Европейския стълб на социалните права</w:t>
      </w:r>
      <w:r>
        <w:rPr>
          <w:rStyle w:val="FootnoteReference"/>
          <w:noProof/>
        </w:rPr>
        <w:footnoteReference w:id="3"/>
      </w:r>
      <w:r>
        <w:rPr>
          <w:noProof/>
        </w:rPr>
        <w:t xml:space="preserve"> (принцип 4). Утвърден е приоритетът, свързан с целенасочена подкрепа за онези, които се нуждаят от помощ, за да получат достъп до пазара на труда, например чрез ПСЗ. Пример за това е повишеното внимание, което се отдава на ролята на ПСЗ за достигане до неактивното население.</w:t>
      </w:r>
    </w:p>
    <w:p>
      <w:pPr>
        <w:pStyle w:val="Text2"/>
        <w:ind w:left="0"/>
        <w:rPr>
          <w:noProof/>
          <w:color w:val="000000"/>
        </w:rPr>
      </w:pPr>
      <w:r>
        <w:rPr>
          <w:noProof/>
        </w:rPr>
        <w:t xml:space="preserve">Една от целите на Мрежата е да допринася за изпълнението на политическите инициативи на ЕС в областта на заетостта, като например Препоръката на Съвета от 22 април 2013 г. за създаване на гаранция за младежта и Препоръката на Съвета от 15 февруари 2016 г. относно интеграцията на дълготрайно безработните лица на пазара на </w:t>
      </w:r>
      <w:r>
        <w:rPr>
          <w:noProof/>
        </w:rPr>
        <w:lastRenderedPageBreak/>
        <w:t>труда, за което ПСЗ играят ключова роля. Освен това Мрежата следва да подпомага изпълнението на инициативите на ЕС, насочени към постигането на по-добро съответствие между търсенето и предлагането на умения, достойна и устойчива работа, по-голяма доброволна мобилност на работната сила и улесняване на прехода от образование и обучение към работа.</w:t>
      </w:r>
    </w:p>
    <w:p>
      <w:pPr>
        <w:pStyle w:val="Text2"/>
        <w:ind w:left="0"/>
        <w:rPr>
          <w:noProof/>
          <w:color w:val="000000"/>
        </w:rPr>
      </w:pPr>
      <w:r>
        <w:rPr>
          <w:noProof/>
        </w:rPr>
        <w:t>Дейностите на Мрежата попадат в областите на отговорност на ПСЗ, допълват инициативи, предприети от други заинтересовани страни, и допринасят за укрепването на общите усилия в тази област на политиката. Оценката на Мрежата показа това взаимно допълване, както и че инициативите на Мрежата не са заменили други инициативи.</w:t>
      </w:r>
    </w:p>
    <w:p>
      <w:pPr>
        <w:pStyle w:val="Text2"/>
        <w:ind w:left="0"/>
        <w:rPr>
          <w:noProof/>
          <w:color w:val="000000"/>
        </w:rPr>
      </w:pPr>
      <w:r>
        <w:rPr>
          <w:noProof/>
        </w:rPr>
        <w:t>Европейският портал за работни места EURES</w:t>
      </w:r>
      <w:r>
        <w:rPr>
          <w:rStyle w:val="FootnoteReference"/>
          <w:noProof/>
        </w:rPr>
        <w:footnoteReference w:id="4"/>
      </w:r>
      <w:r>
        <w:rPr>
          <w:noProof/>
        </w:rPr>
        <w:t xml:space="preserve"> и Мрежата имат някои допълващи се цели за постигането на по-добро функциониране на пазара на труда. Мрежата е насочена към сътрудничеството между ПСЗ, за да се подобри тяхната работа, и допринася за изпълнението на политическите инициативи в областта на заетостта, докато EURES се съсредоточава върху събирането на едно място на предложенията и заявленията за работа и предоставянето на услуги за мобилност с цел да се улесни свободното движение на работници и по-нататъшното интегриране на пазарите на труда.</w:t>
      </w:r>
    </w:p>
    <w:p>
      <w:pPr>
        <w:pBdr>
          <w:top w:val="nil"/>
          <w:left w:val="nil"/>
          <w:bottom w:val="nil"/>
          <w:right w:val="nil"/>
          <w:between w:val="nil"/>
          <w:bar w:val="nil"/>
        </w:pBdr>
        <w:spacing w:before="0" w:after="240"/>
        <w:rPr>
          <w:rFonts w:eastAsia="Arial Unicode MS"/>
          <w:noProof/>
        </w:rPr>
      </w:pPr>
      <w:r>
        <w:rPr>
          <w:noProof/>
        </w:rPr>
        <w:t>И накрая, Европейският орган по труда (ЕОТ) — новият орган на ЕС за подкрепа на държавите членки при прилагането на правилата в областта на трудовата мобилност</w:t>
      </w:r>
      <w:r>
        <w:rPr>
          <w:rStyle w:val="FootnoteReference"/>
          <w:noProof/>
        </w:rPr>
        <w:footnoteReference w:id="5"/>
      </w:r>
      <w:r>
        <w:rPr>
          <w:noProof/>
        </w:rPr>
        <w:t>, ще улесни достъпа на физическите лица и работодателите до информация за техните права и задължения, както и до съответните услуги, включително чрез единната цифрова платформа. Освен това ЕОТ ще посредничи в случаи на трансгранични спорове между националните органи. По този начин Мрежата и ЕОТ имат различни цели, които се допълват взаимно в усилията за постигането на по-добро функциониране на европейския пазар на труда.</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Style w:val="Text2"/>
        <w:ind w:left="0"/>
        <w:rPr>
          <w:noProof/>
          <w:color w:val="000000"/>
        </w:rPr>
      </w:pPr>
      <w:r>
        <w:rPr>
          <w:noProof/>
        </w:rPr>
        <w:t>Стратегията „Европа 2020“ е програмата на ЕС за растеж и работни места за настоящото десетилетие. Като цяло оценката на Решение № 573/2014/ЕС показа висока степен на съгласуваност между това решение и рамката на политиката на ЕС. Синергиите биха могли да се увеличат, например чрез сътрудничество с други заинтересовани страни на пазара на труда, включително други доставчици на услуги в областта на заетостта и когато е целесъобразно — агенции на ЕС в областта на заетостта, социалната политика и образованието и обучението, социалните партньори, организации, представляващи безработните лица или уязвими групи, НПО в областта на заетостта, регионалните и местните органи. Нито една от заинтересованите страни обаче не установи дублиране на действията.</w:t>
      </w:r>
    </w:p>
    <w:p>
      <w:pPr>
        <w:pBdr>
          <w:top w:val="nil"/>
          <w:left w:val="nil"/>
          <w:bottom w:val="nil"/>
          <w:right w:val="nil"/>
          <w:between w:val="nil"/>
          <w:bar w:val="nil"/>
        </w:pBdr>
        <w:spacing w:before="0" w:after="240"/>
        <w:rPr>
          <w:rFonts w:eastAsia="Arial Unicode MS"/>
          <w:noProof/>
        </w:rPr>
      </w:pPr>
      <w:r>
        <w:rPr>
          <w:noProof/>
        </w:rPr>
        <w:t>ЕС играе важна роля в изготвянето и изпълнението на Програмата на ООН до 2030 г. за устойчиво развитие и нейните цели за устойчиво развитие (ЦУР)</w:t>
      </w:r>
      <w:r>
        <w:rPr>
          <w:rStyle w:val="FootnoteReference"/>
          <w:noProof/>
        </w:rPr>
        <w:footnoteReference w:id="6"/>
      </w:r>
      <w:r>
        <w:rPr>
          <w:noProof/>
        </w:rPr>
        <w:t>. Мрежата допринася за насърчаването на устойчив и приобщаващ икономически растеж, пълна и продуктивна заетост и достоен труд за всички (ЦУР 8)</w:t>
      </w:r>
      <w:r>
        <w:rPr>
          <w:rStyle w:val="FootnoteReference"/>
          <w:noProof/>
        </w:rPr>
        <w:footnoteReference w:id="7"/>
      </w:r>
      <w:r>
        <w:rPr>
          <w:noProof/>
        </w:rPr>
        <w:t>.</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rPr>
      </w:pPr>
      <w:r>
        <w:rPr>
          <w:noProof/>
          <w:u w:color="000000"/>
          <w:bdr w:val="nil"/>
        </w:rPr>
        <w:t>•</w:t>
      </w:r>
      <w:r>
        <w:rPr>
          <w:noProof/>
          <w:u w:color="000000"/>
          <w:bdr w:val="nil"/>
        </w:rPr>
        <w:tab/>
        <w:t>Правно основание</w:t>
      </w:r>
    </w:p>
    <w:p>
      <w:pPr>
        <w:pStyle w:val="Text2"/>
        <w:ind w:left="0"/>
        <w:rPr>
          <w:noProof/>
          <w:color w:val="000000"/>
        </w:rPr>
      </w:pPr>
      <w:r>
        <w:rPr>
          <w:noProof/>
        </w:rPr>
        <w:t>Правното основание на предложението остава същото като това на Решение № 573/2014/ЕС.</w:t>
      </w:r>
    </w:p>
    <w:p>
      <w:pPr>
        <w:pStyle w:val="Text2"/>
        <w:ind w:left="0"/>
        <w:rPr>
          <w:noProof/>
          <w:color w:val="000000"/>
        </w:rPr>
      </w:pPr>
      <w:r>
        <w:rPr>
          <w:noProof/>
        </w:rPr>
        <w:t>Правото да се предприемат действия произтича от член 149 от ДФЕС, който гласи, че „Европейският парламент и Съветът […] могат да приемат насърчителни мерки, насочени към стимулиране сътрудничеството между държавите членки и към подкрепа на тяхната дейност в областта на заетостта посредством инициативи за развитие на обмена на информация и най-добри практики чрез предоставяне на сравнителни анализи и консултантски съвети, както и като се развиват новаторски подходи и се оценява опитът, по-специално чрез пилотни проекти[…]“.</w:t>
      </w:r>
    </w:p>
    <w:p>
      <w:pPr>
        <w:pStyle w:val="Text2"/>
        <w:ind w:left="0"/>
        <w:rPr>
          <w:rFonts w:eastAsia="Arial Unicode MS"/>
          <w:noProof/>
        </w:rPr>
      </w:pPr>
    </w:p>
    <w:p>
      <w:pPr>
        <w:pStyle w:val="ManualHeading2"/>
        <w:rPr>
          <w:rFonts w:eastAsia="Arial Unicode MS"/>
          <w:noProof/>
        </w:rPr>
      </w:pPr>
      <w:r>
        <w:rPr>
          <w:noProof/>
          <w:u w:color="000000"/>
          <w:bdr w:val="nil"/>
        </w:rPr>
        <w:t>•</w:t>
      </w:r>
      <w:r>
        <w:rPr>
          <w:noProof/>
          <w:u w:color="000000"/>
          <w:bdr w:val="nil"/>
        </w:rPr>
        <w:tab/>
        <w:t xml:space="preserve">Субсидиарност (при неизключителна компетентност) </w:t>
      </w:r>
    </w:p>
    <w:p>
      <w:pPr>
        <w:pStyle w:val="Text2"/>
        <w:ind w:left="0"/>
        <w:rPr>
          <w:noProof/>
          <w:color w:val="000000"/>
        </w:rPr>
      </w:pPr>
      <w:r>
        <w:rPr>
          <w:noProof/>
        </w:rPr>
        <w:t>Предложението е в съответствие с принципа на субсидиарност, тъй като има за цел да се предостави подкрепа на държавите членки за модернизиране на техните ПСЗ с оглед на постигането на общите европейски цели в областта на заетостта.</w:t>
      </w:r>
    </w:p>
    <w:p>
      <w:pPr>
        <w:pBdr>
          <w:top w:val="nil"/>
          <w:left w:val="nil"/>
          <w:bottom w:val="nil"/>
          <w:right w:val="nil"/>
          <w:between w:val="nil"/>
          <w:bar w:val="nil"/>
        </w:pBdr>
        <w:spacing w:before="0" w:after="240"/>
        <w:rPr>
          <w:rFonts w:eastAsia="Arial Unicode MS"/>
          <w:noProof/>
        </w:rPr>
      </w:pPr>
      <w:r>
        <w:rPr>
          <w:noProof/>
        </w:rPr>
        <w:t>На този етап няма информация за това как може да се организира сътрудничеството между ПСЗ, ако не бъде удължен срокът на действие на Решение № 573/2014/ЕС. Въпреки че е вероятно да продължи да се осъществява известно сътрудничество и без Мрежата, заинтересованите страни отдават ключово значение на официалната роля, подкрепяна с Решението, и на техническата и финансовата подкрепа, предоставяна от Комисията. Поради това е вероятно сътрудничеството между ПСЗ да бъде по-малко ефективно и систематично, ако не бъде удължен срокът на действие на Решението.</w:t>
      </w:r>
    </w:p>
    <w:p>
      <w:pPr>
        <w:pStyle w:val="ManualHeading2"/>
        <w:rPr>
          <w:rFonts w:eastAsia="Arial Unicode MS"/>
          <w:noProof/>
        </w:rPr>
      </w:pPr>
      <w:r>
        <w:rPr>
          <w:noProof/>
          <w:u w:color="000000"/>
          <w:bdr w:val="nil"/>
        </w:rPr>
        <w:t>•</w:t>
      </w:r>
      <w:r>
        <w:rPr>
          <w:noProof/>
          <w:u w:color="000000"/>
          <w:bdr w:val="nil"/>
        </w:rPr>
        <w:tab/>
        <w:t>Пропорционалност</w:t>
      </w:r>
    </w:p>
    <w:p>
      <w:pPr>
        <w:pStyle w:val="Text2"/>
        <w:ind w:left="0"/>
        <w:rPr>
          <w:noProof/>
          <w:color w:val="000000"/>
        </w:rPr>
      </w:pPr>
      <w:r>
        <w:rPr>
          <w:noProof/>
        </w:rPr>
        <w:t xml:space="preserve">Предложението е в съответствие с принципа на пропорционалност, тъй като се предлага под формата на насърчителна мярка по отношение на ПСЗ и неговата продължителност се ограничава до 2027 г. </w:t>
      </w:r>
    </w:p>
    <w:p>
      <w:pPr>
        <w:pBdr>
          <w:top w:val="nil"/>
          <w:left w:val="nil"/>
          <w:bottom w:val="nil"/>
          <w:right w:val="nil"/>
          <w:between w:val="nil"/>
          <w:bar w:val="nil"/>
        </w:pBdr>
        <w:spacing w:before="0" w:after="240"/>
        <w:rPr>
          <w:noProof/>
          <w:color w:val="000000"/>
        </w:rPr>
      </w:pPr>
      <w:r>
        <w:rPr>
          <w:noProof/>
        </w:rPr>
        <w:t xml:space="preserve">Докато държавите членки продължават да носят отговорност за начина, по който са организирани техните ПСЗ, за кадровото обезпечение и управлението на тези служби, с настоящото предложение се удължава срокът на функциониране на Мрежата, която служи за платформа за сравнение на резултатите от работата им на европейско равнище, за установяване на добри практики и за насърчаване на взаимното обучение с цел подобряване на капацитета и ефективността на обслужване. Опитът сочи, че ПСЗ не си взаимодействат достатъчно по собствена инициатива за изпълнението на дейности за взаимно обучение и сравнителен анализ, като по този начин възпрепятстват възможностите за ранно установяване на недобро функциониране на ПСЗ на национално равнище и потенциалните структурни проблеми на пазара на труда, произтичащи от това. </w:t>
      </w:r>
    </w:p>
    <w:p>
      <w:pPr>
        <w:pStyle w:val="ManualHeading2"/>
        <w:rPr>
          <w:rFonts w:eastAsia="Arial Unicode MS"/>
          <w:noProof/>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Избраният инструмент е решение съгласно първоначалния инструмент, който се изменя.  </w:t>
      </w:r>
      <w:r>
        <w:rPr>
          <w:noProof/>
        </w:rPr>
        <w:br/>
        <w:t xml:space="preserve">Решение № 573/2014/ЕС за укрепване на сътрудничеството между ПСЗ представлява насърчителна мярка по смисъла на член 149. С оглед на естеството на тази </w:t>
      </w:r>
      <w:r>
        <w:rPr>
          <w:noProof/>
        </w:rPr>
        <w:lastRenderedPageBreak/>
        <w:t>насърчителна мярка изборът на решение като правен инструмент продължава да бъде най-подходящият.</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Style w:val="Text2"/>
        <w:ind w:left="0"/>
        <w:rPr>
          <w:noProof/>
          <w:color w:val="000000"/>
        </w:rPr>
      </w:pPr>
      <w:r>
        <w:rPr>
          <w:noProof/>
        </w:rPr>
        <w:t>Направена беше оценка</w:t>
      </w:r>
      <w:r>
        <w:rPr>
          <w:rStyle w:val="FootnoteReference"/>
          <w:noProof/>
        </w:rPr>
        <w:footnoteReference w:id="8"/>
      </w:r>
      <w:r>
        <w:rPr>
          <w:noProof/>
        </w:rPr>
        <w:t xml:space="preserve"> на изпълнението на Решение № 573/2014/ЕС, която имаше за цел да се определят актуалното състояние и степента на изпълнение и да се откроят евентуални възможности за бъдещо сътрудничество между европейските ПСЗ след 2020 г. Самото решение не налагаше извършването на такава оценка, но тя беше предприета, за да се гарантира добро административно управление в съответствие с принципа „първо оцени“</w:t>
      </w:r>
      <w:r>
        <w:rPr>
          <w:rStyle w:val="FootnoteReference"/>
          <w:noProof/>
        </w:rPr>
        <w:footnoteReference w:id="9"/>
      </w:r>
      <w:r>
        <w:rPr>
          <w:noProof/>
        </w:rPr>
        <w:t>, за да се вземат под внимание поуките от предишните действия на ЕС. В оценката се прави преглед на това как Мрежата е изпълнила своите правни задължения и е постигнала целите си. Тя обхваща петте критерия, определени от изискванията за по-добро регулиране, а именно значение, ефективност, ефикасност, съгласуваност и добавена стойност на действията на равнище ЕС.</w:t>
      </w:r>
    </w:p>
    <w:p>
      <w:pPr>
        <w:pStyle w:val="Text2"/>
        <w:ind w:left="0"/>
        <w:rPr>
          <w:noProof/>
          <w:color w:val="000000"/>
        </w:rPr>
      </w:pPr>
      <w:r>
        <w:rPr>
          <w:noProof/>
        </w:rPr>
        <w:t xml:space="preserve">Решението продължава да бъде от голямо </w:t>
      </w:r>
      <w:r>
        <w:rPr>
          <w:b/>
          <w:noProof/>
        </w:rPr>
        <w:t>значение</w:t>
      </w:r>
      <w:r>
        <w:rPr>
          <w:noProof/>
        </w:rPr>
        <w:t xml:space="preserve"> за ПСЗ. Целите и инициативите на Мрежата, посочени в членове 3 и 4 от Решението, обхващат ключовите области на отговорност на ПСЗ и предоставят стабилна рамка за политиката и конкретните дейности на Мрежата. Като очертават широка рамка за дейностите на Мрежата, целите позволяват гъвкав подход към приоритетите за действие в зависимост от развитието на пазара на труда.</w:t>
      </w:r>
    </w:p>
    <w:p>
      <w:pPr>
        <w:rPr>
          <w:noProof/>
          <w:color w:val="000000"/>
        </w:rPr>
      </w:pPr>
      <w:r>
        <w:rPr>
          <w:noProof/>
        </w:rPr>
        <w:t xml:space="preserve">Според оценката Мрежата е била </w:t>
      </w:r>
      <w:r>
        <w:rPr>
          <w:b/>
          <w:noProof/>
        </w:rPr>
        <w:t>ефективна</w:t>
      </w:r>
      <w:r>
        <w:rPr>
          <w:noProof/>
        </w:rPr>
        <w:t xml:space="preserve"> при изпълнението на нейните цели и инициативи. Мрежата доказа, че е ефективно средство за подкрепа на националните ПСЗ при посрещане на индивидуалните им предизвикателства и за насърчаване на европейското сътрудничество. По-специално инициативата за възприемане на добрия опит (съчетаване на сравнителен анализ и взаимно обучение) е добър пример за общ инструмент на ЕС, насърчаващ сравнимостта, ученето и съзряването на ПСЗ. Като се поучиха от резултатите от оценките за възприемане на добрия опит, ПСЗ станаха по-зрели в организационно отношение. Ефективността може да се отдаде преди всичко на инициативата за възприемане на добрия опит, както и на споделянето на знания чрез мероприятия за взаимно обучение, доклади и най-добри практики на ПСЗ.</w:t>
      </w:r>
    </w:p>
    <w:p>
      <w:pPr>
        <w:pStyle w:val="Text2"/>
        <w:ind w:left="0"/>
        <w:rPr>
          <w:noProof/>
          <w:color w:val="000000"/>
        </w:rPr>
      </w:pPr>
      <w:r>
        <w:rPr>
          <w:noProof/>
        </w:rPr>
        <w:t xml:space="preserve">Резултатите от някои дейности на Мрежата трудно могат да бъдат измерени количествено, а четири години са кратък период, през който да бъдат реализирани известни ползи, като например промени в организационната култура, и те да станат видими. Въпреки това готовността на ПСЗ да участват в мероприятия за възприемане на добрия опит и за взаимно обучение, както и положителната обратна връзка от ПСЗ показват, че резултатите от Мрежата са много </w:t>
      </w:r>
      <w:r>
        <w:rPr>
          <w:b/>
          <w:noProof/>
        </w:rPr>
        <w:t>ефикасни</w:t>
      </w:r>
      <w:r>
        <w:rPr>
          <w:noProof/>
        </w:rPr>
        <w:t xml:space="preserve"> и се ценят от всички нейни членове. Като цяло по-слабо развитите ПСЗ се възползваха в по-голяма степен от участието си в Мрежата с оглед на постигнатия от тях напредък в работата, но развитите ПСЗ също отбелязаха напредък. В оценката бяха набелязани някои възможности за допълнително увеличаване на ефикасността, като например съсредоточаването върху по-малки и по-целенасочени учебни мероприятия и потенциала за по-широко използване на цифрови решения.</w:t>
      </w:r>
    </w:p>
    <w:p>
      <w:pPr>
        <w:pStyle w:val="Text2"/>
        <w:ind w:left="0"/>
        <w:rPr>
          <w:noProof/>
          <w:color w:val="000000"/>
        </w:rPr>
      </w:pPr>
      <w:r>
        <w:rPr>
          <w:noProof/>
        </w:rPr>
        <w:lastRenderedPageBreak/>
        <w:t>Тя показа</w:t>
      </w:r>
      <w:r>
        <w:rPr>
          <w:b/>
          <w:noProof/>
        </w:rPr>
        <w:t xml:space="preserve"> висока степен на съгласуваност</w:t>
      </w:r>
      <w:r>
        <w:rPr>
          <w:noProof/>
        </w:rPr>
        <w:t xml:space="preserve"> между Решение № 573/2014/ЕС и рамката на политиката на ЕС. Приносът на Мрежата към политическите инициативи на ЕС беше най-обширен при прилагането на гаранцията за младежта и интегрирането на дългосрочно безработните лица на пазара на труда. Мрежата демонстрира гъвкавост за работа по нови теми, като интеграцията на мигрантите и бежанците, предотвратяването на безработицата и справянето с недостига на умения. Работата на Мрежата имаше ясен принос и за изготвянето на по-добър анализ на резултатите на държавите членки в областта на икономиката/заетостта в контекста на европейския семестър.</w:t>
      </w:r>
    </w:p>
    <w:p>
      <w:pPr>
        <w:pBdr>
          <w:top w:val="nil"/>
          <w:left w:val="nil"/>
          <w:bottom w:val="nil"/>
          <w:right w:val="nil"/>
          <w:between w:val="nil"/>
          <w:bar w:val="nil"/>
        </w:pBdr>
        <w:spacing w:before="0" w:after="240"/>
        <w:rPr>
          <w:noProof/>
          <w:color w:val="000000"/>
        </w:rPr>
      </w:pPr>
      <w:r>
        <w:rPr>
          <w:noProof/>
        </w:rPr>
        <w:t>Освен това Мрежата подпомага националните ПСЗ при изпълнението на специфичните за всяка държава препоръки, отправени към държавите членки, относно активните политики по заетостта и във връзка с въпроси, свързани с ПСЗ, в контекста на европейския семестър. В качеството си на ключови участници в усвояването на Европейския социален фонд ПСЗ играят също активна роля в разработването на всеобхватна рамка на политиката за активни политики по заетостта в своите държави членки, като по този начин допринасят за ефективното и ефикасно изразходване на средствата на ЕС.</w:t>
      </w:r>
    </w:p>
    <w:p>
      <w:pPr>
        <w:pStyle w:val="Text2"/>
        <w:ind w:left="0"/>
        <w:rPr>
          <w:rFonts w:eastAsia="Times New Roman"/>
          <w:noProof/>
          <w:szCs w:val="20"/>
        </w:rPr>
      </w:pPr>
      <w:r>
        <w:rPr>
          <w:b/>
          <w:noProof/>
        </w:rPr>
        <w:t>Добавената стойност</w:t>
      </w:r>
      <w:r>
        <w:rPr>
          <w:noProof/>
        </w:rPr>
        <w:t xml:space="preserve"> на Мрежата на ПСЗ се изразява в наличието на структурирана рамка за оценяване на работата и капацитета на ПСЗ и за улесняване на сравнението, взаимното обучение и подобренията. В оценката бяха откроени редица други резултати от Решението, които не съществуваха преди създаването на Мрежата през 2014 г. и нямаше да бъдат постигнати чрез доброволно сътрудничество на националните ПСЗ. Сред важните постижения са постигането на по-голяма ангажираност, предоставянето на индивидуално обучение за ПСЗ и колективно взаимно обучение, постигането на обща позиция и официална платформа при изготвянето на политики на равнище ЕС, както и приносът за целите на стратегията „ЕС 2020“. Оценката показа също така, че финансовата, организационната и експертната подкрепа от ЕС са от съществено значение, за да се гарантира непрекъснатото участие на всички ПСЗ.</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u w:color="000000"/>
          <w:bdr w:val="nil"/>
        </w:rPr>
        <w:t>•</w:t>
      </w:r>
      <w:r>
        <w:rPr>
          <w:noProof/>
          <w:u w:color="000000"/>
          <w:bdr w:val="nil"/>
        </w:rPr>
        <w:tab/>
        <w:t>Консултации със заинтересованите страни</w:t>
      </w:r>
    </w:p>
    <w:p>
      <w:pPr>
        <w:pStyle w:val="Text2"/>
        <w:ind w:left="0"/>
        <w:rPr>
          <w:noProof/>
          <w:color w:val="000000"/>
        </w:rPr>
      </w:pPr>
      <w:r>
        <w:rPr>
          <w:noProof/>
        </w:rPr>
        <w:t>За да се гарантира, че мненията на заинтересованите страни са добре отразени в оценката, в процеса на консултации участваха широк кръг от заинтересовани страни. Сред целевите заинтересовани страни бяха представители на 32-те ПСЗ, които участват в Мрежата</w:t>
      </w:r>
      <w:r>
        <w:rPr>
          <w:rStyle w:val="FootnoteReference"/>
          <w:noProof/>
        </w:rPr>
        <w:footnoteReference w:id="10"/>
      </w:r>
      <w:r>
        <w:rPr>
          <w:noProof/>
        </w:rPr>
        <w:t>, имащи отношение организации и органи на равнище ЕС (например Комитета по заетостта, организирани на равнище ЕС частни служби по заетостта и агенции за временна заетост, Европейската мрежа за разработване на политики за професионално ориентиране през целия живот), имащи отношение международни организации (например МОТ, ОИСР, Световната банка, WAPES), както и секретариата на ПСЗ, изпълнители, бивши членове на Мрежата на ПСЗ или физически лица, участващи във форми на сътрудничество на ПСЗ преди 2014 г. Беше проведен семинар, посветен на оценката, с участието на съветниците на ПСЗ по европейски въпроси. Освен това беше открита обществена консултация в интернет, в която можеха да участват всички заинтересовани страни и обществеността.</w:t>
      </w:r>
    </w:p>
    <w:p>
      <w:pPr>
        <w:pBdr>
          <w:top w:val="nil"/>
          <w:left w:val="nil"/>
          <w:bottom w:val="nil"/>
          <w:right w:val="nil"/>
          <w:between w:val="nil"/>
          <w:bar w:val="nil"/>
        </w:pBdr>
        <w:spacing w:before="0" w:after="240"/>
        <w:rPr>
          <w:rFonts w:eastAsia="Arial Unicode MS"/>
          <w:noProof/>
        </w:rPr>
      </w:pPr>
      <w:r>
        <w:rPr>
          <w:noProof/>
        </w:rPr>
        <w:t xml:space="preserve">Констатациите на различните видове заинтересовани страни са сходни. Има някои разлики по отношение на оценката на ефективността на различните дейности на </w:t>
      </w:r>
      <w:r>
        <w:rPr>
          <w:noProof/>
        </w:rPr>
        <w:lastRenderedPageBreak/>
        <w:t>Мрежата или на това доколко те са допринесли за постигането на всяка цел. Например повечето заинтересовани страни докладваха, че Мрежата си сътрудничи до известна степен с други заинтересовани страни на пазара на труда (както е посочено в член 5 от Решение № 573/2014/ЕС), но че в бъдеще могат да се развият по-тесни отношения с партньори на равнище ЕС и на национално равнище. Мненията на заинтересованите страни са от важно значение за бъдещите приоритети на Мрежата в съответствие с целите на Решение № 573/2014/ЕС.</w:t>
      </w:r>
    </w:p>
    <w:p>
      <w:pPr>
        <w:pStyle w:val="ManualHeading2"/>
        <w:rPr>
          <w:rFonts w:eastAsia="Arial Unicode MS"/>
          <w:noProof/>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За да подкрепят събирането на факти, гледните точки и становищата на заинтересованите страни, както и изготвянето на аналитичната част от оценката беше възложено проучване на външен изпълнител</w:t>
      </w:r>
      <w:r>
        <w:rPr>
          <w:rStyle w:val="FootnoteReference"/>
          <w:noProof/>
        </w:rPr>
        <w:footnoteReference w:id="11"/>
      </w:r>
      <w:r>
        <w:rPr>
          <w:noProof/>
        </w:rPr>
        <w:t>.</w:t>
      </w:r>
    </w:p>
    <w:p>
      <w:pPr>
        <w:pStyle w:val="ManualHeading2"/>
        <w:rPr>
          <w:rFonts w:eastAsia="Arial Unicode MS"/>
          <w:noProof/>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color w:val="000000"/>
        </w:rPr>
      </w:pPr>
      <w:r>
        <w:rPr>
          <w:noProof/>
        </w:rPr>
        <w:t xml:space="preserve">Удължаването на срока на действие на Решение № 573/2014/ЕС предполага продължаване на съществуващата рамка и инициативи. Настоящото предложение се ограничава до удължаване на срока на функциониране на Мрежата в член 1 и някои технически актуализации. Предложението се придружава от посочената по-горе оценка. Настоящото рутинно предложение се определя като неключова инициатива съгласно правилата за по-добро регулиране. </w:t>
      </w:r>
    </w:p>
    <w:p>
      <w:pPr>
        <w:pBdr>
          <w:top w:val="nil"/>
          <w:left w:val="nil"/>
          <w:bottom w:val="nil"/>
          <w:right w:val="nil"/>
          <w:between w:val="nil"/>
          <w:bar w:val="nil"/>
        </w:pBdr>
        <w:spacing w:before="0"/>
        <w:rPr>
          <w:noProof/>
          <w:color w:val="000000"/>
        </w:rPr>
      </w:pPr>
      <w:r>
        <w:rPr>
          <w:noProof/>
        </w:rPr>
        <w:t>Не беше извършена отделна оценка на въздействието, тъй като:</w:t>
      </w:r>
    </w:p>
    <w:p>
      <w:pPr>
        <w:pStyle w:val="Tiret0"/>
        <w:numPr>
          <w:ilvl w:val="0"/>
          <w:numId w:val="11"/>
        </w:numPr>
        <w:rPr>
          <w:noProof/>
        </w:rPr>
      </w:pPr>
      <w:r>
        <w:rPr>
          <w:noProof/>
        </w:rPr>
        <w:t xml:space="preserve">оценката показа, че Решението за ПСЗ функционира добре и не са необходими съществени изменения на съществуващата политика; </w:t>
      </w:r>
    </w:p>
    <w:p>
      <w:pPr>
        <w:pStyle w:val="Tiret0"/>
        <w:rPr>
          <w:noProof/>
        </w:rPr>
      </w:pPr>
      <w:r>
        <w:rPr>
          <w:noProof/>
        </w:rPr>
        <w:t xml:space="preserve">констатациите от оценката подкрепят удължаването на срока на действие на Решението за ПСЗ; </w:t>
      </w:r>
    </w:p>
    <w:p>
      <w:pPr>
        <w:pStyle w:val="Tiret0"/>
        <w:rPr>
          <w:noProof/>
        </w:rPr>
      </w:pPr>
      <w:r>
        <w:rPr>
          <w:noProof/>
        </w:rPr>
        <w:t>оценката (заедно с призива от националните ПСЗ и управителния съвет на Мрежата) вече предоставя достатъчно доказателства, че ако срокът не бъде удължен, това ще доведе до отрицателни последици;</w:t>
      </w:r>
    </w:p>
    <w:p>
      <w:pPr>
        <w:pStyle w:val="Tiret0"/>
        <w:rPr>
          <w:rFonts w:eastAsia="Arial Unicode MS"/>
          <w:noProof/>
        </w:rPr>
      </w:pPr>
      <w:r>
        <w:rPr>
          <w:noProof/>
        </w:rPr>
        <w:t>предложената инициатива следва логически и е в съответствие с констатациите от оценката.</w:t>
      </w:r>
    </w:p>
    <w:p>
      <w:pPr>
        <w:pStyle w:val="ManualHeading2"/>
        <w:rPr>
          <w:rFonts w:eastAsia="Arial Unicode MS"/>
          <w:noProof/>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Решение № 573/2014/ЕС зачита основните права и съблюдава принципите, признати в Хартата на основните права на Европейския съюз. Решението има по-специално за цел да осигури пълно зачитане на правото на достъп до безплатни услуги за намиране на работа и да насърчава прилагането на член 29 от Хартата. Настоящото предложение не предполага промени.</w:t>
      </w:r>
    </w:p>
    <w:p>
      <w:pPr>
        <w:pStyle w:val="ManualHeading1"/>
        <w:rPr>
          <w:rFonts w:eastAsia="Arial Unicode MS"/>
          <w:noProof/>
        </w:rPr>
      </w:pPr>
      <w:r>
        <w:rPr>
          <w:noProof/>
        </w:rPr>
        <w:t>4.</w:t>
      </w:r>
      <w:r>
        <w:rPr>
          <w:noProof/>
        </w:rPr>
        <w:tab/>
        <w:t>ОТРАЖЕНИЕ ВЪРХУ БЮДЖЕТА</w:t>
      </w:r>
    </w:p>
    <w:p>
      <w:pPr>
        <w:pStyle w:val="Text2"/>
        <w:ind w:left="0"/>
        <w:rPr>
          <w:noProof/>
          <w:color w:val="000000"/>
        </w:rPr>
      </w:pPr>
      <w:r>
        <w:rPr>
          <w:noProof/>
        </w:rPr>
        <w:t xml:space="preserve">Предложението не изисква допълнителни ресурси, включително за персонал, от бюджета на ЕС. </w:t>
      </w:r>
    </w:p>
    <w:p>
      <w:pPr>
        <w:pBdr>
          <w:top w:val="nil"/>
          <w:left w:val="nil"/>
          <w:bottom w:val="nil"/>
          <w:right w:val="nil"/>
          <w:between w:val="nil"/>
          <w:bar w:val="nil"/>
        </w:pBdr>
        <w:spacing w:before="0" w:after="240"/>
        <w:rPr>
          <w:rFonts w:eastAsia="Arial Unicode MS"/>
          <w:noProof/>
        </w:rPr>
      </w:pPr>
      <w:r>
        <w:rPr>
          <w:noProof/>
        </w:rPr>
        <w:t>Финансовата подкрепа за Мрежата на публичните служби по заетостта на равнището на Съюза вече е предвидена в предложението за Регламент за ЕСФ+ за периода 2021—2027 г. в рамките на предложения бюджет по направлението „EaSI“</w:t>
      </w:r>
      <w:r>
        <w:rPr>
          <w:rStyle w:val="FootnoteReference"/>
          <w:noProof/>
        </w:rPr>
        <w:footnoteReference w:id="12"/>
      </w:r>
      <w:r>
        <w:rPr>
          <w:noProof/>
        </w:rPr>
        <w:t xml:space="preserve">. Съответните </w:t>
      </w:r>
      <w:r>
        <w:rPr>
          <w:noProof/>
        </w:rPr>
        <w:lastRenderedPageBreak/>
        <w:t>разходи са просто продължение на подкрепата за Мрежата, която вече е предоставена в рамките на текущия програмен период 2014—2020 г.</w:t>
      </w:r>
    </w:p>
    <w:p>
      <w:pPr>
        <w:pStyle w:val="ManualHeading1"/>
        <w:rPr>
          <w:noProof/>
        </w:rPr>
      </w:pPr>
      <w:r>
        <w:rPr>
          <w:noProof/>
        </w:rPr>
        <w:t>5.</w:t>
      </w:r>
      <w:r>
        <w:rPr>
          <w:noProof/>
        </w:rPr>
        <w:tab/>
        <w:t>ДРУГИ ЕЛЕМЕНТИ</w:t>
      </w:r>
    </w:p>
    <w:p>
      <w:pPr>
        <w:pStyle w:val="ManualHeading2"/>
        <w:rPr>
          <w:rFonts w:eastAsia="Arial Unicode MS"/>
          <w:noProof/>
        </w:rPr>
      </w:pPr>
      <w:r>
        <w:rPr>
          <w:noProof/>
          <w:u w:color="000000"/>
          <w:bdr w:val="nil"/>
        </w:rPr>
        <w:t>•</w:t>
      </w:r>
      <w:r>
        <w:rPr>
          <w:noProof/>
          <w:u w:color="000000"/>
          <w:bdr w:val="nil"/>
        </w:rPr>
        <w:tab/>
        <w:t>Планове за изпълнение и механизми за наблюдение, оценка и докладване</w:t>
      </w:r>
    </w:p>
    <w:p>
      <w:pPr>
        <w:pStyle w:val="Text2"/>
        <w:ind w:left="0"/>
        <w:rPr>
          <w:noProof/>
          <w:color w:val="000000"/>
        </w:rPr>
      </w:pPr>
      <w:r>
        <w:rPr>
          <w:noProof/>
        </w:rPr>
        <w:t xml:space="preserve">Мрежата изработва годишни доклади, които се изпращат на Европейския парламент и на Съвета и се публикуват. </w:t>
      </w:r>
    </w:p>
    <w:p>
      <w:pPr>
        <w:pBdr>
          <w:top w:val="nil"/>
          <w:left w:val="nil"/>
          <w:bottom w:val="nil"/>
          <w:right w:val="nil"/>
          <w:between w:val="nil"/>
          <w:bar w:val="nil"/>
        </w:pBdr>
        <w:spacing w:before="0" w:after="240"/>
        <w:rPr>
          <w:rFonts w:eastAsia="Arial Unicode MS"/>
          <w:noProof/>
        </w:rPr>
      </w:pPr>
      <w:r>
        <w:rPr>
          <w:noProof/>
        </w:rPr>
        <w:t>До септември 2026 г. на Европейския парламент, Съвета, Европейския икономически и социален комитет и Комитета на регионите се представя оценка относно изпълнението на предложението.</w:t>
      </w:r>
    </w:p>
    <w:p>
      <w:pPr>
        <w:pBdr>
          <w:top w:val="nil"/>
          <w:left w:val="nil"/>
          <w:bottom w:val="nil"/>
          <w:right w:val="nil"/>
          <w:between w:val="nil"/>
          <w:bar w:val="nil"/>
        </w:pBdr>
        <w:spacing w:before="0" w:after="240"/>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2019/0188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 573/2014/ЕС за укрепване на сътрудничеството между публичните служби по заетостта (ПСЗ)</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149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3"/>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Решение № 573/2014/ЕС на Европейския парламент и на Съвета</w:t>
      </w:r>
      <w:r>
        <w:rPr>
          <w:rStyle w:val="FootnoteReference"/>
          <w:noProof/>
        </w:rPr>
        <w:footnoteReference w:id="15"/>
      </w:r>
      <w:r>
        <w:rPr>
          <w:noProof/>
        </w:rPr>
        <w:t xml:space="preserve"> се създава Европейската мрежа на публичните служби по заетостта („Мрежата“) от 17 юни 2014 г. до 31 декември 2020 г.</w:t>
      </w:r>
    </w:p>
    <w:p>
      <w:pPr>
        <w:pStyle w:val="ManualConsidrant"/>
        <w:rPr>
          <w:noProof/>
        </w:rPr>
      </w:pPr>
      <w:r>
        <w:t>(2)</w:t>
      </w:r>
      <w:r>
        <w:tab/>
      </w:r>
      <w:r>
        <w:rPr>
          <w:noProof/>
        </w:rPr>
        <w:t>Целта на Мрежата е да се укрепят капацитетът на публичните служби по заетостта (ПСЗ) и тяхната ефективност и ефикасност чрез осигуряването на платформа за сравнение на резултатите от работата им на европейско равнище, за установяване на добри практики и за развиване на система за взаимно обучение. Освен това се цели да се дадат повече възможности на ПСЗ да подпомогнат разработването на новаторски и основани на факти политики в съответствие с политическите инициативи на Съюза в тази област.</w:t>
      </w:r>
    </w:p>
    <w:p>
      <w:pPr>
        <w:pStyle w:val="ManualConsidrant"/>
        <w:rPr>
          <w:noProof/>
        </w:rPr>
      </w:pPr>
      <w:r>
        <w:t>(3)</w:t>
      </w:r>
      <w:r>
        <w:tab/>
      </w:r>
      <w:r>
        <w:rPr>
          <w:noProof/>
        </w:rPr>
        <w:t>Мрежата изигра ключова роля за насърчаване на по-нататъшното сътрудничество между държавите членки в областите на отговорност на ПСЗ и допринася за модернизирането и укрепването на ПСЗ. Беше извършена оценка на изпълнението на Решение № 573/2014/ЕС</w:t>
      </w:r>
      <w:r>
        <w:rPr>
          <w:rStyle w:val="FootnoteReference"/>
          <w:noProof/>
        </w:rPr>
        <w:footnoteReference w:id="16"/>
      </w:r>
      <w:r>
        <w:rPr>
          <w:noProof/>
        </w:rPr>
        <w:t>, която показа, че Мрежата е оказала положително въздействие, и идентифицира извлечените поуки въз основа на различните дейности и опит.</w:t>
      </w:r>
    </w:p>
    <w:p>
      <w:pPr>
        <w:pStyle w:val="ManualConsidrant"/>
        <w:rPr>
          <w:noProof/>
        </w:rPr>
      </w:pPr>
      <w:r>
        <w:lastRenderedPageBreak/>
        <w:t>(4)</w:t>
      </w:r>
      <w:r>
        <w:tab/>
      </w:r>
      <w:r>
        <w:rPr>
          <w:noProof/>
        </w:rPr>
        <w:t>За да се извлече полза от постигнатите до момента резултати и допълнително да се насърчи сътрудничеството между ПСЗ, срокът на функциониране на Мрежата следва да бъде удължен до 31 декември 2027 г.</w:t>
      </w:r>
    </w:p>
    <w:p>
      <w:pPr>
        <w:pStyle w:val="ManualConsidrant"/>
        <w:rPr>
          <w:noProof/>
        </w:rPr>
      </w:pPr>
      <w:r>
        <w:t>(5)</w:t>
      </w:r>
      <w:r>
        <w:tab/>
      </w:r>
      <w:r>
        <w:rPr>
          <w:noProof/>
        </w:rPr>
        <w:t>Запазването на Мрежата ще съдейства за изпълнението на Европейския стълб на социалните права, сред чиито принципи е предоставянето на активна подкрепа за заетостта. Освен това то ще способства за постигането на цел № 8 за устойчиво развитие на Програмата на ООН до 2030 г. за устойчиво развитие, като допринесе за приобщаващ и устойчив икономически растеж, заетост и достойни условия на труд за всички.</w:t>
      </w:r>
    </w:p>
    <w:p>
      <w:pPr>
        <w:pStyle w:val="ManualConsidrant"/>
        <w:rPr>
          <w:noProof/>
        </w:rPr>
      </w:pPr>
      <w:r>
        <w:t>(6)</w:t>
      </w:r>
      <w:r>
        <w:tab/>
      </w:r>
      <w:r>
        <w:rPr>
          <w:noProof/>
        </w:rPr>
        <w:t>Мрежата следва да продължи да организира сътрудничеството и контактите с други заинтересовани страни на пазара на труда с цел да стимулира изграждането на синергии между тях, включително по-специално сътрудничество с агенциите на Съюза в областта на заетостта, социалната политика, образованието и обучението, за да се гарантира съгласувана политическа рамка.</w:t>
      </w:r>
    </w:p>
    <w:p>
      <w:pPr>
        <w:pStyle w:val="ManualConsidrant"/>
        <w:rPr>
          <w:noProof/>
        </w:rPr>
      </w:pPr>
      <w:r>
        <w:t>(7)</w:t>
      </w:r>
      <w:r>
        <w:tab/>
      </w:r>
      <w:r>
        <w:rPr>
          <w:noProof/>
        </w:rPr>
        <w:t>Съюзът следва да предостави финансова подкрепа за Мрежата в съответствие с многогодишната финансова рамка за периода 2021—2027 г.</w:t>
      </w:r>
    </w:p>
    <w:p>
      <w:pPr>
        <w:pStyle w:val="ManualConsidrant"/>
        <w:rPr>
          <w:noProof/>
        </w:rPr>
      </w:pPr>
      <w:r>
        <w:t>(8)</w:t>
      </w:r>
      <w:r>
        <w:tab/>
      </w:r>
      <w:r>
        <w:rPr>
          <w:noProof/>
        </w:rPr>
        <w:t>Поради това Решение № 573/2014/ЕС следва да бъде съответно изменено.</w:t>
      </w:r>
    </w:p>
    <w:p>
      <w:pPr>
        <w:pStyle w:val="ManualConsidrant"/>
        <w:rPr>
          <w:noProof/>
        </w:rPr>
      </w:pPr>
      <w:r>
        <w:t>(9)</w:t>
      </w:r>
      <w:r>
        <w:tab/>
      </w:r>
      <w:r>
        <w:rPr>
          <w:noProof/>
        </w:rPr>
        <w:t>С цел да се гарантира безпроблемното продължаване на дейността на Мрежата, настоящото решение следва да се прилага от 1 януари 2021 г.</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szCs w:val="24"/>
        </w:rPr>
      </w:pPr>
      <w:r>
        <w:rPr>
          <w:noProof/>
        </w:rPr>
        <w:t>Решение № 573/2014/ЕС се изменя, както следва:</w:t>
      </w:r>
    </w:p>
    <w:p>
      <w:pPr>
        <w:pStyle w:val="Point0"/>
        <w:rPr>
          <w:noProof/>
          <w:szCs w:val="24"/>
        </w:rPr>
      </w:pPr>
      <w:r>
        <w:t>(1)</w:t>
      </w:r>
      <w:r>
        <w:tab/>
      </w:r>
      <w:r>
        <w:rPr>
          <w:noProof/>
        </w:rPr>
        <w:t>В член 1 първата алинея се заменя със следното:</w:t>
      </w:r>
    </w:p>
    <w:p>
      <w:pPr>
        <w:rPr>
          <w:noProof/>
          <w:szCs w:val="24"/>
        </w:rPr>
      </w:pPr>
      <w:r>
        <w:rPr>
          <w:noProof/>
        </w:rPr>
        <w:t>„Създава се Мрежа на публичните служби по заетостта (ПСЗ) на равнището на Съюза (наричана по-долу „Мрежата“) за периода до</w:t>
      </w:r>
      <w:r>
        <w:t xml:space="preserve"> </w:t>
      </w:r>
      <w:r>
        <w:rPr>
          <w:noProof/>
        </w:rPr>
        <w:t xml:space="preserve">31 декември 2027 г.“ </w:t>
      </w:r>
    </w:p>
    <w:p>
      <w:pPr>
        <w:pStyle w:val="Point0"/>
        <w:rPr>
          <w:noProof/>
          <w:szCs w:val="24"/>
        </w:rPr>
      </w:pPr>
      <w:r>
        <w:t>(2)</w:t>
      </w:r>
      <w:r>
        <w:tab/>
      </w:r>
      <w:r>
        <w:rPr>
          <w:noProof/>
        </w:rPr>
        <w:t>В член 3 уводната част се заменя със следното:</w:t>
      </w:r>
    </w:p>
    <w:p>
      <w:pPr>
        <w:rPr>
          <w:noProof/>
          <w:szCs w:val="24"/>
        </w:rPr>
      </w:pPr>
      <w:r>
        <w:rPr>
          <w:noProof/>
        </w:rPr>
        <w:t>„Целта на настоящото решение е да се насърчи сътрудничеството между държавите членки в областта на заетостта посредством Мрежата в областите, за които ПСЗ отговарят, за да се допринесе за осъществяването на политиките на Съюза в областта на заетостта. Това ще спомогне също така за изпълнението на Европейския стълб на социалните права и целите на ООН за устойчиво развитие, като по този начин се оказва подкрепа за:“</w:t>
      </w:r>
    </w:p>
    <w:p>
      <w:pPr>
        <w:pStyle w:val="Point0"/>
        <w:rPr>
          <w:noProof/>
          <w:szCs w:val="24"/>
        </w:rPr>
      </w:pPr>
      <w:r>
        <w:t>(3)</w:t>
      </w:r>
      <w:r>
        <w:tab/>
      </w:r>
      <w:r>
        <w:rPr>
          <w:noProof/>
        </w:rPr>
        <w:t>Член 4, параграф 1, буква в) се заменя със следното:</w:t>
      </w:r>
    </w:p>
    <w:p>
      <w:pPr>
        <w:rPr>
          <w:noProof/>
          <w:szCs w:val="24"/>
        </w:rPr>
      </w:pPr>
      <w:r>
        <w:rPr>
          <w:noProof/>
        </w:rPr>
        <w:t>„в) принос за модернизирането и укрепването на ПСЗ в ключови области в съответствие с политиките на Съюза в областта на заетостта, Европейския стълб на социалните права и целите за устойчиво развитие;“</w:t>
      </w:r>
    </w:p>
    <w:p>
      <w:pPr>
        <w:pStyle w:val="Point0"/>
        <w:rPr>
          <w:noProof/>
        </w:rPr>
      </w:pPr>
      <w:r>
        <w:t>(4)</w:t>
      </w:r>
      <w:r>
        <w:tab/>
      </w:r>
      <w:r>
        <w:rPr>
          <w:noProof/>
        </w:rPr>
        <w:t>Член 5 се заменя със следния текст:</w:t>
      </w:r>
    </w:p>
    <w:p>
      <w:pPr>
        <w:rPr>
          <w:noProof/>
          <w:szCs w:val="24"/>
        </w:rPr>
      </w:pPr>
      <w:r>
        <w:rPr>
          <w:noProof/>
        </w:rPr>
        <w:tab/>
      </w:r>
      <w:r>
        <w:rPr>
          <w:noProof/>
        </w:rPr>
        <w:tab/>
      </w:r>
      <w:r>
        <w:rPr>
          <w:noProof/>
        </w:rPr>
        <w:tab/>
      </w:r>
      <w:r>
        <w:rPr>
          <w:noProof/>
        </w:rPr>
        <w:tab/>
      </w:r>
      <w:r>
        <w:rPr>
          <w:noProof/>
        </w:rPr>
        <w:tab/>
        <w:t>„Сътрудничество</w:t>
      </w:r>
    </w:p>
    <w:p>
      <w:pPr>
        <w:rPr>
          <w:noProof/>
          <w:szCs w:val="24"/>
        </w:rPr>
      </w:pPr>
      <w:r>
        <w:rPr>
          <w:noProof/>
        </w:rPr>
        <w:t xml:space="preserve">Мрежата развива сътрудничество със съответните заинтересовани страни на пазара на труда, включително с останалите доставчици на услуги в областта на заетостта, и когато е целесъобразно — с агенциите на ЕС в областта на заетостта, социалната </w:t>
      </w:r>
      <w:r>
        <w:rPr>
          <w:noProof/>
        </w:rPr>
        <w:lastRenderedPageBreak/>
        <w:t>политика и образованието и обучението, социалните партньори, организациите, представляващи безработни лица или уязвими групи, неправителствените организации, работещи в областта на заетостта, и регионалните и местните органи, като ги включва в съответните дейности и заседания на Мрежата и обменя с тях информация и данни.“</w:t>
      </w:r>
    </w:p>
    <w:p>
      <w:pPr>
        <w:pStyle w:val="Point0"/>
        <w:rPr>
          <w:noProof/>
        </w:rPr>
      </w:pPr>
      <w:r>
        <w:t>(5)</w:t>
      </w:r>
      <w:r>
        <w:tab/>
      </w:r>
      <w:r>
        <w:rPr>
          <w:noProof/>
        </w:rPr>
        <w:t>Член 7 се заменя със следния текст:</w:t>
      </w:r>
    </w:p>
    <w:p>
      <w:pPr>
        <w:pStyle w:val="NormalCentered"/>
        <w:rPr>
          <w:noProof/>
        </w:rPr>
      </w:pPr>
      <w:r>
        <w:rPr>
          <w:noProof/>
        </w:rPr>
        <w:t>„Финансова подкрепа</w:t>
      </w:r>
    </w:p>
    <w:p>
      <w:pPr>
        <w:rPr>
          <w:noProof/>
          <w:szCs w:val="24"/>
        </w:rPr>
      </w:pPr>
      <w:r>
        <w:rPr>
          <w:noProof/>
        </w:rPr>
        <w:t>Общият размер на ресурсите, отделени за изпълнението на настоящото решение, се определя в съответствие със следващата многогодишна финансова рамка за периода 2021—2027 г. по целесъобразност, като годишните бюджетни кредити се разрешават от Европейския парламент и от Съвета в границите на финансовата рамка.“</w:t>
      </w:r>
    </w:p>
    <w:p>
      <w:pPr>
        <w:pStyle w:val="Point0"/>
        <w:rPr>
          <w:noProof/>
          <w:szCs w:val="24"/>
        </w:rPr>
      </w:pPr>
      <w:r>
        <w:t>(6)</w:t>
      </w:r>
      <w:r>
        <w:tab/>
      </w:r>
      <w:r>
        <w:rPr>
          <w:noProof/>
        </w:rPr>
        <w:t>В член 9 параграф 2 се заменя със следното:</w:t>
      </w:r>
    </w:p>
    <w:p>
      <w:pPr>
        <w:rPr>
          <w:noProof/>
        </w:rPr>
      </w:pPr>
      <w:r>
        <w:rPr>
          <w:noProof/>
        </w:rPr>
        <w:t>„Делегирането на правомощия, посочено в член 8, се предоставя на Комисията до 31 декември 2027 г.“</w:t>
      </w:r>
    </w:p>
    <w:p>
      <w:pPr>
        <w:pStyle w:val="Point0"/>
        <w:rPr>
          <w:noProof/>
        </w:rPr>
      </w:pPr>
      <w:r>
        <w:t>(7)</w:t>
      </w:r>
      <w:r>
        <w:tab/>
      </w:r>
      <w:r>
        <w:rPr>
          <w:noProof/>
        </w:rPr>
        <w:t>Член 10 се заменя със следния текст:</w:t>
      </w:r>
    </w:p>
    <w:p>
      <w:pPr>
        <w:pStyle w:val="NormalCentered"/>
        <w:rPr>
          <w:noProof/>
        </w:rPr>
      </w:pPr>
      <w:r>
        <w:rPr>
          <w:noProof/>
        </w:rPr>
        <w:t>„Преглед</w:t>
      </w:r>
    </w:p>
    <w:p>
      <w:pPr>
        <w:rPr>
          <w:noProof/>
        </w:rPr>
      </w:pPr>
      <w:r>
        <w:rPr>
          <w:noProof/>
        </w:rPr>
        <w:t>До септември 2026 г. Комисията представя на Европейския парламент, Съвета, Европейския икономически и социален комитет и Комитета на регионите оценка за прилагането на настоящото решение.“</w:t>
      </w:r>
    </w:p>
    <w:p>
      <w:pPr>
        <w:pStyle w:val="Titrearticle"/>
        <w:rPr>
          <w:noProof/>
        </w:rPr>
      </w:pPr>
      <w:r>
        <w:rPr>
          <w:noProof/>
        </w:rPr>
        <w:t>Член 2</w:t>
      </w:r>
    </w:p>
    <w:p>
      <w:pPr>
        <w:keepNext/>
        <w:keepLines/>
        <w:rPr>
          <w:i/>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r>
        <w:rPr>
          <w:i/>
          <w:noProof/>
        </w:rPr>
        <w:t xml:space="preserve"> </w:t>
      </w:r>
    </w:p>
    <w:p>
      <w:pPr>
        <w:keepNext/>
        <w:keepLines/>
        <w:rPr>
          <w:noProof/>
        </w:rPr>
      </w:pPr>
      <w:r>
        <w:rPr>
          <w:noProof/>
        </w:rPr>
        <w:t>То се прилага от 1 януари 2021 г.</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https://ec.europa.eu/social/BlobServlet?docId=20613&amp;langId=en</w:t>
        </w:r>
      </w:hyperlink>
      <w:r>
        <w:t>, вж. стр. 1.</w:t>
      </w:r>
    </w:p>
  </w:footnote>
  <w:footnote w:id="2">
    <w:p>
      <w:pPr>
        <w:pStyle w:val="FootnoteText"/>
        <w:rPr>
          <w:sz w:val="18"/>
          <w:szCs w:val="18"/>
        </w:rPr>
      </w:pPr>
      <w:r>
        <w:rPr>
          <w:rStyle w:val="FootnoteReference"/>
        </w:rPr>
        <w:footnoteRef/>
      </w:r>
      <w:r>
        <w:rPr>
          <w:sz w:val="18"/>
          <w:szCs w:val="18"/>
        </w:rPr>
        <w:tab/>
        <w:t xml:space="preserve">Работен документ на службите на Комисията </w:t>
      </w:r>
      <w:r>
        <w:rPr>
          <w:sz w:val="18"/>
        </w:rPr>
        <w:t>SWD (2019)</w:t>
      </w:r>
      <w:r>
        <w:rPr>
          <w:sz w:val="18"/>
          <w:szCs w:val="18"/>
        </w:rPr>
        <w:t xml:space="preserve">1350 </w:t>
      </w:r>
    </w:p>
  </w:footnote>
  <w:footnote w:id="3">
    <w:p>
      <w:pPr>
        <w:pStyle w:val="FootnoteText"/>
        <w:ind w:right="-425"/>
        <w:jc w:val="left"/>
        <w:rPr>
          <w:sz w:val="18"/>
          <w:szCs w:val="18"/>
        </w:rPr>
      </w:pPr>
      <w:r>
        <w:rPr>
          <w:rStyle w:val="FootnoteReference"/>
        </w:rPr>
        <w:footnoteRef/>
      </w:r>
      <w:r>
        <w:rPr>
          <w:sz w:val="18"/>
          <w:szCs w:val="18"/>
        </w:rPr>
        <w:tab/>
        <w:t>https://ec.europa.eu/commission/sites/beta-political/files/social-summit-european-pillar-social-rights-booklet_bg.pdf</w:t>
      </w:r>
    </w:p>
  </w:footnote>
  <w:footnote w:id="4">
    <w:p>
      <w:pPr>
        <w:pStyle w:val="FootnoteText"/>
        <w:rPr>
          <w:sz w:val="18"/>
          <w:szCs w:val="18"/>
        </w:rPr>
      </w:pPr>
      <w:r>
        <w:rPr>
          <w:rStyle w:val="FootnoteReference"/>
        </w:rPr>
        <w:footnoteRef/>
      </w:r>
      <w:r>
        <w:rPr>
          <w:sz w:val="18"/>
          <w:szCs w:val="18"/>
        </w:rPr>
        <w:tab/>
      </w:r>
      <w:hyperlink r:id="rId2" w:history="1">
        <w:r>
          <w:t>https://eur-lex.europa.eu/eli/reg/2016/589/oj?locale=bg</w:t>
        </w:r>
      </w:hyperlink>
    </w:p>
  </w:footnote>
  <w:footnote w:id="5">
    <w:p>
      <w:pPr>
        <w:pStyle w:val="FootnoteText"/>
      </w:pPr>
      <w:r>
        <w:rPr>
          <w:rStyle w:val="FootnoteReference"/>
        </w:rPr>
        <w:footnoteRef/>
      </w:r>
      <w:r>
        <w:tab/>
      </w:r>
      <w:hyperlink r:id="rId3" w:history="1">
        <w:r>
          <w:rPr>
            <w:rStyle w:val="Hyperlink"/>
          </w:rPr>
          <w:t>https://ela.europa.eu/</w:t>
        </w:r>
      </w:hyperlink>
    </w:p>
  </w:footnote>
  <w:footnote w:id="6">
    <w:p>
      <w:pPr>
        <w:pStyle w:val="FootnoteText"/>
        <w:rPr>
          <w:sz w:val="18"/>
          <w:szCs w:val="18"/>
        </w:rPr>
      </w:pPr>
      <w:r>
        <w:rPr>
          <w:rStyle w:val="FootnoteReference"/>
        </w:rPr>
        <w:footnoteRef/>
      </w:r>
      <w:r>
        <w:rPr>
          <w:sz w:val="18"/>
          <w:szCs w:val="18"/>
        </w:rPr>
        <w:tab/>
      </w:r>
      <w:r>
        <w:rPr>
          <w:sz w:val="19"/>
          <w:szCs w:val="19"/>
        </w:rPr>
        <w:t>https://ec.europa.eu/europeaid/sites/devco/files/european-consensus-on-development-final-20170626_en.pdf</w:t>
      </w:r>
    </w:p>
  </w:footnote>
  <w:footnote w:id="7">
    <w:p>
      <w:pPr>
        <w:pStyle w:val="FootnoteText"/>
        <w:rPr>
          <w:sz w:val="18"/>
          <w:szCs w:val="18"/>
        </w:rPr>
      </w:pPr>
      <w:r>
        <w:rPr>
          <w:rStyle w:val="FootnoteReference"/>
        </w:rPr>
        <w:footnoteRef/>
      </w:r>
      <w:r>
        <w:rPr>
          <w:sz w:val="18"/>
          <w:szCs w:val="18"/>
        </w:rPr>
        <w:tab/>
      </w:r>
      <w:hyperlink r:id="rId4" w:history="1">
        <w:r>
          <w:t>https://sustainabledevelopment.un.org/topics/sustainabledevelopmentgoals</w:t>
        </w:r>
      </w:hyperlink>
    </w:p>
  </w:footnote>
  <w:footnote w:id="8">
    <w:p>
      <w:pPr>
        <w:pStyle w:val="FootnoteText"/>
      </w:pPr>
      <w:r>
        <w:rPr>
          <w:rStyle w:val="FootnoteReference"/>
        </w:rPr>
        <w:footnoteRef/>
      </w:r>
      <w:r>
        <w:tab/>
      </w:r>
      <w:hyperlink r:id="rId5" w:history="1">
        <w:r>
          <w:rPr>
            <w:rStyle w:val="Hyperlink"/>
          </w:rPr>
          <w:t>https://publications.europa.eu/bg/home</w:t>
        </w:r>
      </w:hyperlink>
    </w:p>
  </w:footnote>
  <w:footnote w:id="9">
    <w:p>
      <w:pPr>
        <w:pStyle w:val="FootnoteText"/>
      </w:pPr>
      <w:r>
        <w:rPr>
          <w:rStyle w:val="FootnoteReference"/>
        </w:rPr>
        <w:footnoteRef/>
      </w:r>
      <w:r>
        <w:tab/>
      </w:r>
      <w:hyperlink r:id="rId6" w:history="1">
        <w:r>
          <w:rPr>
            <w:rStyle w:val="Hyperlink"/>
          </w:rPr>
          <w:t>https://ec.europa.eu/info/law/law-making-process/planning-and-proposing-law/better-regulation-why-and-how_bg</w:t>
        </w:r>
      </w:hyperlink>
    </w:p>
  </w:footnote>
  <w:footnote w:id="10">
    <w:p>
      <w:pPr>
        <w:pStyle w:val="FootnoteText"/>
        <w:rPr>
          <w:sz w:val="18"/>
          <w:szCs w:val="18"/>
        </w:rPr>
      </w:pPr>
      <w:r>
        <w:rPr>
          <w:rStyle w:val="FootnoteReference"/>
        </w:rPr>
        <w:footnoteRef/>
      </w:r>
      <w:r>
        <w:rPr>
          <w:sz w:val="18"/>
          <w:szCs w:val="18"/>
        </w:rPr>
        <w:tab/>
        <w:t>Мрежата на ПСЗ включва ПСЗ от всяка от държавите — членки на ЕС-28, както и от Исландия и Норвегия (общо 30 държави). Тъй като обаче от Белгия участват три ПСЗ, общият брой на ПСЗ, участващи в Мрежата, е 32.</w:t>
      </w:r>
    </w:p>
  </w:footnote>
  <w:footnote w:id="11">
    <w:p>
      <w:pPr>
        <w:pStyle w:val="FootnoteText"/>
        <w:ind w:left="0" w:firstLine="0"/>
        <w:rPr>
          <w:sz w:val="18"/>
          <w:szCs w:val="18"/>
        </w:rPr>
      </w:pPr>
      <w:r>
        <w:rPr>
          <w:rStyle w:val="FootnoteReference"/>
        </w:rPr>
        <w:footnoteRef/>
      </w:r>
      <w:r>
        <w:rPr>
          <w:sz w:val="18"/>
          <w:szCs w:val="18"/>
        </w:rPr>
        <w:tab/>
      </w:r>
      <w:hyperlink r:id="rId7" w:history="1">
        <w:r>
          <w:rPr>
            <w:rStyle w:val="Hyperlink"/>
          </w:rPr>
          <w:t>https://publications.europa.eu/bg/home</w:t>
        </w:r>
      </w:hyperlink>
    </w:p>
  </w:footnote>
  <w:footnote w:id="12">
    <w:p>
      <w:pPr>
        <w:pStyle w:val="FootnoteText"/>
        <w:rPr>
          <w:sz w:val="18"/>
          <w:szCs w:val="18"/>
        </w:rPr>
      </w:pPr>
      <w:r>
        <w:rPr>
          <w:rStyle w:val="FootnoteReference"/>
        </w:rPr>
        <w:footnoteRef/>
      </w:r>
      <w:r>
        <w:rPr>
          <w:sz w:val="18"/>
          <w:szCs w:val="18"/>
        </w:rPr>
        <w:tab/>
        <w:t>COM(2018)382 final</w:t>
      </w:r>
    </w:p>
  </w:footnote>
  <w:footnote w:id="13">
    <w:p>
      <w:pPr>
        <w:pStyle w:val="FootnoteText"/>
        <w:rPr>
          <w:sz w:val="18"/>
          <w:szCs w:val="18"/>
        </w:rPr>
      </w:pPr>
      <w:r>
        <w:rPr>
          <w:rStyle w:val="FootnoteReference"/>
        </w:rPr>
        <w:footnoteRef/>
      </w:r>
      <w:r>
        <w:tab/>
      </w:r>
      <w:r>
        <w:rPr>
          <w:sz w:val="18"/>
          <w:szCs w:val="18"/>
        </w:rPr>
        <w:t>OВ C […], […] г., стр. […].</w:t>
      </w:r>
    </w:p>
  </w:footnote>
  <w:footnote w:id="14">
    <w:p>
      <w:pPr>
        <w:pStyle w:val="FootnoteText"/>
      </w:pPr>
      <w:r>
        <w:rPr>
          <w:rStyle w:val="FootnoteReference"/>
        </w:rPr>
        <w:footnoteRef/>
      </w:r>
      <w:r>
        <w:tab/>
      </w:r>
      <w:r>
        <w:rPr>
          <w:sz w:val="18"/>
          <w:szCs w:val="18"/>
        </w:rPr>
        <w:t>OВ C […], […] г., стр. […].</w:t>
      </w:r>
    </w:p>
  </w:footnote>
  <w:footnote w:id="15">
    <w:p>
      <w:pPr>
        <w:pStyle w:val="FootnoteText"/>
      </w:pPr>
      <w:r>
        <w:rPr>
          <w:rStyle w:val="FootnoteReference"/>
        </w:rPr>
        <w:footnoteRef/>
      </w:r>
      <w:r>
        <w:tab/>
      </w:r>
      <w:hyperlink r:id="rId8" w:history="1">
        <w:r>
          <w:rPr>
            <w:rStyle w:val="Hyperlink"/>
            <w:sz w:val="18"/>
            <w:szCs w:val="18"/>
          </w:rPr>
          <w:t>Решение № 573/2014/ЕС на Европейския парламент и на Съвета от 15 май 2014 г. за укрепване на сътрудничеството между публичните служби по заетостта (ПСЗ), (ОВ L 159, 28.5.2014 г., стр. 32)</w:t>
        </w:r>
      </w:hyperlink>
      <w:r>
        <w:rPr>
          <w:sz w:val="18"/>
          <w:szCs w:val="18"/>
        </w:rPr>
        <w:t>.</w:t>
      </w:r>
    </w:p>
  </w:footnote>
  <w:footnote w:id="16">
    <w:p>
      <w:pPr>
        <w:pStyle w:val="FootnoteText"/>
        <w:ind w:left="0" w:firstLine="0"/>
        <w:jc w:val="left"/>
        <w:rPr>
          <w:sz w:val="18"/>
          <w:szCs w:val="18"/>
        </w:rPr>
      </w:pPr>
      <w:r>
        <w:rPr>
          <w:rStyle w:val="FootnoteReference"/>
        </w:rPr>
        <w:footnoteRef/>
      </w:r>
      <w:r>
        <w:rPr>
          <w:sz w:val="18"/>
          <w:szCs w:val="18"/>
        </w:rPr>
        <w:tab/>
        <w:t>Работен документ на службите на Комисията SWD(2019)1350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D23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3225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0E73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984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2E2A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6CF3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6EA8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29CB6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5 08:31: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E022D612-2FA5-43F8-B5FC-4AA65FB3170D"/>
    <w:docVar w:name="LW_COVERPAGE_TYPE" w:val="1"/>
    <w:docVar w:name="LW_CROSSREFERENCE" w:val="{SWD(2019) 319 final} - {SWD(2019) 1350 final}"/>
    <w:docVar w:name="LW_DocType" w:val="COM"/>
    <w:docVar w:name="LW_EMISSION" w:val="11.9.2019"/>
    <w:docVar w:name="LW_EMISSION_ISODATE" w:val="2019-09-11"/>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8"/>
    <w:docVar w:name="LW_REF.II.NEW.CP_YEAR" w:val="2019"/>
    <w:docVar w:name="LW_REF.INST.NEW" w:val="COM"/>
    <w:docVar w:name="LW_REF.INST.NEW_ADOPTED" w:val="final"/>
    <w:docVar w:name="LW_REF.INST.NEW_TEXT" w:val="(2019)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8470? 573/2014/\u1045?\u1057? \u1079?\u1072? \u1091?\u1082?\u1088?\u1077?\u1087?\u1074?\u1072?\u1085?\u1077? \u1085?\u1072? \u1089?\u1098?\u1090?\u1088?\u1091?\u1076?\u1085?\u1080?\u1095?\u1077?\u1089?\u1090?\u1074?\u1086?\u1090?\u1086? \u1084?\u1077?\u1078?\u1076?\u1091? \u1087?\u1091?\u1073?\u1083?\u1080?\u1095?\u1085?\u1080?\u1090?\u1077? \u1089?\u1083?\u1091?\u1078?\u1073?\u1080? \u1087?\u1086? \u1079?\u1072?\u1077?\u1090?\u1086?\u1089?\u1090?\u1090?\u1072? (\u1055?\u1057?\u1047?)"/>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3124">
      <w:bodyDiv w:val="1"/>
      <w:marLeft w:val="0"/>
      <w:marRight w:val="0"/>
      <w:marTop w:val="0"/>
      <w:marBottom w:val="0"/>
      <w:divBdr>
        <w:top w:val="none" w:sz="0" w:space="0" w:color="auto"/>
        <w:left w:val="none" w:sz="0" w:space="0" w:color="auto"/>
        <w:bottom w:val="none" w:sz="0" w:space="0" w:color="auto"/>
        <w:right w:val="none" w:sz="0" w:space="0" w:color="auto"/>
      </w:divBdr>
    </w:div>
    <w:div w:id="422919554">
      <w:bodyDiv w:val="1"/>
      <w:marLeft w:val="0"/>
      <w:marRight w:val="0"/>
      <w:marTop w:val="0"/>
      <w:marBottom w:val="0"/>
      <w:divBdr>
        <w:top w:val="none" w:sz="0" w:space="0" w:color="auto"/>
        <w:left w:val="none" w:sz="0" w:space="0" w:color="auto"/>
        <w:bottom w:val="none" w:sz="0" w:space="0" w:color="auto"/>
        <w:right w:val="none" w:sz="0" w:space="0" w:color="auto"/>
      </w:divBdr>
      <w:divsChild>
        <w:div w:id="1842038314">
          <w:marLeft w:val="0"/>
          <w:marRight w:val="0"/>
          <w:marTop w:val="0"/>
          <w:marBottom w:val="0"/>
          <w:divBdr>
            <w:top w:val="none" w:sz="0" w:space="0" w:color="auto"/>
            <w:left w:val="none" w:sz="0" w:space="0" w:color="auto"/>
            <w:bottom w:val="none" w:sz="0" w:space="0" w:color="auto"/>
            <w:right w:val="none" w:sz="0" w:space="0" w:color="auto"/>
          </w:divBdr>
        </w:div>
        <w:div w:id="1184784828">
          <w:marLeft w:val="0"/>
          <w:marRight w:val="0"/>
          <w:marTop w:val="0"/>
          <w:marBottom w:val="0"/>
          <w:divBdr>
            <w:top w:val="none" w:sz="0" w:space="0" w:color="auto"/>
            <w:left w:val="none" w:sz="0" w:space="0" w:color="auto"/>
            <w:bottom w:val="none" w:sz="0" w:space="0" w:color="auto"/>
            <w:right w:val="none" w:sz="0" w:space="0" w:color="auto"/>
          </w:divBdr>
        </w:div>
        <w:div w:id="2078163730">
          <w:marLeft w:val="0"/>
          <w:marRight w:val="0"/>
          <w:marTop w:val="0"/>
          <w:marBottom w:val="0"/>
          <w:divBdr>
            <w:top w:val="none" w:sz="0" w:space="0" w:color="auto"/>
            <w:left w:val="none" w:sz="0" w:space="0" w:color="auto"/>
            <w:bottom w:val="none" w:sz="0" w:space="0" w:color="auto"/>
            <w:right w:val="none" w:sz="0" w:space="0" w:color="auto"/>
          </w:divBdr>
        </w:div>
        <w:div w:id="383796410">
          <w:marLeft w:val="0"/>
          <w:marRight w:val="0"/>
          <w:marTop w:val="0"/>
          <w:marBottom w:val="0"/>
          <w:divBdr>
            <w:top w:val="none" w:sz="0" w:space="0" w:color="auto"/>
            <w:left w:val="none" w:sz="0" w:space="0" w:color="auto"/>
            <w:bottom w:val="none" w:sz="0" w:space="0" w:color="auto"/>
            <w:right w:val="none" w:sz="0" w:space="0" w:color="auto"/>
          </w:divBdr>
        </w:div>
        <w:div w:id="1038974649">
          <w:marLeft w:val="0"/>
          <w:marRight w:val="0"/>
          <w:marTop w:val="0"/>
          <w:marBottom w:val="0"/>
          <w:divBdr>
            <w:top w:val="none" w:sz="0" w:space="0" w:color="auto"/>
            <w:left w:val="none" w:sz="0" w:space="0" w:color="auto"/>
            <w:bottom w:val="none" w:sz="0" w:space="0" w:color="auto"/>
            <w:right w:val="none" w:sz="0" w:space="0" w:color="auto"/>
          </w:divBdr>
        </w:div>
        <w:div w:id="735133314">
          <w:marLeft w:val="0"/>
          <w:marRight w:val="0"/>
          <w:marTop w:val="0"/>
          <w:marBottom w:val="0"/>
          <w:divBdr>
            <w:top w:val="none" w:sz="0" w:space="0" w:color="auto"/>
            <w:left w:val="none" w:sz="0" w:space="0" w:color="auto"/>
            <w:bottom w:val="none" w:sz="0" w:space="0" w:color="auto"/>
            <w:right w:val="none" w:sz="0" w:space="0" w:color="auto"/>
          </w:divBdr>
        </w:div>
        <w:div w:id="146678543">
          <w:marLeft w:val="0"/>
          <w:marRight w:val="0"/>
          <w:marTop w:val="0"/>
          <w:marBottom w:val="0"/>
          <w:divBdr>
            <w:top w:val="none" w:sz="0" w:space="0" w:color="auto"/>
            <w:left w:val="none" w:sz="0" w:space="0" w:color="auto"/>
            <w:bottom w:val="none" w:sz="0" w:space="0" w:color="auto"/>
            <w:right w:val="none" w:sz="0" w:space="0" w:color="auto"/>
          </w:divBdr>
        </w:div>
        <w:div w:id="413626632">
          <w:marLeft w:val="0"/>
          <w:marRight w:val="0"/>
          <w:marTop w:val="0"/>
          <w:marBottom w:val="0"/>
          <w:divBdr>
            <w:top w:val="none" w:sz="0" w:space="0" w:color="auto"/>
            <w:left w:val="none" w:sz="0" w:space="0" w:color="auto"/>
            <w:bottom w:val="none" w:sz="0" w:space="0" w:color="auto"/>
            <w:right w:val="none" w:sz="0" w:space="0" w:color="auto"/>
          </w:divBdr>
        </w:div>
        <w:div w:id="1938826987">
          <w:marLeft w:val="0"/>
          <w:marRight w:val="0"/>
          <w:marTop w:val="0"/>
          <w:marBottom w:val="0"/>
          <w:divBdr>
            <w:top w:val="none" w:sz="0" w:space="0" w:color="auto"/>
            <w:left w:val="none" w:sz="0" w:space="0" w:color="auto"/>
            <w:bottom w:val="none" w:sz="0" w:space="0" w:color="auto"/>
            <w:right w:val="none" w:sz="0" w:space="0" w:color="auto"/>
          </w:divBdr>
        </w:div>
        <w:div w:id="228268883">
          <w:marLeft w:val="0"/>
          <w:marRight w:val="0"/>
          <w:marTop w:val="0"/>
          <w:marBottom w:val="0"/>
          <w:divBdr>
            <w:top w:val="none" w:sz="0" w:space="0" w:color="auto"/>
            <w:left w:val="none" w:sz="0" w:space="0" w:color="auto"/>
            <w:bottom w:val="none" w:sz="0" w:space="0" w:color="auto"/>
            <w:right w:val="none" w:sz="0" w:space="0" w:color="auto"/>
          </w:divBdr>
        </w:div>
        <w:div w:id="1287464720">
          <w:marLeft w:val="0"/>
          <w:marRight w:val="0"/>
          <w:marTop w:val="0"/>
          <w:marBottom w:val="0"/>
          <w:divBdr>
            <w:top w:val="none" w:sz="0" w:space="0" w:color="auto"/>
            <w:left w:val="none" w:sz="0" w:space="0" w:color="auto"/>
            <w:bottom w:val="none" w:sz="0" w:space="0" w:color="auto"/>
            <w:right w:val="none" w:sz="0" w:space="0" w:color="auto"/>
          </w:divBdr>
        </w:div>
        <w:div w:id="766854337">
          <w:marLeft w:val="0"/>
          <w:marRight w:val="0"/>
          <w:marTop w:val="0"/>
          <w:marBottom w:val="0"/>
          <w:divBdr>
            <w:top w:val="none" w:sz="0" w:space="0" w:color="auto"/>
            <w:left w:val="none" w:sz="0" w:space="0" w:color="auto"/>
            <w:bottom w:val="none" w:sz="0" w:space="0" w:color="auto"/>
            <w:right w:val="none" w:sz="0" w:space="0" w:color="auto"/>
          </w:divBdr>
        </w:div>
        <w:div w:id="825785313">
          <w:marLeft w:val="0"/>
          <w:marRight w:val="0"/>
          <w:marTop w:val="0"/>
          <w:marBottom w:val="0"/>
          <w:divBdr>
            <w:top w:val="none" w:sz="0" w:space="0" w:color="auto"/>
            <w:left w:val="none" w:sz="0" w:space="0" w:color="auto"/>
            <w:bottom w:val="none" w:sz="0" w:space="0" w:color="auto"/>
            <w:right w:val="none" w:sz="0" w:space="0" w:color="auto"/>
          </w:divBdr>
        </w:div>
      </w:divsChild>
    </w:div>
    <w:div w:id="19000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qid=1566541246195&amp;uri=CELEX:32014D0573" TargetMode="External"/><Relationship Id="rId3" Type="http://schemas.openxmlformats.org/officeDocument/2006/relationships/hyperlink" Target="https://ela.europa.eu/" TargetMode="External"/><Relationship Id="rId7" Type="http://schemas.openxmlformats.org/officeDocument/2006/relationships/hyperlink" Target="https://publications.europa.eu/bg/home" TargetMode="External"/><Relationship Id="rId2" Type="http://schemas.openxmlformats.org/officeDocument/2006/relationships/hyperlink" Target="https://eur-lex.europa.eu/eli/reg/2016/589/oj?locale=bg" TargetMode="External"/><Relationship Id="rId1" Type="http://schemas.openxmlformats.org/officeDocument/2006/relationships/hyperlink" Target="https://ec.europa.eu/social/BlobServlet?docId=20613&amp;langId=en" TargetMode="External"/><Relationship Id="rId6" Type="http://schemas.openxmlformats.org/officeDocument/2006/relationships/hyperlink" Target="https://ec.europa.eu/info/law/law-making-process/planning-and-proposing-law/better-regulation-why-and-how_bg" TargetMode="External"/><Relationship Id="rId5" Type="http://schemas.openxmlformats.org/officeDocument/2006/relationships/hyperlink" Target="https://publications.europa.eu/bg/home" TargetMode="External"/><Relationship Id="rId4" Type="http://schemas.openxmlformats.org/officeDocument/2006/relationships/hyperlink" Target="https://sustainabledevelopment.un.org/topics/sustainabledevelopmentgo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97929C-19CA-43F4-9E3F-D7AAA8C9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4015</Words>
  <Characters>23133</Characters>
  <Application>Microsoft Office Word</Application>
  <DocSecurity>0</DocSecurity>
  <Lines>413</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2019-08-23T14:34:00Z</dcterms:created>
  <dcterms:modified xsi:type="dcterms:W3CDTF">2019-09-05T06:31:00Z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