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D49C640-3854-417D-8AF3-F1D5895025F5" style="width:450.4pt;height:367.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8"/>
          <w:szCs w:val="28"/>
        </w:rPr>
      </w:pPr>
      <w:bookmarkStart w:id="1" w:name="_GoBack"/>
      <w:bookmarkEnd w:id="1"/>
      <w:r>
        <w:rPr>
          <w:rFonts w:ascii="Times New Roman" w:hAnsi="Times New Roman"/>
          <w:b/>
          <w:noProof/>
          <w:sz w:val="28"/>
          <w:szCs w:val="28"/>
        </w:rPr>
        <w:lastRenderedPageBreak/>
        <w:t>TABLE DES MATIÈRES</w:t>
      </w:r>
    </w:p>
    <w:p>
      <w:pPr>
        <w:jc w:val="both"/>
        <w:rPr>
          <w:rFonts w:ascii="Times New Roman" w:hAnsi="Times New Roman" w:cs="Times New Roman"/>
          <w:b/>
          <w:noProof/>
          <w:sz w:val="28"/>
          <w:szCs w:val="28"/>
        </w:rPr>
      </w:pPr>
    </w:p>
    <w:p>
      <w:pPr>
        <w:pStyle w:val="TOC1"/>
        <w:ind w:left="-567"/>
        <w:rPr>
          <w:rFonts w:asciiTheme="minorHAnsi" w:eastAsiaTheme="minorEastAsia" w:hAnsiTheme="minorHAnsi"/>
          <w:noProof/>
          <w:lang w:val="fr-BE" w:eastAsia="fr-BE"/>
        </w:rPr>
      </w:pPr>
      <w:r>
        <w:rPr>
          <w:noProof/>
        </w:rPr>
        <w:fldChar w:fldCharType="begin"/>
      </w:r>
      <w:r>
        <w:rPr>
          <w:noProof/>
        </w:rPr>
        <w:instrText xml:space="preserve"> TOC \o "1-3" \u </w:instrText>
      </w:r>
      <w:r>
        <w:rPr>
          <w:noProof/>
        </w:rPr>
        <w:fldChar w:fldCharType="separate"/>
      </w:r>
      <w:r>
        <w:rPr>
          <w:noProof/>
        </w:rPr>
        <w:t>1. Données cumulées concernant la période de programmation actuelle  (1</w:t>
      </w:r>
      <w:r>
        <w:rPr>
          <w:noProof/>
          <w:vertAlign w:val="superscript"/>
        </w:rPr>
        <w:t>er</w:t>
      </w:r>
      <w:r>
        <w:rPr>
          <w:noProof/>
        </w:rPr>
        <w:t> janvier 2014 — 31 décembre 2018)</w:t>
      </w:r>
      <w:r>
        <w:rPr>
          <w:noProof/>
        </w:rPr>
        <w:tab/>
      </w:r>
      <w:r>
        <w:rPr>
          <w:noProof/>
        </w:rPr>
        <w:fldChar w:fldCharType="begin"/>
      </w:r>
      <w:r>
        <w:rPr>
          <w:noProof/>
        </w:rPr>
        <w:instrText xml:space="preserve"> PAGEREF _Toc17729951 \h </w:instrText>
      </w:r>
      <w:r>
        <w:rPr>
          <w:noProof/>
        </w:rPr>
      </w:r>
      <w:r>
        <w:rPr>
          <w:noProof/>
        </w:rPr>
        <w:fldChar w:fldCharType="separate"/>
      </w:r>
      <w:r>
        <w:rPr>
          <w:noProof/>
        </w:rPr>
        <w:t>2</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1 —  Nombre de demandes reçues entre 2014 et 2018</w:t>
      </w:r>
      <w:r>
        <w:rPr>
          <w:noProof/>
        </w:rPr>
        <w:tab/>
      </w:r>
      <w:r>
        <w:rPr>
          <w:noProof/>
        </w:rPr>
        <w:fldChar w:fldCharType="begin"/>
      </w:r>
      <w:r>
        <w:rPr>
          <w:noProof/>
        </w:rPr>
        <w:instrText xml:space="preserve"> PAGEREF _Toc17729952 \h </w:instrText>
      </w:r>
      <w:r>
        <w:rPr>
          <w:noProof/>
        </w:rPr>
      </w:r>
      <w:r>
        <w:rPr>
          <w:noProof/>
        </w:rPr>
        <w:fldChar w:fldCharType="separate"/>
      </w:r>
      <w:r>
        <w:rPr>
          <w:noProof/>
        </w:rPr>
        <w:t>2</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2 —  Nombre de demandes par secteur (NACE Rév. 2), entre 2014 et 2018</w:t>
      </w:r>
      <w:r>
        <w:rPr>
          <w:noProof/>
        </w:rPr>
        <w:tab/>
      </w:r>
      <w:r>
        <w:rPr>
          <w:noProof/>
        </w:rPr>
        <w:fldChar w:fldCharType="begin"/>
      </w:r>
      <w:r>
        <w:rPr>
          <w:noProof/>
        </w:rPr>
        <w:instrText xml:space="preserve"> PAGEREF _Toc17729953 \h </w:instrText>
      </w:r>
      <w:r>
        <w:rPr>
          <w:noProof/>
        </w:rPr>
      </w:r>
      <w:r>
        <w:rPr>
          <w:noProof/>
        </w:rPr>
        <w:fldChar w:fldCharType="separate"/>
      </w:r>
      <w:r>
        <w:rPr>
          <w:noProof/>
        </w:rPr>
        <w:t>4</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3 —  Nombre de travailleurs visés par secteur (NACE Rév. 2), entre 2014 et 2018</w:t>
      </w:r>
      <w:r>
        <w:rPr>
          <w:noProof/>
        </w:rPr>
        <w:tab/>
      </w:r>
      <w:r>
        <w:rPr>
          <w:noProof/>
        </w:rPr>
        <w:fldChar w:fldCharType="begin"/>
      </w:r>
      <w:r>
        <w:rPr>
          <w:noProof/>
        </w:rPr>
        <w:instrText xml:space="preserve"> PAGEREF _Toc17729954 \h </w:instrText>
      </w:r>
      <w:r>
        <w:rPr>
          <w:noProof/>
        </w:rPr>
      </w:r>
      <w:r>
        <w:rPr>
          <w:noProof/>
        </w:rPr>
        <w:fldChar w:fldCharType="separate"/>
      </w:r>
      <w:r>
        <w:rPr>
          <w:noProof/>
        </w:rPr>
        <w:t>5</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4 —  Nombre de bénéficiaires à aider par État membre, 2014-2018</w:t>
      </w:r>
      <w:r>
        <w:rPr>
          <w:noProof/>
        </w:rPr>
        <w:tab/>
      </w:r>
      <w:r>
        <w:rPr>
          <w:noProof/>
        </w:rPr>
        <w:fldChar w:fldCharType="begin"/>
      </w:r>
      <w:r>
        <w:rPr>
          <w:noProof/>
        </w:rPr>
        <w:instrText xml:space="preserve"> PAGEREF _Toc17729956 \h </w:instrText>
      </w:r>
      <w:r>
        <w:rPr>
          <w:noProof/>
        </w:rPr>
      </w:r>
      <w:r>
        <w:rPr>
          <w:noProof/>
        </w:rPr>
        <w:fldChar w:fldCharType="separate"/>
      </w:r>
      <w:r>
        <w:rPr>
          <w:noProof/>
        </w:rPr>
        <w:t>6</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5 —  Nombre de travailleurs licenciés, visés et aidés* entre 2014 et 2018</w:t>
      </w:r>
      <w:r>
        <w:rPr>
          <w:noProof/>
        </w:rPr>
        <w:tab/>
      </w:r>
      <w:r>
        <w:rPr>
          <w:noProof/>
        </w:rPr>
        <w:fldChar w:fldCharType="begin"/>
      </w:r>
      <w:r>
        <w:rPr>
          <w:noProof/>
        </w:rPr>
        <w:instrText xml:space="preserve"> PAGEREF _Toc17729957 \h </w:instrText>
      </w:r>
      <w:r>
        <w:rPr>
          <w:noProof/>
        </w:rPr>
      </w:r>
      <w:r>
        <w:rPr>
          <w:noProof/>
        </w:rPr>
        <w:fldChar w:fldCharType="separate"/>
      </w:r>
      <w:r>
        <w:rPr>
          <w:noProof/>
        </w:rPr>
        <w:t>7</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6 —  Nombre de travailleurs licenciés, visés et aidés par État membre entre 2014 et 2018</w:t>
      </w:r>
      <w:r>
        <w:rPr>
          <w:noProof/>
        </w:rPr>
        <w:tab/>
      </w:r>
      <w:r>
        <w:rPr>
          <w:noProof/>
        </w:rPr>
        <w:fldChar w:fldCharType="begin"/>
      </w:r>
      <w:r>
        <w:rPr>
          <w:noProof/>
        </w:rPr>
        <w:instrText xml:space="preserve"> PAGEREF _Toc17729959 \h </w:instrText>
      </w:r>
      <w:r>
        <w:rPr>
          <w:noProof/>
        </w:rPr>
      </w:r>
      <w:r>
        <w:rPr>
          <w:noProof/>
        </w:rPr>
        <w:fldChar w:fldCharType="separate"/>
      </w:r>
      <w:r>
        <w:rPr>
          <w:noProof/>
        </w:rPr>
        <w:t>8</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7 —  Montants totaux demandés au titre du FEM (en EUR) par État membre entre 2014 et 2018</w:t>
      </w:r>
      <w:r>
        <w:rPr>
          <w:noProof/>
        </w:rPr>
        <w:tab/>
      </w:r>
      <w:r>
        <w:rPr>
          <w:noProof/>
        </w:rPr>
        <w:fldChar w:fldCharType="begin"/>
      </w:r>
      <w:r>
        <w:rPr>
          <w:noProof/>
        </w:rPr>
        <w:instrText xml:space="preserve"> PAGEREF _Toc17729960 \h </w:instrText>
      </w:r>
      <w:r>
        <w:rPr>
          <w:noProof/>
        </w:rPr>
      </w:r>
      <w:r>
        <w:rPr>
          <w:noProof/>
        </w:rPr>
        <w:fldChar w:fldCharType="separate"/>
      </w:r>
      <w:r>
        <w:rPr>
          <w:noProof/>
        </w:rPr>
        <w:t>9</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8 —  Montant moyen demandé au titre du FEM par bénéficiaire et par État membre, entre 2014 et 2018</w:t>
      </w:r>
      <w:r>
        <w:rPr>
          <w:noProof/>
        </w:rPr>
        <w:tab/>
      </w:r>
      <w:r>
        <w:rPr>
          <w:noProof/>
        </w:rPr>
        <w:fldChar w:fldCharType="begin"/>
      </w:r>
      <w:r>
        <w:rPr>
          <w:noProof/>
        </w:rPr>
        <w:instrText xml:space="preserve"> PAGEREF _Toc17729961 \h </w:instrText>
      </w:r>
      <w:r>
        <w:rPr>
          <w:noProof/>
        </w:rPr>
      </w:r>
      <w:r>
        <w:rPr>
          <w:noProof/>
        </w:rPr>
        <w:fldChar w:fldCharType="separate"/>
      </w:r>
      <w:r>
        <w:rPr>
          <w:noProof/>
        </w:rPr>
        <w:t>10</w:t>
      </w:r>
      <w:r>
        <w:rPr>
          <w:noProof/>
        </w:rPr>
        <w:fldChar w:fldCharType="end"/>
      </w:r>
    </w:p>
    <w:p>
      <w:pPr>
        <w:pStyle w:val="TOC2"/>
        <w:tabs>
          <w:tab w:val="right" w:leader="dot" w:pos="9062"/>
        </w:tabs>
        <w:ind w:left="-284"/>
        <w:rPr>
          <w:rFonts w:asciiTheme="minorHAnsi" w:hAnsiTheme="minorHAnsi"/>
          <w:noProof/>
          <w:lang w:val="fr-BE" w:eastAsia="fr-BE"/>
        </w:rPr>
      </w:pPr>
      <w:r>
        <w:rPr>
          <w:noProof/>
        </w:rPr>
        <w:t>Tableau 1 —  Rapports finaux reçus entre 2014 et 2018</w:t>
      </w:r>
      <w:r>
        <w:rPr>
          <w:noProof/>
        </w:rPr>
        <w:tab/>
      </w:r>
      <w:r>
        <w:rPr>
          <w:noProof/>
        </w:rPr>
        <w:fldChar w:fldCharType="begin"/>
      </w:r>
      <w:r>
        <w:rPr>
          <w:noProof/>
        </w:rPr>
        <w:instrText xml:space="preserve"> PAGEREF _Toc17729962 \h </w:instrText>
      </w:r>
      <w:r>
        <w:rPr>
          <w:noProof/>
        </w:rPr>
      </w:r>
      <w:r>
        <w:rPr>
          <w:noProof/>
        </w:rPr>
        <w:fldChar w:fldCharType="separate"/>
      </w:r>
      <w:r>
        <w:rPr>
          <w:noProof/>
        </w:rPr>
        <w:t>11</w:t>
      </w:r>
      <w:r>
        <w:rPr>
          <w:noProof/>
        </w:rPr>
        <w:fldChar w:fldCharType="end"/>
      </w:r>
    </w:p>
    <w:p>
      <w:pPr>
        <w:pStyle w:val="TOC1"/>
        <w:ind w:left="-567"/>
        <w:rPr>
          <w:noProof/>
        </w:rPr>
      </w:pPr>
    </w:p>
    <w:p>
      <w:pPr>
        <w:pStyle w:val="TOC1"/>
        <w:ind w:left="-567"/>
        <w:rPr>
          <w:rFonts w:asciiTheme="minorHAnsi" w:eastAsiaTheme="minorEastAsia" w:hAnsiTheme="minorHAnsi"/>
          <w:noProof/>
          <w:lang w:val="fr-BE" w:eastAsia="fr-BE"/>
        </w:rPr>
      </w:pPr>
      <w:r>
        <w:rPr>
          <w:noProof/>
        </w:rPr>
        <w:t>2. Données cumulées entre 2007 et 2018</w:t>
      </w:r>
      <w:r>
        <w:rPr>
          <w:noProof/>
        </w:rPr>
        <w:tab/>
      </w:r>
      <w:r>
        <w:rPr>
          <w:noProof/>
        </w:rPr>
        <w:fldChar w:fldCharType="begin"/>
      </w:r>
      <w:r>
        <w:rPr>
          <w:noProof/>
        </w:rPr>
        <w:instrText xml:space="preserve"> PAGEREF _Toc17729963 \h </w:instrText>
      </w:r>
      <w:r>
        <w:rPr>
          <w:noProof/>
        </w:rPr>
      </w:r>
      <w:r>
        <w:rPr>
          <w:noProof/>
        </w:rPr>
        <w:fldChar w:fldCharType="separate"/>
      </w:r>
      <w:r>
        <w:rPr>
          <w:noProof/>
        </w:rPr>
        <w:t>14</w:t>
      </w:r>
      <w:r>
        <w:rPr>
          <w:noProof/>
        </w:rPr>
        <w:fldChar w:fldCharType="end"/>
      </w:r>
    </w:p>
    <w:p>
      <w:pPr>
        <w:pStyle w:val="TOC2"/>
        <w:tabs>
          <w:tab w:val="right" w:leader="dot" w:pos="9062"/>
        </w:tabs>
        <w:ind w:left="-284"/>
        <w:rPr>
          <w:rFonts w:asciiTheme="minorHAnsi" w:hAnsiTheme="minorHAnsi"/>
          <w:noProof/>
          <w:lang w:val="fr-BE" w:eastAsia="fr-BE"/>
        </w:rPr>
      </w:pPr>
      <w:r>
        <w:rPr>
          <w:noProof/>
        </w:rPr>
        <w:t>Tableau 2 —  Demandes au titre du FEM présentées jusqu’au 31 décembre 2018 par État membre et par type de demande</w:t>
      </w:r>
      <w:r>
        <w:rPr>
          <w:noProof/>
        </w:rPr>
        <w:tab/>
      </w:r>
      <w:r>
        <w:rPr>
          <w:noProof/>
        </w:rPr>
        <w:fldChar w:fldCharType="begin"/>
      </w:r>
      <w:r>
        <w:rPr>
          <w:noProof/>
        </w:rPr>
        <w:instrText xml:space="preserve"> PAGEREF _Toc17729964 \h </w:instrText>
      </w:r>
      <w:r>
        <w:rPr>
          <w:noProof/>
        </w:rPr>
      </w:r>
      <w:r>
        <w:rPr>
          <w:noProof/>
        </w:rPr>
        <w:fldChar w:fldCharType="separate"/>
      </w:r>
      <w:r>
        <w:rPr>
          <w:noProof/>
        </w:rPr>
        <w:t>14</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9 —  Nombre de demandes reçues entre 2007 et 2018</w:t>
      </w:r>
      <w:r>
        <w:rPr>
          <w:noProof/>
        </w:rPr>
        <w:tab/>
      </w:r>
      <w:r>
        <w:rPr>
          <w:noProof/>
        </w:rPr>
        <w:fldChar w:fldCharType="begin"/>
      </w:r>
      <w:r>
        <w:rPr>
          <w:noProof/>
        </w:rPr>
        <w:instrText xml:space="preserve"> PAGEREF _Toc17729966 \h </w:instrText>
      </w:r>
      <w:r>
        <w:rPr>
          <w:noProof/>
        </w:rPr>
      </w:r>
      <w:r>
        <w:rPr>
          <w:noProof/>
        </w:rPr>
        <w:fldChar w:fldCharType="separate"/>
      </w:r>
      <w:r>
        <w:rPr>
          <w:noProof/>
        </w:rPr>
        <w:t>15</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10 —  Nombre de travailleurs visés par État membre entre 2007 et 2018</w:t>
      </w:r>
      <w:r>
        <w:rPr>
          <w:noProof/>
        </w:rPr>
        <w:tab/>
      </w:r>
      <w:r>
        <w:rPr>
          <w:noProof/>
        </w:rPr>
        <w:fldChar w:fldCharType="begin"/>
      </w:r>
      <w:r>
        <w:rPr>
          <w:noProof/>
        </w:rPr>
        <w:instrText xml:space="preserve"> PAGEREF _Toc17729967 \h </w:instrText>
      </w:r>
      <w:r>
        <w:rPr>
          <w:noProof/>
        </w:rPr>
      </w:r>
      <w:r>
        <w:rPr>
          <w:noProof/>
        </w:rPr>
        <w:fldChar w:fldCharType="separate"/>
      </w:r>
      <w:r>
        <w:rPr>
          <w:noProof/>
        </w:rPr>
        <w:t>16</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11 —  Montants totaux demandés au titre du FEM (en EUR) par État membre entre 2007 et 2018</w:t>
      </w:r>
      <w:r>
        <w:rPr>
          <w:noProof/>
        </w:rPr>
        <w:tab/>
      </w:r>
      <w:r>
        <w:rPr>
          <w:noProof/>
        </w:rPr>
        <w:fldChar w:fldCharType="begin"/>
      </w:r>
      <w:r>
        <w:rPr>
          <w:noProof/>
        </w:rPr>
        <w:instrText xml:space="preserve"> PAGEREF _Toc17729968 \h </w:instrText>
      </w:r>
      <w:r>
        <w:rPr>
          <w:noProof/>
        </w:rPr>
      </w:r>
      <w:r>
        <w:rPr>
          <w:noProof/>
        </w:rPr>
        <w:fldChar w:fldCharType="separate"/>
      </w:r>
      <w:r>
        <w:rPr>
          <w:noProof/>
        </w:rPr>
        <w:t>17</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12 —  Montant moyen demandé au titre du FEM par bénéficiaire et par État membre, entre 2007 et 2018</w:t>
      </w:r>
      <w:r>
        <w:rPr>
          <w:noProof/>
        </w:rPr>
        <w:tab/>
      </w:r>
      <w:r>
        <w:rPr>
          <w:noProof/>
        </w:rPr>
        <w:fldChar w:fldCharType="begin"/>
      </w:r>
      <w:r>
        <w:rPr>
          <w:noProof/>
        </w:rPr>
        <w:instrText xml:space="preserve"> PAGEREF _Toc17729969 \h </w:instrText>
      </w:r>
      <w:r>
        <w:rPr>
          <w:noProof/>
        </w:rPr>
      </w:r>
      <w:r>
        <w:rPr>
          <w:noProof/>
        </w:rPr>
        <w:fldChar w:fldCharType="separate"/>
      </w:r>
      <w:r>
        <w:rPr>
          <w:noProof/>
        </w:rPr>
        <w:t>18</w:t>
      </w:r>
      <w:r>
        <w:rPr>
          <w:noProof/>
        </w:rPr>
        <w:fldChar w:fldCharType="end"/>
      </w:r>
    </w:p>
    <w:p>
      <w:pPr>
        <w:pStyle w:val="TOC2"/>
        <w:tabs>
          <w:tab w:val="right" w:leader="dot" w:pos="9062"/>
        </w:tabs>
        <w:ind w:left="-284"/>
        <w:rPr>
          <w:rFonts w:asciiTheme="minorHAnsi" w:hAnsiTheme="minorHAnsi"/>
          <w:noProof/>
          <w:lang w:val="fr-BE" w:eastAsia="fr-BE"/>
        </w:rPr>
      </w:pPr>
      <w:r>
        <w:rPr>
          <w:noProof/>
        </w:rPr>
        <w:t>Tableau 3 —  Demandes d’intervention au titre de FEM soumises par secteur jusqu’au 31 décembre 2018</w:t>
      </w:r>
      <w:r>
        <w:rPr>
          <w:noProof/>
        </w:rPr>
        <w:tab/>
      </w:r>
      <w:r>
        <w:rPr>
          <w:noProof/>
        </w:rPr>
        <w:fldChar w:fldCharType="begin"/>
      </w:r>
      <w:r>
        <w:rPr>
          <w:noProof/>
        </w:rPr>
        <w:instrText xml:space="preserve"> PAGEREF _Toc17729970 \h </w:instrText>
      </w:r>
      <w:r>
        <w:rPr>
          <w:noProof/>
        </w:rPr>
      </w:r>
      <w:r>
        <w:rPr>
          <w:noProof/>
        </w:rPr>
        <w:fldChar w:fldCharType="separate"/>
      </w:r>
      <w:r>
        <w:rPr>
          <w:noProof/>
        </w:rPr>
        <w:t>19</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13 —  Nombre de demandes par secteur (NACE Rév. 2), entre 2007 et 2018</w:t>
      </w:r>
      <w:r>
        <w:rPr>
          <w:noProof/>
        </w:rPr>
        <w:tab/>
      </w:r>
      <w:r>
        <w:rPr>
          <w:noProof/>
        </w:rPr>
        <w:fldChar w:fldCharType="begin"/>
      </w:r>
      <w:r>
        <w:rPr>
          <w:noProof/>
        </w:rPr>
        <w:instrText xml:space="preserve"> PAGEREF _Toc17729971 \h </w:instrText>
      </w:r>
      <w:r>
        <w:rPr>
          <w:noProof/>
        </w:rPr>
      </w:r>
      <w:r>
        <w:rPr>
          <w:noProof/>
        </w:rPr>
        <w:fldChar w:fldCharType="separate"/>
      </w:r>
      <w:r>
        <w:rPr>
          <w:noProof/>
        </w:rPr>
        <w:t>23</w:t>
      </w:r>
      <w:r>
        <w:rPr>
          <w:noProof/>
        </w:rPr>
        <w:fldChar w:fldCharType="end"/>
      </w:r>
    </w:p>
    <w:p>
      <w:pPr>
        <w:pStyle w:val="TOC2"/>
        <w:tabs>
          <w:tab w:val="right" w:leader="dot" w:pos="9062"/>
        </w:tabs>
        <w:ind w:left="-284"/>
        <w:rPr>
          <w:rFonts w:asciiTheme="minorHAnsi" w:hAnsiTheme="minorHAnsi"/>
          <w:noProof/>
          <w:lang w:val="fr-BE" w:eastAsia="fr-BE"/>
        </w:rPr>
      </w:pPr>
      <w:r>
        <w:rPr>
          <w:noProof/>
        </w:rPr>
        <w:t>Graphique 14 —  Nombre de travailleurs visés par secteur (NACE Rév. 2), entre 2007 et 2018</w:t>
      </w:r>
      <w:r>
        <w:rPr>
          <w:noProof/>
        </w:rPr>
        <w:tab/>
      </w:r>
      <w:r>
        <w:rPr>
          <w:noProof/>
        </w:rPr>
        <w:fldChar w:fldCharType="begin"/>
      </w:r>
      <w:r>
        <w:rPr>
          <w:noProof/>
        </w:rPr>
        <w:instrText xml:space="preserve"> PAGEREF _Toc17729972 \h </w:instrText>
      </w:r>
      <w:r>
        <w:rPr>
          <w:noProof/>
        </w:rPr>
      </w:r>
      <w:r>
        <w:rPr>
          <w:noProof/>
        </w:rPr>
        <w:fldChar w:fldCharType="separate"/>
      </w:r>
      <w:r>
        <w:rPr>
          <w:noProof/>
        </w:rPr>
        <w:t>24</w:t>
      </w:r>
      <w:r>
        <w:rPr>
          <w:noProof/>
        </w:rPr>
        <w:fldChar w:fldCharType="end"/>
      </w:r>
    </w:p>
    <w:p>
      <w:pPr>
        <w:spacing w:after="160" w:line="259" w:lineRule="auto"/>
        <w:rPr>
          <w:rFonts w:ascii="Times New Roman" w:eastAsiaTheme="majorEastAsia" w:hAnsi="Times New Roman" w:cs="Times New Roman"/>
          <w:b/>
          <w:noProof/>
          <w:sz w:val="32"/>
          <w:szCs w:val="32"/>
        </w:rPr>
      </w:pPr>
      <w:r>
        <w:rPr>
          <w:noProof/>
        </w:rPr>
        <w:fldChar w:fldCharType="end"/>
      </w:r>
      <w:r>
        <w:rPr>
          <w:noProof/>
        </w:rPr>
        <w:br w:type="page"/>
      </w:r>
    </w:p>
    <w:p>
      <w:pPr>
        <w:pStyle w:val="Heading1"/>
        <w:rPr>
          <w:rFonts w:ascii="Times New Roman" w:eastAsia="Times New Roman" w:hAnsi="Times New Roman" w:cs="Times New Roman"/>
          <w:b/>
          <w:noProof/>
          <w:color w:val="auto"/>
        </w:rPr>
      </w:pPr>
      <w:bookmarkStart w:id="2" w:name="_Toc17729951"/>
      <w:r>
        <w:rPr>
          <w:rFonts w:ascii="Times New Roman" w:hAnsi="Times New Roman"/>
          <w:b/>
          <w:noProof/>
        </w:rPr>
        <w:lastRenderedPageBreak/>
        <w:t xml:space="preserve">1. Données cumulées concernant la période de programmation actuelle </w:t>
      </w:r>
      <w:r>
        <w:rPr>
          <w:rFonts w:ascii="Times New Roman" w:hAnsi="Times New Roman"/>
          <w:b/>
          <w:noProof/>
        </w:rPr>
        <w:br/>
        <w:t>(1</w:t>
      </w:r>
      <w:r>
        <w:rPr>
          <w:rFonts w:ascii="Times New Roman" w:hAnsi="Times New Roman"/>
          <w:b/>
          <w:noProof/>
          <w:vertAlign w:val="superscript"/>
        </w:rPr>
        <w:t>er</w:t>
      </w:r>
      <w:r>
        <w:rPr>
          <w:rFonts w:ascii="Times New Roman" w:hAnsi="Times New Roman"/>
          <w:b/>
          <w:noProof/>
        </w:rPr>
        <w:t> janvier 2014 — 31 décembre 2018)</w:t>
      </w:r>
      <w:bookmarkEnd w:id="2"/>
    </w:p>
    <w:p>
      <w:pPr>
        <w:jc w:val="both"/>
        <w:rPr>
          <w:rFonts w:ascii="Times New Roman" w:eastAsia="Calibri" w:hAnsi="Times New Roman" w:cs="Times New Roman"/>
          <w:noProof/>
        </w:rPr>
      </w:pPr>
    </w:p>
    <w:p>
      <w:pPr>
        <w:jc w:val="both"/>
        <w:rPr>
          <w:rFonts w:ascii="Times New Roman" w:eastAsia="Calibri" w:hAnsi="Times New Roman" w:cs="Times New Roman"/>
          <w:noProof/>
        </w:rPr>
      </w:pPr>
      <w:r>
        <w:rPr>
          <w:rFonts w:ascii="Times New Roman" w:hAnsi="Times New Roman"/>
          <w:noProof/>
        </w:rPr>
        <w:t>Le socle de données disponibles s’élargit d’année en année, ce qui permet de mieux dégager des tendances et de présenter une vue d’ensemble de la direction prise par les actions du Fonds. Les données contenues dans les graphiques ci-dessous et dans le tableau 1 se rapportent aux 48 demandes</w:t>
      </w:r>
      <w:r>
        <w:rPr>
          <w:rFonts w:ascii="Times New Roman" w:eastAsia="Calibri" w:hAnsi="Times New Roman" w:cs="Times New Roman"/>
          <w:noProof/>
          <w:vertAlign w:val="superscript"/>
        </w:rPr>
        <w:footnoteReference w:id="1"/>
      </w:r>
      <w:r>
        <w:rPr>
          <w:rFonts w:ascii="Times New Roman" w:hAnsi="Times New Roman"/>
          <w:noProof/>
        </w:rPr>
        <w:t xml:space="preserve"> introduites par les États membres (EM) entre 2014 et 2018 en vertu du règlement (UE) nº 1309/2013 du Parlement européen et du Conseil du 17 décembre 2013 relatif au Fonds européen d’ajustement à la mondialisation pour la période 2014-2020 et abrogeant le règlement (CE) nº 1927/2006. Un total de 155 366 514 EUR a jusqu’à présent été demandé pour aider 49 062 bénéficiaires visés</w:t>
      </w:r>
      <w:r>
        <w:rPr>
          <w:rFonts w:ascii="Times New Roman" w:eastAsia="Calibri" w:hAnsi="Times New Roman" w:cs="Times New Roman"/>
          <w:noProof/>
          <w:vertAlign w:val="superscript"/>
        </w:rPr>
        <w:footnoteReference w:id="2"/>
      </w:r>
      <w:r>
        <w:rPr>
          <w:rFonts w:ascii="Times New Roman" w:hAnsi="Times New Roman"/>
          <w:noProof/>
        </w:rPr>
        <w:t xml:space="preserve">. </w:t>
      </w:r>
    </w:p>
    <w:p>
      <w:pPr>
        <w:tabs>
          <w:tab w:val="left" w:pos="3290"/>
        </w:tabs>
        <w:rPr>
          <w:rFonts w:ascii="Times New Roman" w:eastAsia="Calibri" w:hAnsi="Times New Roman" w:cs="Times New Roman"/>
          <w:b/>
          <w:i/>
          <w:noProof/>
        </w:rPr>
      </w:pPr>
    </w:p>
    <w:p>
      <w:pPr>
        <w:pStyle w:val="Heading2"/>
        <w:jc w:val="center"/>
        <w:rPr>
          <w:rFonts w:ascii="Times New Roman" w:eastAsia="Calibri" w:hAnsi="Times New Roman" w:cs="Times New Roman"/>
          <w:b/>
          <w:i/>
          <w:noProof/>
          <w:color w:val="auto"/>
          <w:sz w:val="24"/>
          <w:szCs w:val="24"/>
        </w:rPr>
      </w:pPr>
      <w:bookmarkStart w:id="3" w:name="_Toc17729952"/>
      <w:r>
        <w:rPr>
          <w:rFonts w:ascii="Times New Roman" w:hAnsi="Times New Roman"/>
          <w:b/>
          <w:i/>
          <w:noProof/>
          <w:color w:val="auto"/>
        </w:rPr>
        <w:t>Graphique 1 —  Nombre de demandes reçues entre 2014 et 2018</w:t>
      </w:r>
      <w:bookmarkEnd w:id="3"/>
    </w:p>
    <w:p>
      <w:pPr>
        <w:rPr>
          <w:noProof/>
        </w:rPr>
      </w:pPr>
    </w:p>
    <w:p>
      <w:pPr>
        <w:jc w:val="center"/>
        <w:rPr>
          <w:rFonts w:ascii="Times New Roman" w:eastAsia="Calibri" w:hAnsi="Times New Roman" w:cs="Times New Roman"/>
          <w:noProof/>
        </w:rPr>
      </w:pPr>
      <w:r>
        <w:rPr>
          <w:rFonts w:ascii="Times New Roman" w:eastAsia="Calibri" w:hAnsi="Times New Roman" w:cs="Times New Roman"/>
          <w:noProof/>
          <w:lang w:val="en-GB" w:eastAsia="en-GB"/>
        </w:rPr>
        <w:drawing>
          <wp:inline distT="0" distB="0" distL="0" distR="0">
            <wp:extent cx="5414010" cy="3706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4010" cy="3706495"/>
                    </a:xfrm>
                    <a:prstGeom prst="rect">
                      <a:avLst/>
                    </a:prstGeom>
                    <a:noFill/>
                  </pic:spPr>
                </pic:pic>
              </a:graphicData>
            </a:graphic>
          </wp:inline>
        </w:drawing>
      </w:r>
    </w:p>
    <w:p>
      <w:pPr>
        <w:jc w:val="both"/>
        <w:rPr>
          <w:rFonts w:ascii="Times New Roman" w:eastAsia="Calibri" w:hAnsi="Times New Roman" w:cs="Times New Roman"/>
          <w:noProof/>
        </w:rPr>
      </w:pPr>
    </w:p>
    <w:p>
      <w:pPr>
        <w:jc w:val="both"/>
        <w:rPr>
          <w:rFonts w:ascii="Times New Roman" w:eastAsia="Calibri" w:hAnsi="Times New Roman" w:cs="Times New Roman"/>
          <w:noProof/>
        </w:rPr>
      </w:pPr>
      <w:r>
        <w:rPr>
          <w:rFonts w:ascii="Times New Roman" w:hAnsi="Times New Roman"/>
          <w:noProof/>
        </w:rPr>
        <w:t xml:space="preserve">Entre 2014 et 2018, la Commission a reçu 19 demandes liées à la crise et 29 demandes liées au commerce mondial. Le nombre total de demandes reçues chaque année est variable, avec en moyenne une dizaine de demandes par an. Comme l’indique le tableau 2 de l’annexe, l’Espagne est l’État membre qui a soumis le plus grand nombre de demandes (8), suivie par les Pays-Bas (17), l’Italie (7) et la Belgique (6). </w:t>
      </w:r>
    </w:p>
    <w:p>
      <w:pPr>
        <w:rPr>
          <w:rFonts w:ascii="Times New Roman" w:eastAsia="Calibri" w:hAnsi="Times New Roman" w:cs="Times New Roman"/>
          <w:b/>
          <w:i/>
          <w:noProof/>
        </w:rPr>
      </w:pPr>
      <w:r>
        <w:rPr>
          <w:noProof/>
        </w:rPr>
        <w:br w:type="page"/>
      </w:r>
    </w:p>
    <w:p>
      <w:pPr>
        <w:pStyle w:val="Heading2"/>
        <w:jc w:val="center"/>
        <w:rPr>
          <w:rFonts w:ascii="Times New Roman" w:eastAsia="Calibri" w:hAnsi="Times New Roman" w:cs="Times New Roman"/>
          <w:b/>
          <w:i/>
          <w:noProof/>
          <w:color w:val="auto"/>
          <w:sz w:val="24"/>
          <w:szCs w:val="24"/>
        </w:rPr>
      </w:pPr>
      <w:bookmarkStart w:id="4" w:name="_Toc17729953"/>
      <w:r>
        <w:rPr>
          <w:rFonts w:ascii="Times New Roman" w:hAnsi="Times New Roman"/>
          <w:b/>
          <w:i/>
          <w:noProof/>
          <w:color w:val="auto"/>
        </w:rPr>
        <w:t>Graphique 2 —  Nombre de demandes par secteur (NACE Rév. 2), entre 2014 et 2018</w:t>
      </w:r>
      <w:bookmarkEnd w:id="4"/>
    </w:p>
    <w:p>
      <w:pPr>
        <w:pStyle w:val="Heading2"/>
        <w:rPr>
          <w:rFonts w:ascii="Times New Roman" w:eastAsia="Calibri" w:hAnsi="Times New Roman" w:cs="Times New Roman"/>
          <w:b/>
          <w:i/>
          <w:noProof/>
          <w:color w:val="auto"/>
          <w:sz w:val="24"/>
          <w:szCs w:val="24"/>
        </w:rPr>
      </w:pPr>
    </w:p>
    <w:p>
      <w:pPr>
        <w:jc w:val="center"/>
        <w:rPr>
          <w:rFonts w:ascii="Times New Roman" w:eastAsia="Calibri" w:hAnsi="Times New Roman" w:cs="Times New Roman"/>
          <w:noProof/>
        </w:rPr>
      </w:pPr>
      <w:r>
        <w:rPr>
          <w:noProof/>
          <w:lang w:val="en-GB" w:eastAsia="en-GB"/>
        </w:rPr>
        <w:drawing>
          <wp:inline distT="0" distB="0" distL="0" distR="0">
            <wp:extent cx="5760720" cy="34874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487462"/>
                    </a:xfrm>
                    <a:prstGeom prst="rect">
                      <a:avLst/>
                    </a:prstGeom>
                    <a:noFill/>
                    <a:ln>
                      <a:noFill/>
                    </a:ln>
                  </pic:spPr>
                </pic:pic>
              </a:graphicData>
            </a:graphic>
          </wp:inline>
        </w:drawing>
      </w:r>
    </w:p>
    <w:p>
      <w:pPr>
        <w:jc w:val="both"/>
        <w:rPr>
          <w:rFonts w:ascii="Times New Roman" w:eastAsia="Calibri" w:hAnsi="Times New Roman" w:cs="Times New Roman"/>
          <w:i/>
          <w:noProof/>
          <w:sz w:val="20"/>
          <w:szCs w:val="20"/>
        </w:rPr>
      </w:pPr>
      <w:r>
        <w:rPr>
          <w:rFonts w:ascii="Times New Roman" w:hAnsi="Times New Roman"/>
          <w:i/>
          <w:noProof/>
        </w:rPr>
        <w:t>* La demande EGF/2016/003 EE/Petroleum and chemicals couvre deux secteurs différents (19 et 20) et est donc comptabilisée deux fois.</w:t>
      </w:r>
    </w:p>
    <w:p>
      <w:pPr>
        <w:spacing w:after="0"/>
        <w:jc w:val="both"/>
        <w:rPr>
          <w:rFonts w:ascii="Times New Roman" w:eastAsia="Calibri" w:hAnsi="Times New Roman" w:cs="Times New Roman"/>
          <w:b/>
          <w:noProof/>
        </w:rPr>
      </w:pPr>
      <w:r>
        <w:rPr>
          <w:rFonts w:ascii="Times New Roman" w:hAnsi="Times New Roman"/>
          <w:b/>
          <w:noProof/>
        </w:rPr>
        <w:t xml:space="preserve">Nombre total de secteurs: </w:t>
      </w:r>
      <w:r>
        <w:rPr>
          <w:rFonts w:ascii="Times New Roman" w:hAnsi="Times New Roman"/>
          <w:b/>
          <w:noProof/>
        </w:rPr>
        <w:tab/>
        <w:t>27</w:t>
      </w:r>
    </w:p>
    <w:p>
      <w:pPr>
        <w:spacing w:after="0"/>
        <w:jc w:val="both"/>
        <w:rPr>
          <w:rFonts w:ascii="Times New Roman" w:eastAsia="Times New Roman" w:hAnsi="Times New Roman" w:cs="Times New Roman"/>
          <w:noProof/>
          <w:color w:val="000000"/>
        </w:rPr>
      </w:pPr>
    </w:p>
    <w:p>
      <w:pPr>
        <w:spacing w:after="0"/>
        <w:jc w:val="both"/>
        <w:rPr>
          <w:rFonts w:ascii="Times New Roman" w:eastAsia="Times New Roman" w:hAnsi="Times New Roman" w:cs="Times New Roman"/>
          <w:noProof/>
          <w:color w:val="000000"/>
        </w:rPr>
      </w:pPr>
    </w:p>
    <w:p>
      <w:pPr>
        <w:jc w:val="both"/>
        <w:rPr>
          <w:rFonts w:ascii="Times New Roman" w:eastAsia="Times New Roman" w:hAnsi="Times New Roman" w:cs="Times New Roman"/>
          <w:noProof/>
          <w:color w:val="000000"/>
        </w:rPr>
      </w:pPr>
      <w:r>
        <w:rPr>
          <w:rFonts w:ascii="Times New Roman" w:hAnsi="Times New Roman"/>
          <w:noProof/>
        </w:rPr>
        <w:t xml:space="preserve">Entre 2014 et 2018, la Commission a reçu 48 demandes émanant d’un large éventail de secteurs (27). Le plus grand nombre de demandes reçues concernait le secteur du commerce de détail (6), suivi par les secteurs de l’industrie automobile (5) et des produits informatiques, électroniques et optiques (4). </w:t>
      </w:r>
    </w:p>
    <w:p>
      <w:pPr>
        <w:jc w:val="both"/>
        <w:rPr>
          <w:rFonts w:ascii="Times New Roman" w:eastAsia="Times New Roman" w:hAnsi="Times New Roman" w:cs="Times New Roman"/>
          <w:noProof/>
          <w:color w:val="000000"/>
        </w:rPr>
      </w:pPr>
      <w:r>
        <w:rPr>
          <w:rFonts w:ascii="Times New Roman" w:hAnsi="Times New Roman"/>
          <w:noProof/>
        </w:rPr>
        <w:t>Les demandes reçues par secteur sont détaillées au tableau 3 de l’annexe.</w:t>
      </w:r>
    </w:p>
    <w:p>
      <w:pPr>
        <w:rPr>
          <w:rFonts w:ascii="Times New Roman" w:eastAsia="Calibri" w:hAnsi="Times New Roman" w:cs="Times New Roman"/>
          <w:b/>
          <w:i/>
          <w:noProof/>
        </w:rPr>
      </w:pPr>
      <w:r>
        <w:rPr>
          <w:noProof/>
        </w:rPr>
        <w:br w:type="page"/>
      </w:r>
    </w:p>
    <w:p>
      <w:pPr>
        <w:pStyle w:val="Heading2"/>
        <w:jc w:val="center"/>
        <w:rPr>
          <w:rFonts w:ascii="Times New Roman" w:eastAsia="Calibri" w:hAnsi="Times New Roman" w:cs="Times New Roman"/>
          <w:b/>
          <w:i/>
          <w:noProof/>
          <w:color w:val="auto"/>
          <w:sz w:val="24"/>
          <w:szCs w:val="24"/>
        </w:rPr>
      </w:pPr>
      <w:bookmarkStart w:id="5" w:name="_Toc17729954"/>
      <w:r>
        <w:rPr>
          <w:rFonts w:ascii="Times New Roman" w:hAnsi="Times New Roman"/>
          <w:b/>
          <w:i/>
          <w:noProof/>
          <w:color w:val="auto"/>
        </w:rPr>
        <w:t>Graphique 3 —  Nombre de travailleurs visés par secteur (NACE Rév. 2), entre 2014 et 2018</w:t>
      </w:r>
      <w:bookmarkEnd w:id="5"/>
    </w:p>
    <w:p>
      <w:pPr>
        <w:pStyle w:val="Heading2"/>
        <w:rPr>
          <w:rFonts w:ascii="Times New Roman" w:eastAsia="Calibri" w:hAnsi="Times New Roman" w:cs="Times New Roman"/>
          <w:b/>
          <w:i/>
          <w:noProof/>
          <w:color w:val="auto"/>
          <w:sz w:val="24"/>
          <w:szCs w:val="24"/>
        </w:rPr>
      </w:pPr>
      <w:bookmarkStart w:id="6" w:name="_Toc17729955"/>
      <w:r>
        <w:rPr>
          <w:rFonts w:ascii="Times New Roman" w:eastAsia="Calibri" w:hAnsi="Times New Roman" w:cs="Times New Roman"/>
          <w:b/>
          <w:i/>
          <w:noProof/>
          <w:color w:val="auto"/>
          <w:sz w:val="24"/>
          <w:szCs w:val="24"/>
          <w:lang w:val="en-GB" w:eastAsia="en-GB"/>
        </w:rPr>
        <w:drawing>
          <wp:inline distT="0" distB="0" distL="0" distR="0">
            <wp:extent cx="5842412" cy="34861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7160" cy="3488983"/>
                    </a:xfrm>
                    <a:prstGeom prst="rect">
                      <a:avLst/>
                    </a:prstGeom>
                    <a:noFill/>
                  </pic:spPr>
                </pic:pic>
              </a:graphicData>
            </a:graphic>
          </wp:inline>
        </w:drawing>
      </w:r>
      <w:bookmarkEnd w:id="6"/>
    </w:p>
    <w:p>
      <w:pPr>
        <w:jc w:val="center"/>
        <w:rPr>
          <w:rFonts w:ascii="Times New Roman" w:eastAsia="Calibri" w:hAnsi="Times New Roman" w:cs="Times New Roman"/>
          <w:noProof/>
        </w:rPr>
      </w:pPr>
    </w:p>
    <w:p>
      <w:pPr>
        <w:jc w:val="both"/>
        <w:rPr>
          <w:rFonts w:ascii="Times New Roman" w:eastAsia="Calibri" w:hAnsi="Times New Roman" w:cs="Times New Roman"/>
          <w:i/>
          <w:noProof/>
          <w:sz w:val="18"/>
          <w:szCs w:val="18"/>
        </w:rPr>
      </w:pPr>
      <w:r>
        <w:rPr>
          <w:rFonts w:ascii="Times New Roman" w:hAnsi="Times New Roman"/>
          <w:i/>
          <w:noProof/>
        </w:rPr>
        <w:t>* La demande EGF/2016/003 EE/Petroleum and chemicals couvre deux secteurs différents (19 et 20).</w:t>
      </w:r>
      <w:r>
        <w:rPr>
          <w:rFonts w:ascii="Times New Roman" w:hAnsi="Times New Roman"/>
          <w:i/>
          <w:noProof/>
          <w:sz w:val="20"/>
          <w:szCs w:val="20"/>
        </w:rPr>
        <w:t xml:space="preserve"> </w:t>
      </w:r>
      <w:r>
        <w:rPr>
          <w:rFonts w:ascii="Times New Roman" w:hAnsi="Times New Roman"/>
          <w:i/>
          <w:noProof/>
        </w:rPr>
        <w:t xml:space="preserve">Le nombre de travailleurs visés dans ces secteurs est indiqué au </w:t>
      </w:r>
      <w:r>
        <w:rPr>
          <w:rFonts w:ascii="Times New Roman" w:hAnsi="Times New Roman"/>
          <w:i/>
          <w:iCs/>
          <w:noProof/>
        </w:rPr>
        <w:t>prorata</w:t>
      </w:r>
      <w:r>
        <w:rPr>
          <w:rFonts w:ascii="Times New Roman" w:hAnsi="Times New Roman"/>
          <w:i/>
          <w:noProof/>
        </w:rPr>
        <w:t>, reflétant la composition du groupe de travailleurs licenciés.</w:t>
      </w:r>
      <w:r>
        <w:rPr>
          <w:rFonts w:ascii="Times New Roman" w:hAnsi="Times New Roman"/>
          <w:i/>
          <w:noProof/>
          <w:sz w:val="18"/>
          <w:szCs w:val="18"/>
        </w:rPr>
        <w:t xml:space="preserve"> </w:t>
      </w:r>
    </w:p>
    <w:p>
      <w:pPr>
        <w:spacing w:after="0"/>
        <w:jc w:val="both"/>
        <w:rPr>
          <w:rFonts w:ascii="Times New Roman" w:eastAsia="Calibri" w:hAnsi="Times New Roman" w:cs="Times New Roman"/>
          <w:b/>
          <w:noProof/>
          <w:color w:val="FF0000"/>
        </w:rPr>
      </w:pPr>
      <w:r>
        <w:rPr>
          <w:rFonts w:ascii="Times New Roman" w:hAnsi="Times New Roman"/>
          <w:b/>
          <w:noProof/>
        </w:rPr>
        <w:t xml:space="preserve">Nombre total de travailleurs visés dans les 27 secteurs: </w:t>
      </w:r>
      <w:r>
        <w:rPr>
          <w:rFonts w:ascii="Times New Roman" w:hAnsi="Times New Roman"/>
          <w:b/>
          <w:noProof/>
        </w:rPr>
        <w:tab/>
        <w:t>44 963</w:t>
      </w:r>
    </w:p>
    <w:p>
      <w:pPr>
        <w:spacing w:after="0"/>
        <w:jc w:val="both"/>
        <w:rPr>
          <w:rFonts w:ascii="Times New Roman" w:eastAsia="Calibri" w:hAnsi="Times New Roman" w:cs="Times New Roman"/>
          <w:b/>
          <w:noProof/>
        </w:rPr>
      </w:pPr>
    </w:p>
    <w:p>
      <w:pPr>
        <w:spacing w:after="0"/>
        <w:jc w:val="both"/>
        <w:rPr>
          <w:rFonts w:ascii="Times New Roman" w:eastAsia="Calibri" w:hAnsi="Times New Roman" w:cs="Times New Roman"/>
          <w:b/>
          <w:noProof/>
        </w:rPr>
      </w:pPr>
    </w:p>
    <w:p>
      <w:pPr>
        <w:jc w:val="both"/>
        <w:rPr>
          <w:rFonts w:ascii="Times New Roman" w:eastAsia="Calibri" w:hAnsi="Times New Roman" w:cs="Times New Roman"/>
          <w:noProof/>
        </w:rPr>
      </w:pPr>
      <w:r>
        <w:rPr>
          <w:rFonts w:ascii="Times New Roman" w:hAnsi="Times New Roman"/>
          <w:noProof/>
        </w:rPr>
        <w:t>Entre 2014 et 2018, les demandes d’intervention du FEM reçues par la Commission de la part de 12 États membres ont visé 44 963 travailleurs dans 27 secteurs différents. Le plus grand nombre de travailleurs visés était concentré dans l’industrie automobile (10 299), suivi par le secteur du commerce de détail (4 943) et le secteur des transports terrestres (4 645).</w:t>
      </w:r>
    </w:p>
    <w:p>
      <w:pPr>
        <w:spacing w:after="160" w:line="259" w:lineRule="auto"/>
        <w:rPr>
          <w:rFonts w:ascii="Times New Roman" w:eastAsia="Calibri" w:hAnsi="Times New Roman" w:cs="Times New Roman"/>
          <w:b/>
          <w:i/>
          <w:noProof/>
          <w:sz w:val="24"/>
          <w:szCs w:val="24"/>
        </w:rPr>
      </w:pPr>
      <w:r>
        <w:rPr>
          <w:noProof/>
        </w:rPr>
        <w:br w:type="page"/>
      </w:r>
    </w:p>
    <w:p>
      <w:pPr>
        <w:pStyle w:val="Heading2"/>
        <w:jc w:val="center"/>
        <w:rPr>
          <w:rFonts w:ascii="Times New Roman" w:eastAsia="Calibri" w:hAnsi="Times New Roman" w:cs="Times New Roman"/>
          <w:b/>
          <w:i/>
          <w:noProof/>
          <w:color w:val="auto"/>
          <w:sz w:val="24"/>
          <w:szCs w:val="24"/>
        </w:rPr>
      </w:pPr>
      <w:bookmarkStart w:id="7" w:name="_Toc17729956"/>
      <w:r>
        <w:rPr>
          <w:rFonts w:ascii="Times New Roman" w:hAnsi="Times New Roman"/>
          <w:b/>
          <w:i/>
          <w:noProof/>
          <w:color w:val="auto"/>
        </w:rPr>
        <w:t>Graphique 4 —  Nombre de bénéficiaires à aider par État membre, 2014-2018</w:t>
      </w:r>
      <w:bookmarkEnd w:id="7"/>
    </w:p>
    <w:p>
      <w:pPr>
        <w:pStyle w:val="Heading2"/>
        <w:rPr>
          <w:rFonts w:ascii="Times New Roman" w:eastAsia="Calibri" w:hAnsi="Times New Roman" w:cs="Times New Roman"/>
          <w:b/>
          <w:i/>
          <w:noProof/>
          <w:color w:val="auto"/>
          <w:sz w:val="24"/>
          <w:szCs w:val="24"/>
        </w:rPr>
      </w:pPr>
    </w:p>
    <w:p>
      <w:pPr>
        <w:spacing w:after="0" w:line="240" w:lineRule="auto"/>
        <w:jc w:val="center"/>
        <w:rPr>
          <w:rFonts w:ascii="Times New Roman" w:eastAsia="Calibri" w:hAnsi="Times New Roman" w:cs="Times New Roman"/>
          <w:noProof/>
        </w:rPr>
      </w:pPr>
      <w:r>
        <w:rPr>
          <w:rFonts w:ascii="Times New Roman" w:eastAsia="Calibri" w:hAnsi="Times New Roman" w:cs="Times New Roman"/>
          <w:noProof/>
          <w:lang w:val="en-GB" w:eastAsia="en-GB"/>
        </w:rPr>
        <w:drawing>
          <wp:inline distT="0" distB="0" distL="0" distR="0">
            <wp:extent cx="5106045" cy="36569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0880" cy="3660428"/>
                    </a:xfrm>
                    <a:prstGeom prst="rect">
                      <a:avLst/>
                    </a:prstGeom>
                    <a:noFill/>
                  </pic:spPr>
                </pic:pic>
              </a:graphicData>
            </a:graphic>
          </wp:inline>
        </w:drawing>
      </w:r>
    </w:p>
    <w:p>
      <w:pPr>
        <w:spacing w:after="0" w:line="240" w:lineRule="auto"/>
        <w:rPr>
          <w:rFonts w:ascii="Times New Roman" w:eastAsia="Calibri" w:hAnsi="Times New Roman" w:cs="Times New Roman"/>
          <w:noProof/>
          <w:sz w:val="20"/>
          <w:szCs w:val="20"/>
        </w:rPr>
      </w:pPr>
      <w:r>
        <w:rPr>
          <w:rFonts w:ascii="Times New Roman" w:hAnsi="Times New Roman"/>
          <w:bCs/>
          <w:i/>
          <w:noProof/>
          <w:sz w:val="20"/>
          <w:szCs w:val="20"/>
        </w:rPr>
        <w:t xml:space="preserve">    Le nombre de demandes est indiqué entre parenthèses. </w:t>
      </w:r>
    </w:p>
    <w:p>
      <w:pPr>
        <w:jc w:val="center"/>
        <w:rPr>
          <w:rFonts w:ascii="Times New Roman" w:eastAsia="Calibri" w:hAnsi="Times New Roman" w:cs="Times New Roman"/>
          <w:noProof/>
        </w:rPr>
      </w:pPr>
    </w:p>
    <w:p>
      <w:pPr>
        <w:spacing w:after="0"/>
        <w:rPr>
          <w:rFonts w:ascii="Calibri" w:eastAsia="Times New Roman" w:hAnsi="Calibri" w:cs="Calibri"/>
          <w:noProof/>
          <w:color w:val="000000"/>
        </w:rPr>
      </w:pPr>
      <w:r>
        <w:rPr>
          <w:rFonts w:ascii="Times New Roman" w:hAnsi="Times New Roman"/>
          <w:b/>
          <w:bCs/>
          <w:noProof/>
        </w:rPr>
        <w:t xml:space="preserve">Nombre total de bénéficiaires à aider: </w:t>
      </w:r>
      <w:r>
        <w:rPr>
          <w:rFonts w:ascii="Times New Roman" w:hAnsi="Times New Roman"/>
          <w:b/>
          <w:bCs/>
          <w:noProof/>
        </w:rPr>
        <w:tab/>
      </w:r>
      <w:r>
        <w:rPr>
          <w:rFonts w:ascii="Times New Roman" w:hAnsi="Times New Roman"/>
          <w:b/>
          <w:bCs/>
          <w:noProof/>
        </w:rPr>
        <w:tab/>
        <w:t>49 062</w:t>
      </w:r>
    </w:p>
    <w:p>
      <w:pPr>
        <w:jc w:val="both"/>
        <w:rPr>
          <w:rFonts w:ascii="Times New Roman" w:eastAsia="Times New Roman" w:hAnsi="Times New Roman" w:cs="Times New Roman"/>
          <w:noProof/>
          <w:color w:val="000000"/>
        </w:rPr>
      </w:pPr>
      <w:r>
        <w:rPr>
          <w:rFonts w:ascii="Times New Roman" w:hAnsi="Times New Roman"/>
          <w:b/>
          <w:bCs/>
          <w:noProof/>
        </w:rPr>
        <w:t>Nombre moyen de bénéficiaires à aider:</w:t>
      </w:r>
      <w:r>
        <w:rPr>
          <w:rFonts w:ascii="Times New Roman" w:hAnsi="Times New Roman"/>
          <w:b/>
          <w:bCs/>
          <w:noProof/>
        </w:rPr>
        <w:tab/>
      </w:r>
      <w:r>
        <w:rPr>
          <w:rFonts w:ascii="Times New Roman" w:hAnsi="Times New Roman"/>
          <w:b/>
          <w:bCs/>
          <w:noProof/>
        </w:rPr>
        <w:tab/>
        <w:t xml:space="preserve">  4 089</w:t>
      </w:r>
    </w:p>
    <w:p>
      <w:pPr>
        <w:jc w:val="both"/>
        <w:rPr>
          <w:rFonts w:ascii="Times New Roman" w:eastAsia="Times New Roman" w:hAnsi="Times New Roman" w:cs="Times New Roman"/>
          <w:noProof/>
          <w:color w:val="000000"/>
        </w:rPr>
      </w:pPr>
    </w:p>
    <w:p>
      <w:pPr>
        <w:jc w:val="both"/>
        <w:rPr>
          <w:rFonts w:ascii="Times New Roman" w:eastAsia="Times New Roman" w:hAnsi="Times New Roman" w:cs="Times New Roman"/>
          <w:noProof/>
          <w:color w:val="000000"/>
        </w:rPr>
      </w:pPr>
      <w:r>
        <w:rPr>
          <w:rFonts w:ascii="Times New Roman" w:hAnsi="Times New Roman"/>
          <w:noProof/>
        </w:rPr>
        <w:t>Entre 2014 et 2018, les demandes reçues de la part de 12 États membres visaient 49 062 bénéficiaires (travailleurs et NEET). La Belgique a demandé assistance pour le plus grand nombre de bénéficiaires (9 925), suivie par la France (9 620) et la Grèce (7 432).</w:t>
      </w:r>
    </w:p>
    <w:p>
      <w:pPr>
        <w:jc w:val="both"/>
        <w:rPr>
          <w:rFonts w:ascii="Times New Roman" w:eastAsia="Times New Roman" w:hAnsi="Times New Roman" w:cs="Times New Roman"/>
          <w:noProof/>
          <w:color w:val="000000"/>
        </w:rPr>
      </w:pPr>
      <w:r>
        <w:rPr>
          <w:rFonts w:ascii="Times New Roman" w:hAnsi="Times New Roman"/>
          <w:noProof/>
        </w:rPr>
        <w:t xml:space="preserve">Le nombre de bénéficiaires à aider inclut les travailleurs et les NEET. Douze demandes présentées par cinq États membres sur la période 2014-2018 visaient 4 099 NEET. Les États membres suivants ont demandé une aide en faveur des NEET: la Grèce (4 demandes — 2 098 NEET), la Belgique (3 demandes — 700 NEET), l’Irlande (3 demandes — 446 NEET), le Portugal (1 demande — 730 NEET) et l’Espagne (1 demande — 125 NEET). </w:t>
      </w:r>
    </w:p>
    <w:p>
      <w:pPr>
        <w:jc w:val="both"/>
        <w:rPr>
          <w:rFonts w:ascii="Times New Roman" w:eastAsia="Times New Roman" w:hAnsi="Times New Roman" w:cs="Times New Roman"/>
          <w:noProof/>
          <w:color w:val="000000"/>
        </w:rPr>
      </w:pPr>
      <w:r>
        <w:rPr>
          <w:rFonts w:ascii="Times New Roman" w:hAnsi="Times New Roman"/>
          <w:noProof/>
        </w:rPr>
        <w:t xml:space="preserve">Le nombre de demandes par an et par État membre est détaillé au tableau 2 de l’annexe. </w:t>
      </w:r>
    </w:p>
    <w:p>
      <w:pPr>
        <w:jc w:val="both"/>
        <w:rPr>
          <w:rFonts w:ascii="Times New Roman" w:eastAsia="Times New Roman" w:hAnsi="Times New Roman" w:cs="Times New Roman"/>
          <w:noProof/>
          <w:color w:val="000000"/>
        </w:rPr>
      </w:pPr>
    </w:p>
    <w:p>
      <w:pPr>
        <w:rPr>
          <w:rFonts w:ascii="Times New Roman" w:eastAsia="Calibri" w:hAnsi="Times New Roman" w:cs="Times New Roman"/>
          <w:b/>
          <w:i/>
          <w:noProof/>
        </w:rPr>
      </w:pPr>
      <w:r>
        <w:rPr>
          <w:noProof/>
        </w:rPr>
        <w:br w:type="page"/>
      </w:r>
    </w:p>
    <w:p>
      <w:pPr>
        <w:pStyle w:val="Heading2"/>
        <w:jc w:val="center"/>
        <w:rPr>
          <w:rFonts w:ascii="Times New Roman" w:eastAsia="Calibri" w:hAnsi="Times New Roman" w:cs="Times New Roman"/>
          <w:b/>
          <w:i/>
          <w:noProof/>
          <w:color w:val="auto"/>
          <w:sz w:val="24"/>
          <w:szCs w:val="24"/>
        </w:rPr>
      </w:pPr>
      <w:bookmarkStart w:id="8" w:name="_Toc17729957"/>
      <w:r>
        <w:rPr>
          <w:rFonts w:ascii="Times New Roman" w:hAnsi="Times New Roman"/>
          <w:b/>
          <w:i/>
          <w:noProof/>
          <w:color w:val="auto"/>
        </w:rPr>
        <w:t>Graphique 5 —  Nombre de travailleurs licenciés, visés et aidés* entre 2014 et 2018</w:t>
      </w:r>
      <w:bookmarkEnd w:id="8"/>
    </w:p>
    <w:p>
      <w:pPr>
        <w:rPr>
          <w:rFonts w:ascii="Times New Roman" w:eastAsia="Calibri" w:hAnsi="Times New Roman" w:cs="Times New Roman"/>
          <w:b/>
          <w:i/>
          <w:noProof/>
        </w:rPr>
      </w:pPr>
    </w:p>
    <w:p>
      <w:pPr>
        <w:jc w:val="center"/>
        <w:rPr>
          <w:rFonts w:ascii="Times New Roman" w:eastAsia="Calibri" w:hAnsi="Times New Roman" w:cs="Times New Roman"/>
          <w:b/>
          <w:i/>
          <w:noProof/>
        </w:rPr>
      </w:pPr>
      <w:r>
        <w:rPr>
          <w:noProof/>
          <w:lang w:val="en-GB" w:eastAsia="en-GB"/>
        </w:rPr>
        <w:drawing>
          <wp:inline distT="0" distB="0" distL="0" distR="0">
            <wp:extent cx="6018028" cy="3976335"/>
            <wp:effectExtent l="0" t="0" r="190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8028" cy="3976335"/>
                    </a:xfrm>
                    <a:prstGeom prst="rect">
                      <a:avLst/>
                    </a:prstGeom>
                    <a:noFill/>
                    <a:ln>
                      <a:noFill/>
                    </a:ln>
                  </pic:spPr>
                </pic:pic>
              </a:graphicData>
            </a:graphic>
          </wp:inline>
        </w:drawing>
      </w:r>
    </w:p>
    <w:p>
      <w:pPr>
        <w:jc w:val="both"/>
        <w:rPr>
          <w:rFonts w:ascii="Times New Roman" w:eastAsia="Calibri" w:hAnsi="Times New Roman" w:cs="Times New Roman"/>
          <w:i/>
          <w:noProof/>
          <w:sz w:val="20"/>
          <w:szCs w:val="20"/>
        </w:rPr>
      </w:pPr>
      <w:r>
        <w:rPr>
          <w:rFonts w:ascii="Times New Roman" w:hAnsi="Times New Roman"/>
          <w:i/>
          <w:noProof/>
          <w:sz w:val="20"/>
          <w:szCs w:val="20"/>
        </w:rPr>
        <w:t xml:space="preserve">* 17 rapports finaux n’ont pas été soumis au 31 décembre 2018; le nombre de travailleurs aidés n’est donc que partiellement disponible au titre de 2016 et non disponible pour 2017 et 2018. </w:t>
      </w:r>
    </w:p>
    <w:p>
      <w:pPr>
        <w:spacing w:after="0"/>
        <w:jc w:val="both"/>
        <w:rPr>
          <w:rFonts w:ascii="Times New Roman" w:eastAsia="Calibri" w:hAnsi="Times New Roman" w:cs="Times New Roman"/>
          <w:b/>
          <w:noProof/>
        </w:rPr>
      </w:pPr>
      <w:r>
        <w:rPr>
          <w:rFonts w:ascii="Times New Roman" w:hAnsi="Times New Roman"/>
          <w:b/>
          <w:noProof/>
        </w:rPr>
        <w:t>Nombre total de travailleurs licenciés:</w:t>
      </w:r>
      <w:r>
        <w:rPr>
          <w:rFonts w:ascii="Times New Roman" w:hAnsi="Times New Roman"/>
          <w:b/>
          <w:noProof/>
        </w:rPr>
        <w:tab/>
      </w:r>
      <w:r>
        <w:rPr>
          <w:rFonts w:ascii="Times New Roman" w:hAnsi="Times New Roman"/>
          <w:b/>
          <w:noProof/>
        </w:rPr>
        <w:tab/>
        <w:t>59 641</w:t>
      </w:r>
    </w:p>
    <w:p>
      <w:pPr>
        <w:spacing w:after="0"/>
        <w:jc w:val="both"/>
        <w:rPr>
          <w:rFonts w:ascii="Times New Roman" w:eastAsia="Calibri" w:hAnsi="Times New Roman" w:cs="Times New Roman"/>
          <w:b/>
          <w:noProof/>
        </w:rPr>
      </w:pPr>
      <w:r>
        <w:rPr>
          <w:rFonts w:ascii="Times New Roman" w:hAnsi="Times New Roman"/>
          <w:b/>
          <w:noProof/>
        </w:rPr>
        <w:t>Nombre total de travailleurs visés:</w:t>
      </w:r>
      <w:r>
        <w:rPr>
          <w:rFonts w:ascii="Times New Roman" w:hAnsi="Times New Roman"/>
          <w:b/>
          <w:noProof/>
        </w:rPr>
        <w:tab/>
      </w:r>
      <w:r>
        <w:rPr>
          <w:rFonts w:ascii="Times New Roman" w:hAnsi="Times New Roman"/>
          <w:b/>
          <w:noProof/>
        </w:rPr>
        <w:tab/>
        <w:t>44 963</w:t>
      </w:r>
    </w:p>
    <w:p>
      <w:pPr>
        <w:jc w:val="both"/>
        <w:rPr>
          <w:rFonts w:ascii="Times New Roman" w:eastAsia="Calibri" w:hAnsi="Times New Roman" w:cs="Times New Roman"/>
          <w:b/>
          <w:noProof/>
        </w:rPr>
      </w:pPr>
      <w:r>
        <w:rPr>
          <w:rFonts w:ascii="Times New Roman" w:hAnsi="Times New Roman"/>
          <w:b/>
          <w:noProof/>
        </w:rPr>
        <w:t xml:space="preserve">Nombre total de travailleurs aidés*: </w:t>
      </w:r>
      <w:r>
        <w:rPr>
          <w:rFonts w:ascii="Times New Roman" w:hAnsi="Times New Roman"/>
          <w:b/>
          <w:noProof/>
        </w:rPr>
        <w:tab/>
      </w:r>
      <w:r>
        <w:rPr>
          <w:rFonts w:ascii="Times New Roman" w:hAnsi="Times New Roman"/>
          <w:b/>
          <w:noProof/>
        </w:rPr>
        <w:tab/>
        <w:t>26 070</w:t>
      </w:r>
    </w:p>
    <w:p>
      <w:pPr>
        <w:jc w:val="both"/>
        <w:rPr>
          <w:rFonts w:ascii="Times New Roman" w:eastAsia="Calibri" w:hAnsi="Times New Roman" w:cs="Times New Roman"/>
          <w:noProof/>
        </w:rPr>
      </w:pPr>
    </w:p>
    <w:p>
      <w:pPr>
        <w:jc w:val="both"/>
        <w:rPr>
          <w:rFonts w:ascii="Times New Roman" w:eastAsia="Calibri" w:hAnsi="Times New Roman" w:cs="Times New Roman"/>
          <w:noProof/>
        </w:rPr>
      </w:pPr>
      <w:r>
        <w:rPr>
          <w:rFonts w:ascii="Times New Roman" w:hAnsi="Times New Roman"/>
          <w:noProof/>
        </w:rPr>
        <w:t xml:space="preserve">Entre 2014 et 2018, 48 demandes d’intervention du FEM ont été soumises et visaient 44 963 travailleurs (dont 31 327 hommes et 13 636 femmes), représentant 75 % des 59 641 travailleurs licenciés totaux. </w:t>
      </w:r>
    </w:p>
    <w:p>
      <w:pPr>
        <w:spacing w:after="160" w:line="259" w:lineRule="auto"/>
        <w:rPr>
          <w:rFonts w:ascii="Times New Roman" w:eastAsia="Calibri" w:hAnsi="Times New Roman" w:cs="Times New Roman"/>
          <w:noProof/>
        </w:rPr>
      </w:pPr>
      <w:r>
        <w:rPr>
          <w:noProof/>
        </w:rPr>
        <w:br w:type="page"/>
      </w:r>
    </w:p>
    <w:p>
      <w:pPr>
        <w:pStyle w:val="Heading2"/>
        <w:jc w:val="center"/>
        <w:rPr>
          <w:rFonts w:ascii="Times New Roman" w:eastAsia="Calibri" w:hAnsi="Times New Roman" w:cs="Times New Roman"/>
          <w:b/>
          <w:i/>
          <w:noProof/>
          <w:color w:val="auto"/>
          <w:sz w:val="24"/>
          <w:szCs w:val="24"/>
        </w:rPr>
      </w:pPr>
      <w:bookmarkStart w:id="9" w:name="_Toc17729958"/>
      <w:r>
        <w:rPr>
          <w:rFonts w:ascii="Times New Roman" w:hAnsi="Times New Roman"/>
          <w:b/>
          <w:i/>
          <w:noProof/>
          <w:color w:val="auto"/>
        </w:rPr>
        <w:t>Graphique 6 —  Nombre de travailleurs licenciés, visés et aidés par État membre</w:t>
      </w:r>
      <w:bookmarkEnd w:id="9"/>
    </w:p>
    <w:p>
      <w:pPr>
        <w:pStyle w:val="Heading2"/>
        <w:jc w:val="center"/>
        <w:rPr>
          <w:rFonts w:ascii="Times New Roman" w:eastAsia="Calibri" w:hAnsi="Times New Roman" w:cs="Times New Roman"/>
          <w:b/>
          <w:i/>
          <w:noProof/>
          <w:color w:val="auto"/>
          <w:sz w:val="24"/>
          <w:szCs w:val="24"/>
        </w:rPr>
      </w:pPr>
      <w:bookmarkStart w:id="10" w:name="_Toc17729959"/>
      <w:r>
        <w:rPr>
          <w:rFonts w:ascii="Times New Roman" w:hAnsi="Times New Roman"/>
          <w:b/>
          <w:i/>
          <w:noProof/>
          <w:color w:val="auto"/>
        </w:rPr>
        <w:t>entre 2014 et 2018</w:t>
      </w:r>
      <w:bookmarkEnd w:id="10"/>
    </w:p>
    <w:p>
      <w:pPr>
        <w:jc w:val="both"/>
        <w:rPr>
          <w:rFonts w:ascii="Times New Roman" w:eastAsia="Calibri" w:hAnsi="Times New Roman" w:cs="Times New Roman"/>
          <w:noProof/>
        </w:rPr>
      </w:pPr>
      <w:r>
        <w:rPr>
          <w:rFonts w:ascii="Times New Roman" w:hAnsi="Times New Roman"/>
          <w:noProof/>
        </w:rPr>
        <w:t xml:space="preserve"> </w:t>
      </w:r>
    </w:p>
    <w:p>
      <w:pPr>
        <w:jc w:val="both"/>
        <w:rPr>
          <w:rFonts w:ascii="Times New Roman" w:eastAsia="Calibri" w:hAnsi="Times New Roman" w:cs="Times New Roman"/>
          <w:noProof/>
        </w:rPr>
      </w:pPr>
      <w:r>
        <w:rPr>
          <w:rFonts w:ascii="Times New Roman" w:eastAsia="Calibri" w:hAnsi="Times New Roman" w:cs="Times New Roman"/>
          <w:noProof/>
          <w:lang w:val="en-GB" w:eastAsia="en-GB"/>
        </w:rPr>
        <w:drawing>
          <wp:inline distT="0" distB="0" distL="0" distR="0">
            <wp:extent cx="5780948" cy="39340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2945" cy="3949015"/>
                    </a:xfrm>
                    <a:prstGeom prst="rect">
                      <a:avLst/>
                    </a:prstGeom>
                    <a:noFill/>
                  </pic:spPr>
                </pic:pic>
              </a:graphicData>
            </a:graphic>
          </wp:inline>
        </w:drawing>
      </w:r>
    </w:p>
    <w:p>
      <w:pPr>
        <w:jc w:val="both"/>
        <w:rPr>
          <w:rFonts w:ascii="Times New Roman" w:eastAsia="Calibri" w:hAnsi="Times New Roman" w:cs="Times New Roman"/>
          <w:i/>
          <w:noProof/>
          <w:sz w:val="20"/>
          <w:szCs w:val="20"/>
        </w:rPr>
      </w:pPr>
      <w:r>
        <w:rPr>
          <w:rFonts w:ascii="Times New Roman" w:hAnsi="Times New Roman"/>
          <w:i/>
          <w:noProof/>
          <w:sz w:val="20"/>
          <w:szCs w:val="20"/>
        </w:rPr>
        <w:t>* Les États membres marqués d’un astérisque recensent des dossiers du FEM encore en cours d’exécution, de sorte que le nombre total de travailleurs aidés n’est pas définitif.</w:t>
      </w:r>
    </w:p>
    <w:p>
      <w:pPr>
        <w:spacing w:after="0"/>
        <w:jc w:val="both"/>
        <w:rPr>
          <w:rFonts w:ascii="Times New Roman" w:eastAsia="Calibri" w:hAnsi="Times New Roman" w:cs="Times New Roman"/>
          <w:b/>
          <w:noProof/>
        </w:rPr>
      </w:pPr>
      <w:r>
        <w:rPr>
          <w:rFonts w:ascii="Times New Roman" w:hAnsi="Times New Roman"/>
          <w:b/>
          <w:noProof/>
        </w:rPr>
        <w:t>Nombre total de travailleurs licenciés:</w:t>
      </w:r>
      <w:r>
        <w:rPr>
          <w:rFonts w:ascii="Times New Roman" w:hAnsi="Times New Roman"/>
          <w:b/>
          <w:noProof/>
        </w:rPr>
        <w:tab/>
      </w:r>
      <w:r>
        <w:rPr>
          <w:rFonts w:ascii="Times New Roman" w:hAnsi="Times New Roman"/>
          <w:b/>
          <w:noProof/>
        </w:rPr>
        <w:tab/>
        <w:t>59 641</w:t>
      </w:r>
    </w:p>
    <w:p>
      <w:pPr>
        <w:spacing w:after="0"/>
        <w:jc w:val="both"/>
        <w:rPr>
          <w:rFonts w:ascii="Times New Roman" w:eastAsia="Calibri" w:hAnsi="Times New Roman" w:cs="Times New Roman"/>
          <w:b/>
          <w:noProof/>
        </w:rPr>
      </w:pPr>
      <w:r>
        <w:rPr>
          <w:rFonts w:ascii="Times New Roman" w:hAnsi="Times New Roman"/>
          <w:b/>
          <w:noProof/>
        </w:rPr>
        <w:t>Nombre total de travailleurs visés:</w:t>
      </w:r>
      <w:r>
        <w:rPr>
          <w:rFonts w:ascii="Times New Roman" w:hAnsi="Times New Roman"/>
          <w:b/>
          <w:noProof/>
        </w:rPr>
        <w:tab/>
      </w:r>
      <w:r>
        <w:rPr>
          <w:rFonts w:ascii="Times New Roman" w:hAnsi="Times New Roman"/>
          <w:b/>
          <w:noProof/>
        </w:rPr>
        <w:tab/>
        <w:t>44 963</w:t>
      </w:r>
    </w:p>
    <w:p>
      <w:pPr>
        <w:rPr>
          <w:rFonts w:ascii="Times New Roman" w:eastAsia="Calibri" w:hAnsi="Times New Roman" w:cs="Times New Roman"/>
          <w:b/>
          <w:noProof/>
        </w:rPr>
      </w:pPr>
      <w:r>
        <w:rPr>
          <w:rFonts w:ascii="Times New Roman" w:hAnsi="Times New Roman"/>
          <w:b/>
          <w:noProof/>
        </w:rPr>
        <w:t xml:space="preserve">Nombre total de travailleurs aidés*: </w:t>
      </w:r>
      <w:r>
        <w:rPr>
          <w:rFonts w:ascii="Times New Roman" w:hAnsi="Times New Roman"/>
          <w:b/>
          <w:noProof/>
        </w:rPr>
        <w:tab/>
      </w:r>
      <w:r>
        <w:rPr>
          <w:rFonts w:ascii="Times New Roman" w:hAnsi="Times New Roman"/>
          <w:b/>
          <w:noProof/>
        </w:rPr>
        <w:tab/>
        <w:t>26 070</w:t>
      </w:r>
    </w:p>
    <w:p>
      <w:pPr>
        <w:rPr>
          <w:rFonts w:ascii="Times New Roman" w:eastAsia="Calibri" w:hAnsi="Times New Roman" w:cs="Times New Roman"/>
          <w:b/>
          <w:noProof/>
        </w:rPr>
      </w:pPr>
    </w:p>
    <w:p>
      <w:pPr>
        <w:jc w:val="both"/>
        <w:rPr>
          <w:rFonts w:ascii="Times New Roman" w:hAnsi="Times New Roman"/>
          <w:noProof/>
          <w:color w:val="000000"/>
        </w:rPr>
      </w:pPr>
      <w:r>
        <w:rPr>
          <w:rFonts w:ascii="Times New Roman" w:hAnsi="Times New Roman"/>
          <w:noProof/>
        </w:rPr>
        <w:t>Entre 2014 et 2018, la France a demandé une aide pour le plus grand nombre de travailleurs visés (9 620, soit 71 % des travailleurs licenciés), suivie par la Belgique (9 225, soit 87 % des travailleurs licenciés) et la Finlande (7 027, soit 80 % des travailleurs licenciés).</w:t>
      </w:r>
    </w:p>
    <w:p>
      <w:pPr>
        <w:rPr>
          <w:rFonts w:ascii="Times New Roman" w:eastAsia="Calibri" w:hAnsi="Times New Roman" w:cs="Times New Roman"/>
          <w:b/>
          <w:noProof/>
        </w:rPr>
      </w:pPr>
    </w:p>
    <w:p>
      <w:pPr>
        <w:rPr>
          <w:rFonts w:ascii="Times New Roman" w:eastAsia="Calibri" w:hAnsi="Times New Roman" w:cs="Times New Roman"/>
          <w:b/>
          <w:i/>
          <w:noProof/>
        </w:rPr>
      </w:pPr>
      <w:r>
        <w:rPr>
          <w:noProof/>
        </w:rPr>
        <w:br w:type="page"/>
      </w:r>
    </w:p>
    <w:p>
      <w:pPr>
        <w:pStyle w:val="Heading2"/>
        <w:jc w:val="center"/>
        <w:rPr>
          <w:rFonts w:ascii="Times New Roman" w:eastAsia="Calibri" w:hAnsi="Times New Roman" w:cs="Times New Roman"/>
          <w:b/>
          <w:i/>
          <w:noProof/>
          <w:color w:val="auto"/>
          <w:sz w:val="24"/>
          <w:szCs w:val="24"/>
        </w:rPr>
      </w:pPr>
      <w:bookmarkStart w:id="11" w:name="_Toc17729960"/>
      <w:r>
        <w:rPr>
          <w:rFonts w:ascii="Times New Roman" w:hAnsi="Times New Roman"/>
          <w:b/>
          <w:i/>
          <w:noProof/>
          <w:color w:val="auto"/>
        </w:rPr>
        <w:t>Graphique 7 —  Montants totaux demandés au titre du FEM (en EUR) par État membre entre 2014 et 2018</w:t>
      </w:r>
      <w:bookmarkEnd w:id="11"/>
    </w:p>
    <w:p>
      <w:pPr>
        <w:rPr>
          <w:noProof/>
        </w:rPr>
      </w:pPr>
    </w:p>
    <w:p>
      <w:pPr>
        <w:spacing w:after="0" w:line="240" w:lineRule="auto"/>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lang w:val="en-GB" w:eastAsia="en-GB"/>
        </w:rPr>
        <w:drawing>
          <wp:inline distT="0" distB="0" distL="0" distR="0">
            <wp:extent cx="5801482" cy="3763645"/>
            <wp:effectExtent l="0" t="0" r="889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06980" cy="3767212"/>
                    </a:xfrm>
                    <a:prstGeom prst="rect">
                      <a:avLst/>
                    </a:prstGeom>
                    <a:noFill/>
                  </pic:spPr>
                </pic:pic>
              </a:graphicData>
            </a:graphic>
          </wp:inline>
        </w:drawing>
      </w:r>
    </w:p>
    <w:p>
      <w:pPr>
        <w:spacing w:after="0" w:line="240" w:lineRule="auto"/>
        <w:rPr>
          <w:rFonts w:ascii="Times New Roman" w:eastAsia="Times New Roman" w:hAnsi="Times New Roman" w:cs="Times New Roman"/>
          <w:bCs/>
          <w:i/>
          <w:noProof/>
          <w:color w:val="000000"/>
          <w:sz w:val="20"/>
          <w:szCs w:val="20"/>
        </w:rPr>
      </w:pPr>
      <w:r>
        <w:rPr>
          <w:rFonts w:ascii="Times New Roman" w:hAnsi="Times New Roman"/>
          <w:bCs/>
          <w:i/>
          <w:noProof/>
          <w:sz w:val="20"/>
          <w:szCs w:val="20"/>
        </w:rPr>
        <w:t xml:space="preserve">Le nombre de demandes est indiqué entre parenthèses. </w:t>
      </w:r>
    </w:p>
    <w:p>
      <w:pPr>
        <w:spacing w:after="0" w:line="240" w:lineRule="auto"/>
        <w:rPr>
          <w:rFonts w:ascii="Times New Roman" w:eastAsia="Times New Roman" w:hAnsi="Times New Roman" w:cs="Times New Roman"/>
          <w:bCs/>
          <w:i/>
          <w:noProof/>
          <w:color w:val="000000"/>
        </w:rPr>
      </w:pPr>
    </w:p>
    <w:p>
      <w:pPr>
        <w:spacing w:after="0" w:line="240" w:lineRule="auto"/>
        <w:rPr>
          <w:rFonts w:ascii="Times New Roman" w:eastAsia="Times New Roman" w:hAnsi="Times New Roman" w:cs="Times New Roman"/>
          <w:b/>
          <w:bCs/>
          <w:noProof/>
          <w:color w:val="000000"/>
        </w:rPr>
      </w:pPr>
      <w:r>
        <w:rPr>
          <w:rFonts w:ascii="Times New Roman" w:hAnsi="Times New Roman"/>
          <w:b/>
          <w:bCs/>
          <w:noProof/>
        </w:rPr>
        <w:t xml:space="preserve">Montant total demandé au titre du FEM: </w:t>
      </w:r>
      <w:r>
        <w:rPr>
          <w:rFonts w:ascii="Times New Roman" w:hAnsi="Times New Roman"/>
          <w:b/>
          <w:bCs/>
          <w:noProof/>
        </w:rPr>
        <w:tab/>
      </w:r>
      <w:r>
        <w:rPr>
          <w:rFonts w:ascii="Times New Roman" w:hAnsi="Times New Roman"/>
          <w:b/>
          <w:bCs/>
          <w:noProof/>
        </w:rPr>
        <w:tab/>
        <w:t xml:space="preserve"> 155 366 514 EUR </w:t>
      </w:r>
    </w:p>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Montant moyen demandé au titre du FEM:</w:t>
      </w:r>
      <w:r>
        <w:rPr>
          <w:rFonts w:ascii="Times New Roman" w:hAnsi="Times New Roman"/>
          <w:b/>
          <w:bCs/>
          <w:noProof/>
        </w:rPr>
        <w:tab/>
      </w:r>
      <w:r>
        <w:rPr>
          <w:rFonts w:ascii="Times New Roman" w:hAnsi="Times New Roman"/>
          <w:b/>
          <w:bCs/>
          <w:noProof/>
        </w:rPr>
        <w:tab/>
        <w:t xml:space="preserve"> 12 947 210 EUR </w:t>
      </w:r>
    </w:p>
    <w:p>
      <w:pPr>
        <w:spacing w:after="0" w:line="240" w:lineRule="auto"/>
        <w:rPr>
          <w:rFonts w:ascii="Times New Roman" w:eastAsia="Times New Roman" w:hAnsi="Times New Roman" w:cs="Times New Roman"/>
          <w:bCs/>
          <w:noProof/>
          <w:color w:val="000000"/>
        </w:rPr>
      </w:pPr>
    </w:p>
    <w:p>
      <w:pPr>
        <w:jc w:val="both"/>
        <w:rPr>
          <w:rFonts w:ascii="Times New Roman" w:eastAsia="Times New Roman" w:hAnsi="Times New Roman" w:cs="Times New Roman"/>
          <w:bCs/>
          <w:noProof/>
          <w:color w:val="000000"/>
        </w:rPr>
      </w:pPr>
    </w:p>
    <w:p>
      <w:pPr>
        <w:jc w:val="both"/>
        <w:rPr>
          <w:rFonts w:ascii="Times New Roman" w:eastAsia="Times New Roman" w:hAnsi="Times New Roman" w:cs="Times New Roman"/>
          <w:noProof/>
          <w:color w:val="000000"/>
        </w:rPr>
      </w:pPr>
      <w:r>
        <w:rPr>
          <w:rFonts w:ascii="Times New Roman" w:hAnsi="Times New Roman"/>
          <w:noProof/>
        </w:rPr>
        <w:t>Entre 2014 et 2018, un montant total de 155 366 514 EUR a été demandé au titre du FEM par 12 États membres.</w:t>
      </w:r>
      <w:r>
        <w:rPr>
          <w:rFonts w:ascii="Times New Roman" w:hAnsi="Times New Roman"/>
          <w:bCs/>
          <w:noProof/>
        </w:rPr>
        <w:t xml:space="preserve"> </w:t>
      </w:r>
      <w:r>
        <w:rPr>
          <w:rFonts w:ascii="Times New Roman" w:hAnsi="Times New Roman"/>
          <w:noProof/>
        </w:rPr>
        <w:t xml:space="preserve">C’est la Grèce qui a demandé le montant le plus élevé (40 349 250 EUR pour huit demandes), suivie par la France (34 716 088 EUR pour cinq demandes) et la Finlande (19 440 240 EUR pour sept demandes). </w:t>
      </w:r>
    </w:p>
    <w:p>
      <w:pPr>
        <w:jc w:val="both"/>
        <w:rPr>
          <w:rFonts w:ascii="Calibri" w:eastAsia="Times New Roman" w:hAnsi="Calibri" w:cs="Times New Roman"/>
          <w:noProof/>
          <w:color w:val="000000"/>
        </w:rPr>
      </w:pPr>
      <w:r>
        <w:rPr>
          <w:rFonts w:ascii="Times New Roman" w:hAnsi="Times New Roman"/>
          <w:noProof/>
        </w:rPr>
        <w:t xml:space="preserve">Le nombre de demandes par an et par État membre est détaillé au tableau 2 de l’annexe. </w:t>
      </w:r>
    </w:p>
    <w:p>
      <w:pPr>
        <w:rPr>
          <w:rFonts w:ascii="Times New Roman" w:eastAsia="Calibri" w:hAnsi="Times New Roman" w:cs="Times New Roman"/>
          <w:b/>
          <w:i/>
          <w:noProof/>
        </w:rPr>
      </w:pPr>
      <w:r>
        <w:rPr>
          <w:noProof/>
        </w:rPr>
        <w:br w:type="page"/>
      </w:r>
    </w:p>
    <w:p>
      <w:pPr>
        <w:pStyle w:val="Heading2"/>
        <w:jc w:val="center"/>
        <w:rPr>
          <w:rFonts w:ascii="Times New Roman" w:eastAsia="Calibri" w:hAnsi="Times New Roman" w:cs="Times New Roman"/>
          <w:b/>
          <w:i/>
          <w:noProof/>
          <w:color w:val="auto"/>
          <w:sz w:val="24"/>
          <w:szCs w:val="24"/>
        </w:rPr>
      </w:pPr>
      <w:bookmarkStart w:id="12" w:name="_Toc17729961"/>
      <w:r>
        <w:rPr>
          <w:rFonts w:ascii="Times New Roman" w:hAnsi="Times New Roman"/>
          <w:b/>
          <w:i/>
          <w:noProof/>
          <w:color w:val="auto"/>
        </w:rPr>
        <w:t>Graphique 8 —  Montant moyen demandé au titre du FEM par bénéficiaire et par État membre, entre 2014 et 2018</w:t>
      </w:r>
      <w:bookmarkEnd w:id="12"/>
      <w:r>
        <w:rPr>
          <w:rFonts w:ascii="Times New Roman" w:hAnsi="Times New Roman"/>
          <w:b/>
          <w:i/>
          <w:noProof/>
          <w:color w:val="auto"/>
        </w:rPr>
        <w:br/>
      </w:r>
    </w:p>
    <w:p>
      <w:pPr>
        <w:spacing w:after="0"/>
        <w:jc w:val="center"/>
        <w:rPr>
          <w:rFonts w:ascii="Times New Roman" w:eastAsia="Times New Roman" w:hAnsi="Times New Roman" w:cs="Times New Roman"/>
          <w:bCs/>
          <w:i/>
          <w:noProof/>
          <w:color w:val="000000"/>
        </w:rPr>
      </w:pPr>
      <w:r>
        <w:rPr>
          <w:rFonts w:ascii="Times New Roman" w:eastAsia="Times New Roman" w:hAnsi="Times New Roman" w:cs="Times New Roman"/>
          <w:bCs/>
          <w:i/>
          <w:noProof/>
          <w:color w:val="000000"/>
          <w:lang w:val="en-GB" w:eastAsia="en-GB"/>
        </w:rPr>
        <w:drawing>
          <wp:inline distT="0" distB="0" distL="0" distR="0">
            <wp:extent cx="5206369" cy="37242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9156" cy="3726269"/>
                    </a:xfrm>
                    <a:prstGeom prst="rect">
                      <a:avLst/>
                    </a:prstGeom>
                    <a:noFill/>
                  </pic:spPr>
                </pic:pic>
              </a:graphicData>
            </a:graphic>
          </wp:inline>
        </w:drawing>
      </w:r>
    </w:p>
    <w:p>
      <w:pPr>
        <w:spacing w:after="0"/>
        <w:rPr>
          <w:rFonts w:ascii="Times New Roman" w:eastAsia="Times New Roman" w:hAnsi="Times New Roman" w:cs="Times New Roman"/>
          <w:bCs/>
          <w:i/>
          <w:noProof/>
          <w:color w:val="000000"/>
          <w:sz w:val="20"/>
          <w:szCs w:val="20"/>
        </w:rPr>
      </w:pPr>
      <w:r>
        <w:rPr>
          <w:rFonts w:ascii="Times New Roman" w:hAnsi="Times New Roman"/>
          <w:bCs/>
          <w:i/>
          <w:noProof/>
          <w:sz w:val="20"/>
          <w:szCs w:val="20"/>
        </w:rPr>
        <w:t xml:space="preserve">        Le nombre de demandes est indiqué entre parenthèses.</w:t>
      </w:r>
    </w:p>
    <w:p>
      <w:pPr>
        <w:spacing w:after="0"/>
        <w:rPr>
          <w:rFonts w:ascii="Times New Roman" w:eastAsia="Calibri" w:hAnsi="Times New Roman" w:cs="Times New Roman"/>
          <w:b/>
          <w:noProof/>
          <w:sz w:val="20"/>
          <w:szCs w:val="20"/>
        </w:rPr>
      </w:pPr>
    </w:p>
    <w:p>
      <w:pPr>
        <w:spacing w:after="0"/>
        <w:rPr>
          <w:rFonts w:ascii="Times New Roman" w:eastAsia="Calibri" w:hAnsi="Times New Roman" w:cs="Times New Roman"/>
          <w:b/>
          <w:noProof/>
        </w:rPr>
      </w:pPr>
      <w:r>
        <w:rPr>
          <w:rFonts w:ascii="Times New Roman" w:hAnsi="Times New Roman"/>
          <w:b/>
          <w:noProof/>
        </w:rPr>
        <w:t>Montant moyen demandé au titre du FEM par bénéficiaire:</w:t>
      </w:r>
      <w:r>
        <w:rPr>
          <w:rFonts w:ascii="Times New Roman" w:hAnsi="Times New Roman"/>
          <w:b/>
          <w:noProof/>
        </w:rPr>
        <w:tab/>
        <w:t xml:space="preserve"> 3 167 EUR </w:t>
      </w:r>
    </w:p>
    <w:p>
      <w:pPr>
        <w:spacing w:after="0"/>
        <w:rPr>
          <w:rFonts w:ascii="Times New Roman" w:eastAsia="Calibri" w:hAnsi="Times New Roman" w:cs="Times New Roman"/>
          <w:b/>
          <w:noProof/>
        </w:rPr>
      </w:pPr>
    </w:p>
    <w:p>
      <w:pPr>
        <w:spacing w:after="0"/>
        <w:rPr>
          <w:rFonts w:ascii="Times New Roman" w:eastAsia="Calibri" w:hAnsi="Times New Roman" w:cs="Times New Roman"/>
          <w:b/>
          <w:noProof/>
        </w:rPr>
      </w:pPr>
    </w:p>
    <w:p>
      <w:pPr>
        <w:jc w:val="both"/>
        <w:rPr>
          <w:rFonts w:ascii="Times New Roman" w:eastAsia="Calibri" w:hAnsi="Times New Roman" w:cs="Times New Roman"/>
          <w:noProof/>
        </w:rPr>
      </w:pPr>
      <w:r>
        <w:rPr>
          <w:rFonts w:ascii="Times New Roman" w:hAnsi="Times New Roman"/>
          <w:noProof/>
        </w:rPr>
        <w:t xml:space="preserve">En moyenne, chacun des 12 États membre ayant demandé l’intervention du FEM entre 2014 et 2018 a demandé un montant de 3 167 EUR par bénéficiaire visé. Le plus grand montant moyen par bénéficiaire a été demandé par la Grèce (5 429 EUR), suivi par l’Irlande (4 707 EUR) et la France (3 609 EUR). </w:t>
      </w:r>
    </w:p>
    <w:p>
      <w:pPr>
        <w:rPr>
          <w:rFonts w:ascii="Times New Roman" w:eastAsia="Calibri" w:hAnsi="Times New Roman" w:cs="Times New Roman"/>
          <w:b/>
          <w:i/>
          <w:noProof/>
        </w:rPr>
      </w:pPr>
      <w:r>
        <w:rPr>
          <w:noProof/>
        </w:rPr>
        <w:br w:type="page"/>
      </w:r>
    </w:p>
    <w:p>
      <w:pPr>
        <w:jc w:val="both"/>
        <w:rPr>
          <w:rFonts w:ascii="Times New Roman" w:eastAsia="Calibri" w:hAnsi="Times New Roman" w:cs="Times New Roman"/>
          <w:noProof/>
        </w:rPr>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pPr>
    </w:p>
    <w:p>
      <w:pPr>
        <w:pStyle w:val="Heading2"/>
        <w:jc w:val="center"/>
        <w:rPr>
          <w:rFonts w:ascii="Times New Roman" w:eastAsia="Calibri" w:hAnsi="Times New Roman" w:cs="Times New Roman"/>
          <w:b/>
          <w:i/>
          <w:noProof/>
          <w:color w:val="auto"/>
          <w:sz w:val="24"/>
          <w:szCs w:val="24"/>
        </w:rPr>
      </w:pPr>
      <w:bookmarkStart w:id="13" w:name="_Toc17729962"/>
      <w:r>
        <w:rPr>
          <w:rFonts w:ascii="Times New Roman" w:hAnsi="Times New Roman"/>
          <w:b/>
          <w:i/>
          <w:noProof/>
          <w:color w:val="auto"/>
        </w:rPr>
        <w:t>Tableau 1 —  Rapports finaux reçus entre 2014 et 2018</w:t>
      </w:r>
      <w:bookmarkEnd w:id="13"/>
    </w:p>
    <w:p>
      <w:pPr>
        <w:rPr>
          <w:noProof/>
        </w:rPr>
      </w:pPr>
    </w:p>
    <w:p>
      <w:pPr>
        <w:rPr>
          <w:noProof/>
        </w:rPr>
      </w:pPr>
      <w:r>
        <w:rPr>
          <w:noProof/>
          <w:lang w:val="en-GB" w:eastAsia="en-GB"/>
        </w:rPr>
        <w:drawing>
          <wp:inline distT="0" distB="0" distL="0" distR="0">
            <wp:extent cx="6645910" cy="645982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45910" cy="6459825"/>
                    </a:xfrm>
                    <a:prstGeom prst="rect">
                      <a:avLst/>
                    </a:prstGeom>
                    <a:noFill/>
                    <a:ln>
                      <a:noFill/>
                    </a:ln>
                  </pic:spPr>
                </pic:pic>
              </a:graphicData>
            </a:graphic>
          </wp:inline>
        </w:drawing>
      </w:r>
    </w:p>
    <w:p>
      <w:pPr>
        <w:spacing w:after="0"/>
        <w:jc w:val="both"/>
        <w:rPr>
          <w:rFonts w:ascii="Times New Roman" w:eastAsia="Calibri" w:hAnsi="Times New Roman" w:cs="Times New Roman"/>
          <w:b/>
          <w:noProof/>
          <w:sz w:val="32"/>
          <w:szCs w:val="32"/>
        </w:rPr>
      </w:pPr>
      <w:r>
        <w:rPr>
          <w:rFonts w:ascii="Times New Roman" w:hAnsi="Times New Roman"/>
          <w:noProof/>
          <w:sz w:val="18"/>
          <w:szCs w:val="18"/>
        </w:rPr>
        <w:t>* Le statut sur le marché du travail des bénéficiaires présenté dans ce tableau reflète en principe la situation à la fin de la période de mise en œuvre.</w:t>
      </w:r>
    </w:p>
    <w:p>
      <w:pPr>
        <w:spacing w:after="0" w:line="240" w:lineRule="auto"/>
        <w:jc w:val="both"/>
        <w:rPr>
          <w:rFonts w:ascii="Times New Roman" w:eastAsia="Times New Roman" w:hAnsi="Times New Roman" w:cs="Times New Roman"/>
          <w:b/>
          <w:bCs/>
          <w:noProof/>
          <w:color w:val="000000"/>
          <w:sz w:val="20"/>
          <w:szCs w:val="20"/>
        </w:rPr>
      </w:pPr>
      <w:r>
        <w:rPr>
          <w:rFonts w:ascii="Times New Roman" w:hAnsi="Times New Roman"/>
          <w:noProof/>
          <w:sz w:val="18"/>
          <w:szCs w:val="18"/>
        </w:rPr>
        <w:t xml:space="preserve">** «inactifs» peut signifier que les travailleurs ne sont plus disponibles sur le marché du travail pour divers motifs personnels (début de la retraite, etc.) </w:t>
      </w:r>
    </w:p>
    <w:p>
      <w:pPr>
        <w:spacing w:after="0" w:line="240" w:lineRule="auto"/>
        <w:jc w:val="both"/>
        <w:rPr>
          <w:rFonts w:ascii="Times New Roman" w:eastAsia="Calibri" w:hAnsi="Times New Roman" w:cs="Times New Roman"/>
          <w:noProof/>
          <w:sz w:val="18"/>
          <w:szCs w:val="18"/>
        </w:rPr>
      </w:pPr>
    </w:p>
    <w:p>
      <w:pPr>
        <w:spacing w:after="0" w:line="240" w:lineRule="auto"/>
        <w:jc w:val="both"/>
        <w:rPr>
          <w:rFonts w:ascii="Times New Roman" w:eastAsia="Calibri" w:hAnsi="Times New Roman" w:cs="Times New Roman"/>
          <w:noProof/>
          <w:sz w:val="18"/>
          <w:szCs w:val="18"/>
        </w:rPr>
      </w:pPr>
      <w:r>
        <w:rPr>
          <w:noProof/>
          <w:lang w:val="en-GB" w:eastAsia="en-GB"/>
        </w:rPr>
        <w:drawing>
          <wp:inline distT="0" distB="0" distL="0" distR="0">
            <wp:extent cx="6645910" cy="6490981"/>
            <wp:effectExtent l="0" t="0" r="254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45910" cy="6490981"/>
                    </a:xfrm>
                    <a:prstGeom prst="rect">
                      <a:avLst/>
                    </a:prstGeom>
                    <a:noFill/>
                    <a:ln>
                      <a:noFill/>
                    </a:ln>
                  </pic:spPr>
                </pic:pic>
              </a:graphicData>
            </a:graphic>
          </wp:inline>
        </w:drawing>
      </w:r>
    </w:p>
    <w:p>
      <w:pPr>
        <w:spacing w:after="0" w:line="240" w:lineRule="auto"/>
        <w:jc w:val="both"/>
        <w:rPr>
          <w:rFonts w:ascii="Times New Roman" w:eastAsia="Calibri" w:hAnsi="Times New Roman" w:cs="Times New Roman"/>
          <w:noProof/>
          <w:sz w:val="18"/>
          <w:szCs w:val="18"/>
        </w:rPr>
      </w:pPr>
    </w:p>
    <w:p>
      <w:pPr>
        <w:spacing w:after="0"/>
        <w:jc w:val="both"/>
        <w:rPr>
          <w:rFonts w:ascii="Times New Roman" w:eastAsia="Calibri" w:hAnsi="Times New Roman" w:cs="Times New Roman"/>
          <w:b/>
          <w:noProof/>
          <w:sz w:val="32"/>
          <w:szCs w:val="32"/>
        </w:rPr>
      </w:pPr>
      <w:r>
        <w:rPr>
          <w:rFonts w:ascii="Times New Roman" w:hAnsi="Times New Roman"/>
          <w:noProof/>
          <w:sz w:val="18"/>
          <w:szCs w:val="18"/>
        </w:rPr>
        <w:t>* Le statut sur le marché du travail des bénéficiaires présenté dans ce tableau reflète en principe la situation à la fin de la période de mise en œuvre.</w:t>
      </w:r>
    </w:p>
    <w:p>
      <w:pPr>
        <w:spacing w:after="0" w:line="240" w:lineRule="auto"/>
        <w:jc w:val="both"/>
        <w:rPr>
          <w:rFonts w:ascii="Times New Roman" w:eastAsia="Times New Roman" w:hAnsi="Times New Roman" w:cs="Times New Roman"/>
          <w:b/>
          <w:bCs/>
          <w:noProof/>
          <w:color w:val="000000"/>
          <w:sz w:val="20"/>
          <w:szCs w:val="20"/>
        </w:rPr>
      </w:pPr>
      <w:r>
        <w:rPr>
          <w:rFonts w:ascii="Times New Roman" w:hAnsi="Times New Roman"/>
          <w:noProof/>
          <w:sz w:val="18"/>
          <w:szCs w:val="18"/>
        </w:rPr>
        <w:t xml:space="preserve">** «inactifs» peut signifier que les travailleurs ne sont plus disponibles sur le marché du travail pour divers motifs personnels (début de la retraite, etc.) </w:t>
      </w:r>
    </w:p>
    <w:p>
      <w:pPr>
        <w:spacing w:after="0" w:line="240" w:lineRule="auto"/>
        <w:jc w:val="both"/>
        <w:rPr>
          <w:rFonts w:ascii="Times New Roman" w:eastAsia="Calibri" w:hAnsi="Times New Roman" w:cs="Times New Roman"/>
          <w:noProof/>
          <w:sz w:val="18"/>
          <w:szCs w:val="18"/>
        </w:rPr>
      </w:pPr>
    </w:p>
    <w:p>
      <w:pPr>
        <w:spacing w:after="0" w:line="240" w:lineRule="auto"/>
        <w:jc w:val="both"/>
        <w:rPr>
          <w:rFonts w:ascii="Times New Roman" w:eastAsia="Calibri" w:hAnsi="Times New Roman" w:cs="Times New Roman"/>
          <w:noProof/>
          <w:sz w:val="18"/>
          <w:szCs w:val="18"/>
        </w:rPr>
      </w:pPr>
    </w:p>
    <w:p>
      <w:pPr>
        <w:spacing w:after="0" w:line="240" w:lineRule="auto"/>
        <w:jc w:val="both"/>
        <w:rPr>
          <w:rFonts w:ascii="Times New Roman" w:eastAsia="Calibri" w:hAnsi="Times New Roman" w:cs="Times New Roman"/>
          <w:noProof/>
          <w:sz w:val="18"/>
          <w:szCs w:val="18"/>
        </w:rPr>
      </w:pPr>
    </w:p>
    <w:p>
      <w:pPr>
        <w:rPr>
          <w:rFonts w:ascii="Times New Roman" w:eastAsia="Calibri" w:hAnsi="Times New Roman" w:cs="Times New Roman"/>
          <w:noProof/>
          <w:sz w:val="18"/>
          <w:szCs w:val="18"/>
        </w:rPr>
      </w:pPr>
      <w:r>
        <w:rPr>
          <w:noProof/>
          <w:lang w:val="en-GB" w:eastAsia="en-GB"/>
        </w:rPr>
        <w:drawing>
          <wp:inline distT="0" distB="0" distL="0" distR="0">
            <wp:extent cx="6645910" cy="6779833"/>
            <wp:effectExtent l="0" t="0" r="254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45910" cy="6779833"/>
                    </a:xfrm>
                    <a:prstGeom prst="rect">
                      <a:avLst/>
                    </a:prstGeom>
                    <a:noFill/>
                    <a:ln>
                      <a:noFill/>
                    </a:ln>
                  </pic:spPr>
                </pic:pic>
              </a:graphicData>
            </a:graphic>
          </wp:inline>
        </w:drawing>
      </w:r>
    </w:p>
    <w:p>
      <w:pPr>
        <w:spacing w:after="0"/>
        <w:jc w:val="both"/>
        <w:rPr>
          <w:rFonts w:ascii="Times New Roman" w:eastAsia="Calibri" w:hAnsi="Times New Roman" w:cs="Times New Roman"/>
          <w:b/>
          <w:noProof/>
          <w:sz w:val="32"/>
          <w:szCs w:val="32"/>
        </w:rPr>
      </w:pPr>
      <w:r>
        <w:rPr>
          <w:rFonts w:ascii="Times New Roman" w:hAnsi="Times New Roman"/>
          <w:noProof/>
          <w:sz w:val="18"/>
          <w:szCs w:val="18"/>
        </w:rPr>
        <w:t>* Le statut sur le marché du travail des bénéficiaires présenté dans ce tableau reflète en principe la situation à la fin de la période de mise en œuvre.</w:t>
      </w:r>
    </w:p>
    <w:p>
      <w:pPr>
        <w:spacing w:after="0" w:line="240" w:lineRule="auto"/>
        <w:jc w:val="both"/>
        <w:rPr>
          <w:rFonts w:ascii="Times New Roman" w:eastAsia="Times New Roman" w:hAnsi="Times New Roman" w:cs="Times New Roman"/>
          <w:b/>
          <w:bCs/>
          <w:noProof/>
          <w:color w:val="000000"/>
          <w:sz w:val="20"/>
          <w:szCs w:val="20"/>
        </w:rPr>
      </w:pPr>
      <w:r>
        <w:rPr>
          <w:rFonts w:ascii="Times New Roman" w:hAnsi="Times New Roman"/>
          <w:noProof/>
          <w:sz w:val="18"/>
          <w:szCs w:val="18"/>
        </w:rPr>
        <w:t xml:space="preserve">** «inactifs» peut signifier que les travailleurs ne sont plus disponibles sur le marché du travail pour divers motifs personnels (début de la retraite, etc.) </w:t>
      </w:r>
    </w:p>
    <w:p>
      <w:pPr>
        <w:spacing w:after="0" w:line="240" w:lineRule="auto"/>
        <w:jc w:val="both"/>
        <w:rPr>
          <w:rFonts w:ascii="Times New Roman" w:eastAsia="Calibri" w:hAnsi="Times New Roman" w:cs="Times New Roman"/>
          <w:noProof/>
          <w:sz w:val="18"/>
          <w:szCs w:val="18"/>
        </w:rPr>
      </w:pPr>
    </w:p>
    <w:p>
      <w:pPr>
        <w:rPr>
          <w:rFonts w:ascii="Times New Roman" w:eastAsia="Calibri" w:hAnsi="Times New Roman" w:cs="Times New Roman"/>
          <w:noProof/>
          <w:sz w:val="18"/>
          <w:szCs w:val="18"/>
        </w:rPr>
      </w:pPr>
    </w:p>
    <w:p>
      <w:pPr>
        <w:rPr>
          <w:rFonts w:ascii="Times New Roman" w:eastAsia="Calibri" w:hAnsi="Times New Roman" w:cs="Times New Roman"/>
          <w:noProof/>
          <w:sz w:val="18"/>
          <w:szCs w:val="18"/>
        </w:rPr>
      </w:pPr>
    </w:p>
    <w:p>
      <w:pPr>
        <w:rPr>
          <w:rFonts w:ascii="Times New Roman" w:eastAsia="Calibri" w:hAnsi="Times New Roman" w:cs="Times New Roman"/>
          <w:noProof/>
          <w:sz w:val="18"/>
          <w:szCs w:val="18"/>
        </w:rPr>
        <w:sectPr>
          <w:headerReference w:type="even" r:id="rId33"/>
          <w:headerReference w:type="default" r:id="rId34"/>
          <w:footerReference w:type="even" r:id="rId35"/>
          <w:footerReference w:type="default" r:id="rId36"/>
          <w:headerReference w:type="first" r:id="rId37"/>
          <w:footerReference w:type="first" r:id="rId38"/>
          <w:pgSz w:w="11906" w:h="16838"/>
          <w:pgMar w:top="720" w:right="720" w:bottom="720" w:left="720" w:header="708" w:footer="708" w:gutter="0"/>
          <w:cols w:space="708"/>
          <w:docGrid w:linePitch="360"/>
        </w:sectPr>
      </w:pPr>
    </w:p>
    <w:p>
      <w:pPr>
        <w:pStyle w:val="Heading1"/>
        <w:rPr>
          <w:rFonts w:ascii="Times New Roman" w:hAnsi="Times New Roman" w:cs="Times New Roman"/>
          <w:b/>
          <w:noProof/>
          <w:color w:val="auto"/>
        </w:rPr>
      </w:pPr>
      <w:bookmarkStart w:id="14" w:name="_Toc17729963"/>
      <w:r>
        <w:rPr>
          <w:rFonts w:ascii="Times New Roman" w:hAnsi="Times New Roman"/>
          <w:b/>
          <w:noProof/>
          <w:color w:val="auto"/>
        </w:rPr>
        <w:t>2. Données cumulées entre 2007 et 2018</w:t>
      </w:r>
      <w:bookmarkEnd w:id="14"/>
    </w:p>
    <w:p>
      <w:pPr>
        <w:pStyle w:val="Heading2"/>
        <w:jc w:val="center"/>
        <w:rPr>
          <w:rFonts w:ascii="Times New Roman" w:eastAsia="Calibri" w:hAnsi="Times New Roman" w:cs="Times New Roman"/>
          <w:b/>
          <w:i/>
          <w:noProof/>
          <w:color w:val="auto"/>
          <w:sz w:val="24"/>
          <w:szCs w:val="24"/>
        </w:rPr>
      </w:pPr>
      <w:bookmarkStart w:id="15" w:name="_Toc17729964"/>
      <w:r>
        <w:rPr>
          <w:rFonts w:ascii="Times New Roman" w:hAnsi="Times New Roman"/>
          <w:b/>
          <w:i/>
          <w:noProof/>
          <w:color w:val="auto"/>
        </w:rPr>
        <w:t>Tableau 2 —  Demandes au titre du FEM présentées jusqu’au 31 décembre 2018 par État membre et par type de demande</w:t>
      </w:r>
      <w:bookmarkEnd w:id="15"/>
    </w:p>
    <w:p>
      <w:pPr>
        <w:pStyle w:val="Heading2"/>
        <w:jc w:val="center"/>
        <w:rPr>
          <w:rFonts w:ascii="Times New Roman" w:eastAsia="Calibri" w:hAnsi="Times New Roman" w:cs="Times New Roman"/>
          <w:b/>
          <w:i/>
          <w:noProof/>
          <w:color w:val="auto"/>
          <w:sz w:val="24"/>
          <w:szCs w:val="24"/>
        </w:rPr>
      </w:pPr>
      <w:bookmarkStart w:id="16" w:name="_Toc17729965"/>
      <w:r>
        <w:rPr>
          <w:rFonts w:ascii="Times New Roman" w:hAnsi="Times New Roman"/>
          <w:b/>
          <w:i/>
          <w:noProof/>
          <w:color w:val="auto"/>
        </w:rPr>
        <w:t>(à l’exclusion des demandes rejetées et retirées)</w:t>
      </w:r>
      <w:bookmarkEnd w:id="16"/>
      <w:r>
        <w:rPr>
          <w:rFonts w:ascii="Times New Roman" w:hAnsi="Times New Roman"/>
          <w:b/>
          <w:i/>
          <w:noProof/>
          <w:color w:val="auto"/>
        </w:rPr>
        <w:t xml:space="preserve"> </w:t>
      </w:r>
    </w:p>
    <w:p>
      <w:pPr>
        <w:rPr>
          <w:noProof/>
        </w:rPr>
        <w:sectPr>
          <w:headerReference w:type="even" r:id="rId39"/>
          <w:headerReference w:type="default" r:id="rId40"/>
          <w:footerReference w:type="even" r:id="rId41"/>
          <w:footerReference w:type="default" r:id="rId42"/>
          <w:headerReference w:type="first" r:id="rId43"/>
          <w:footerReference w:type="first" r:id="rId44"/>
          <w:pgSz w:w="16838" w:h="11906" w:orient="landscape"/>
          <w:pgMar w:top="709" w:right="1417" w:bottom="709" w:left="1417" w:header="708" w:footer="708" w:gutter="0"/>
          <w:cols w:space="720"/>
          <w:docGrid w:linePitch="360"/>
        </w:sectPr>
      </w:pPr>
      <w:r>
        <w:rPr>
          <w:noProof/>
          <w:lang w:val="en-GB" w:eastAsia="en-GB"/>
        </w:rPr>
        <w:drawing>
          <wp:inline distT="0" distB="0" distL="0" distR="0">
            <wp:extent cx="8991600" cy="49339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993945" cy="4935237"/>
                    </a:xfrm>
                    <a:prstGeom prst="rect">
                      <a:avLst/>
                    </a:prstGeom>
                    <a:noFill/>
                    <a:ln>
                      <a:noFill/>
                    </a:ln>
                  </pic:spPr>
                </pic:pic>
              </a:graphicData>
            </a:graphic>
          </wp:inline>
        </w:drawing>
      </w:r>
    </w:p>
    <w:p>
      <w:pPr>
        <w:pStyle w:val="Heading2"/>
        <w:jc w:val="center"/>
        <w:rPr>
          <w:rFonts w:ascii="Times New Roman" w:hAnsi="Times New Roman" w:cs="Times New Roman"/>
          <w:b/>
          <w:i/>
          <w:noProof/>
          <w:color w:val="auto"/>
          <w:sz w:val="24"/>
          <w:szCs w:val="24"/>
        </w:rPr>
      </w:pPr>
      <w:bookmarkStart w:id="17" w:name="_Toc17729966"/>
      <w:r>
        <w:rPr>
          <w:rFonts w:ascii="Times New Roman" w:hAnsi="Times New Roman"/>
          <w:b/>
          <w:i/>
          <w:noProof/>
          <w:color w:val="auto"/>
        </w:rPr>
        <w:t>Graphique 9 —  Nombre de demandes reçues entre 2007 et 2018</w:t>
      </w:r>
      <w:bookmarkEnd w:id="17"/>
    </w:p>
    <w:p>
      <w:pPr>
        <w:rPr>
          <w:noProof/>
        </w:rPr>
      </w:pPr>
    </w:p>
    <w:p>
      <w:pPr>
        <w:rPr>
          <w:rFonts w:ascii="Times New Roman" w:hAnsi="Times New Roman" w:cs="Times New Roman"/>
          <w:b/>
          <w:i/>
          <w:noProof/>
          <w:sz w:val="24"/>
          <w:szCs w:val="24"/>
        </w:rPr>
      </w:pPr>
      <w:r>
        <w:rPr>
          <w:rFonts w:ascii="Times New Roman" w:hAnsi="Times New Roman" w:cs="Times New Roman"/>
          <w:b/>
          <w:i/>
          <w:noProof/>
          <w:sz w:val="24"/>
          <w:szCs w:val="24"/>
          <w:lang w:val="en-GB" w:eastAsia="en-GB"/>
        </w:rPr>
        <w:drawing>
          <wp:inline distT="0" distB="0" distL="0" distR="0">
            <wp:extent cx="5882005" cy="265388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05046" cy="2664276"/>
                    </a:xfrm>
                    <a:prstGeom prst="rect">
                      <a:avLst/>
                    </a:prstGeom>
                    <a:noFill/>
                  </pic:spPr>
                </pic:pic>
              </a:graphicData>
            </a:graphic>
          </wp:inline>
        </w:drawing>
      </w:r>
    </w:p>
    <w:p>
      <w:pPr>
        <w:rPr>
          <w:rFonts w:ascii="Times New Roman" w:hAnsi="Times New Roman" w:cs="Times New Roman"/>
          <w:b/>
          <w:i/>
          <w:noProof/>
          <w:sz w:val="24"/>
          <w:szCs w:val="24"/>
        </w:rPr>
      </w:pPr>
    </w:p>
    <w:p>
      <w:pPr>
        <w:jc w:val="both"/>
        <w:rPr>
          <w:rFonts w:ascii="Times New Roman" w:eastAsia="Calibri" w:hAnsi="Times New Roman" w:cs="Times New Roman"/>
          <w:noProof/>
        </w:rPr>
      </w:pPr>
      <w:r>
        <w:rPr>
          <w:rFonts w:ascii="Times New Roman" w:hAnsi="Times New Roman"/>
          <w:noProof/>
        </w:rPr>
        <w:t>Entre 2007 et 2018, la Commission a reçu 81 demandes liées à la crise et 79 demandes liées au commerce mondial. Le nombre total de demandes reçues chaque année est variable, avec en moyenne environ 13 demandes par an.</w:t>
      </w:r>
    </w:p>
    <w:p>
      <w:pPr>
        <w:spacing w:after="160" w:line="259" w:lineRule="auto"/>
        <w:rPr>
          <w:rFonts w:ascii="Times New Roman" w:eastAsiaTheme="majorEastAsia" w:hAnsi="Times New Roman" w:cs="Times New Roman"/>
          <w:b/>
          <w:i/>
          <w:noProof/>
          <w:sz w:val="24"/>
          <w:szCs w:val="24"/>
        </w:rPr>
      </w:pPr>
      <w:r>
        <w:rPr>
          <w:noProof/>
        </w:rPr>
        <w:br w:type="page"/>
      </w:r>
    </w:p>
    <w:p>
      <w:pPr>
        <w:pStyle w:val="Heading2"/>
        <w:jc w:val="center"/>
        <w:rPr>
          <w:rFonts w:ascii="Times New Roman" w:hAnsi="Times New Roman" w:cs="Times New Roman"/>
          <w:b/>
          <w:i/>
          <w:noProof/>
          <w:color w:val="auto"/>
          <w:sz w:val="24"/>
          <w:szCs w:val="24"/>
        </w:rPr>
      </w:pPr>
      <w:bookmarkStart w:id="18" w:name="_Toc17729967"/>
      <w:r>
        <w:rPr>
          <w:rFonts w:ascii="Times New Roman" w:hAnsi="Times New Roman"/>
          <w:b/>
          <w:i/>
          <w:noProof/>
          <w:color w:val="auto"/>
        </w:rPr>
        <w:t>Graphique 10 —  Nombre de travailleurs visés par État membre entre 2007 et 2018</w:t>
      </w:r>
      <w:bookmarkEnd w:id="18"/>
    </w:p>
    <w:p>
      <w:pPr>
        <w:rPr>
          <w:noProof/>
        </w:rPr>
      </w:pPr>
    </w:p>
    <w:p>
      <w:pPr>
        <w:spacing w:after="0" w:line="240" w:lineRule="auto"/>
        <w:jc w:val="center"/>
        <w:rPr>
          <w:rFonts w:ascii="Times New Roman" w:hAnsi="Times New Roman" w:cs="Times New Roman"/>
          <w:b/>
          <w:i/>
          <w:noProof/>
          <w:sz w:val="24"/>
          <w:szCs w:val="24"/>
        </w:rPr>
      </w:pPr>
      <w:r>
        <w:rPr>
          <w:rFonts w:ascii="Times New Roman" w:hAnsi="Times New Roman" w:cs="Times New Roman"/>
          <w:b/>
          <w:i/>
          <w:noProof/>
          <w:sz w:val="24"/>
          <w:szCs w:val="24"/>
          <w:lang w:val="en-GB" w:eastAsia="en-GB"/>
        </w:rPr>
        <w:drawing>
          <wp:inline distT="0" distB="0" distL="0" distR="0">
            <wp:extent cx="5560060" cy="3790319"/>
            <wp:effectExtent l="0" t="0" r="254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566975" cy="3795033"/>
                    </a:xfrm>
                    <a:prstGeom prst="rect">
                      <a:avLst/>
                    </a:prstGeom>
                    <a:noFill/>
                  </pic:spPr>
                </pic:pic>
              </a:graphicData>
            </a:graphic>
          </wp:inline>
        </w:drawing>
      </w:r>
    </w:p>
    <w:p>
      <w:pPr>
        <w:spacing w:after="0" w:line="240" w:lineRule="auto"/>
        <w:rPr>
          <w:rFonts w:ascii="Times New Roman" w:eastAsia="Times New Roman" w:hAnsi="Times New Roman" w:cs="Times New Roman"/>
          <w:bCs/>
          <w:i/>
          <w:noProof/>
          <w:color w:val="000000"/>
          <w:sz w:val="20"/>
          <w:szCs w:val="20"/>
        </w:rPr>
      </w:pPr>
      <w:r>
        <w:rPr>
          <w:rFonts w:ascii="Times New Roman" w:hAnsi="Times New Roman"/>
          <w:bCs/>
          <w:i/>
          <w:noProof/>
          <w:sz w:val="20"/>
          <w:szCs w:val="20"/>
        </w:rPr>
        <w:t xml:space="preserve">  Le nombre de demandes est indiqué entre parenthèses.</w:t>
      </w:r>
    </w:p>
    <w:p>
      <w:pPr>
        <w:spacing w:after="0" w:line="240" w:lineRule="auto"/>
        <w:rPr>
          <w:rFonts w:ascii="Times New Roman" w:hAnsi="Times New Roman" w:cs="Times New Roman"/>
          <w:b/>
          <w:i/>
          <w:noProof/>
          <w:sz w:val="24"/>
          <w:szCs w:val="24"/>
        </w:rPr>
      </w:pPr>
    </w:p>
    <w:p>
      <w:pPr>
        <w:spacing w:after="0"/>
        <w:rPr>
          <w:rFonts w:ascii="Calibri" w:eastAsia="Times New Roman" w:hAnsi="Calibri" w:cs="Calibri"/>
          <w:noProof/>
        </w:rPr>
      </w:pPr>
      <w:r>
        <w:rPr>
          <w:rFonts w:ascii="Times New Roman" w:hAnsi="Times New Roman"/>
          <w:b/>
          <w:bCs/>
          <w:noProof/>
        </w:rPr>
        <w:t xml:space="preserve">Nombre total de travailleurs visés: </w:t>
      </w:r>
      <w:r>
        <w:rPr>
          <w:rFonts w:ascii="Times New Roman" w:hAnsi="Times New Roman"/>
          <w:b/>
          <w:bCs/>
          <w:noProof/>
        </w:rPr>
        <w:tab/>
      </w:r>
      <w:r>
        <w:rPr>
          <w:rFonts w:ascii="Times New Roman" w:hAnsi="Times New Roman"/>
          <w:b/>
          <w:bCs/>
          <w:noProof/>
        </w:rPr>
        <w:tab/>
        <w:t>149 993</w:t>
      </w:r>
    </w:p>
    <w:p>
      <w:pPr>
        <w:jc w:val="both"/>
        <w:rPr>
          <w:rFonts w:ascii="Times New Roman" w:eastAsia="Times New Roman" w:hAnsi="Times New Roman" w:cs="Times New Roman"/>
          <w:noProof/>
          <w:color w:val="000000"/>
        </w:rPr>
      </w:pPr>
      <w:r>
        <w:rPr>
          <w:rFonts w:ascii="Times New Roman" w:hAnsi="Times New Roman"/>
          <w:b/>
          <w:bCs/>
          <w:noProof/>
        </w:rPr>
        <w:t>Nombre moyen de travailleurs visés:</w:t>
      </w:r>
      <w:r>
        <w:rPr>
          <w:rFonts w:ascii="Times New Roman" w:hAnsi="Times New Roman"/>
          <w:b/>
          <w:bCs/>
          <w:noProof/>
        </w:rPr>
        <w:tab/>
      </w:r>
      <w:r>
        <w:rPr>
          <w:rFonts w:ascii="Times New Roman" w:hAnsi="Times New Roman"/>
          <w:b/>
          <w:bCs/>
          <w:noProof/>
        </w:rPr>
        <w:tab/>
        <w:t xml:space="preserve">    7 500</w:t>
      </w:r>
    </w:p>
    <w:p>
      <w:pPr>
        <w:jc w:val="both"/>
        <w:rPr>
          <w:rFonts w:ascii="Times New Roman" w:eastAsia="Times New Roman" w:hAnsi="Times New Roman" w:cs="Times New Roman"/>
          <w:noProof/>
          <w:color w:val="000000"/>
        </w:rPr>
      </w:pPr>
    </w:p>
    <w:p>
      <w:pPr>
        <w:jc w:val="both"/>
        <w:rPr>
          <w:rFonts w:ascii="Times New Roman" w:eastAsia="Times New Roman" w:hAnsi="Times New Roman" w:cs="Times New Roman"/>
          <w:noProof/>
          <w:color w:val="000000"/>
        </w:rPr>
      </w:pPr>
      <w:r>
        <w:rPr>
          <w:rFonts w:ascii="Times New Roman" w:hAnsi="Times New Roman"/>
          <w:noProof/>
        </w:rPr>
        <w:t>Entre 2007 et 2018, les 160 demandes soumises (à l’exclusion des demandes retirées et rejetées) par 20 États membres ont visé 149 993 travailleurs. La France a demandé une aide pour le plus grand nombre de travailleurs (19 444 pour 9 dossiers), suivie de la Belgique (16 447 pour 13 dossiers) et de l’Allemagne (15 153 pour 10 dossiers).</w:t>
      </w:r>
    </w:p>
    <w:p>
      <w:pPr>
        <w:spacing w:after="160" w:line="259" w:lineRule="auto"/>
        <w:rPr>
          <w:rFonts w:ascii="Times New Roman" w:eastAsiaTheme="majorEastAsia" w:hAnsi="Times New Roman" w:cs="Times New Roman"/>
          <w:b/>
          <w:i/>
          <w:noProof/>
          <w:sz w:val="24"/>
          <w:szCs w:val="24"/>
        </w:rPr>
      </w:pPr>
      <w:r>
        <w:rPr>
          <w:noProof/>
        </w:rPr>
        <w:br w:type="page"/>
      </w:r>
    </w:p>
    <w:p>
      <w:pPr>
        <w:pStyle w:val="Heading2"/>
        <w:jc w:val="center"/>
        <w:rPr>
          <w:rFonts w:ascii="Times New Roman" w:hAnsi="Times New Roman" w:cs="Times New Roman"/>
          <w:b/>
          <w:i/>
          <w:noProof/>
          <w:color w:val="auto"/>
          <w:sz w:val="24"/>
          <w:szCs w:val="24"/>
        </w:rPr>
      </w:pPr>
      <w:bookmarkStart w:id="19" w:name="_Toc17729968"/>
      <w:r>
        <w:rPr>
          <w:rFonts w:ascii="Times New Roman" w:hAnsi="Times New Roman"/>
          <w:b/>
          <w:i/>
          <w:noProof/>
          <w:color w:val="auto"/>
        </w:rPr>
        <w:t>Graphique 11 —  Montants totaux demandés au titre du FEM (en EUR) par État membre entre 2007 et 2018</w:t>
      </w:r>
      <w:bookmarkEnd w:id="19"/>
    </w:p>
    <w:p>
      <w:pPr>
        <w:spacing w:after="160" w:line="259" w:lineRule="auto"/>
        <w:rPr>
          <w:rFonts w:ascii="Times New Roman" w:hAnsi="Times New Roman" w:cs="Times New Roman"/>
          <w:b/>
          <w:i/>
          <w:noProof/>
          <w:sz w:val="24"/>
          <w:szCs w:val="24"/>
        </w:rPr>
      </w:pPr>
    </w:p>
    <w:p>
      <w:pPr>
        <w:spacing w:after="0" w:line="240" w:lineRule="auto"/>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lang w:val="en-GB" w:eastAsia="en-GB"/>
        </w:rPr>
        <w:drawing>
          <wp:inline distT="0" distB="0" distL="0" distR="0">
            <wp:extent cx="5993765" cy="3389816"/>
            <wp:effectExtent l="0" t="0" r="6985"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03591" cy="3395373"/>
                    </a:xfrm>
                    <a:prstGeom prst="rect">
                      <a:avLst/>
                    </a:prstGeom>
                    <a:noFill/>
                  </pic:spPr>
                </pic:pic>
              </a:graphicData>
            </a:graphic>
          </wp:inline>
        </w:drawing>
      </w:r>
    </w:p>
    <w:p>
      <w:pPr>
        <w:spacing w:after="0" w:line="240" w:lineRule="auto"/>
        <w:rPr>
          <w:rFonts w:ascii="Times New Roman" w:eastAsia="Times New Roman" w:hAnsi="Times New Roman" w:cs="Times New Roman"/>
          <w:bCs/>
          <w:i/>
          <w:noProof/>
          <w:color w:val="000000"/>
          <w:sz w:val="20"/>
          <w:szCs w:val="20"/>
        </w:rPr>
      </w:pPr>
      <w:r>
        <w:rPr>
          <w:rFonts w:ascii="Times New Roman" w:hAnsi="Times New Roman"/>
          <w:bCs/>
          <w:i/>
          <w:noProof/>
          <w:sz w:val="20"/>
          <w:szCs w:val="20"/>
        </w:rPr>
        <w:t>Le nombre de demandes est indiqué entre parenthèses.</w:t>
      </w:r>
    </w:p>
    <w:p>
      <w:pPr>
        <w:spacing w:after="0" w:line="240" w:lineRule="auto"/>
        <w:rPr>
          <w:rFonts w:ascii="Times New Roman" w:eastAsia="Times New Roman" w:hAnsi="Times New Roman" w:cs="Times New Roman"/>
          <w:b/>
          <w:bCs/>
          <w:noProof/>
          <w:color w:val="000000"/>
        </w:rPr>
      </w:pPr>
    </w:p>
    <w:p>
      <w:pPr>
        <w:spacing w:after="0" w:line="240" w:lineRule="auto"/>
        <w:rPr>
          <w:rFonts w:ascii="Times New Roman" w:eastAsia="Times New Roman" w:hAnsi="Times New Roman" w:cs="Times New Roman"/>
          <w:b/>
          <w:bCs/>
          <w:noProof/>
          <w:color w:val="000000"/>
        </w:rPr>
      </w:pPr>
      <w:r>
        <w:rPr>
          <w:rFonts w:ascii="Times New Roman" w:hAnsi="Times New Roman"/>
          <w:b/>
          <w:bCs/>
          <w:noProof/>
        </w:rPr>
        <w:t xml:space="preserve">Montant total demandé au titre du FEM: </w:t>
      </w:r>
      <w:r>
        <w:rPr>
          <w:rFonts w:ascii="Times New Roman" w:hAnsi="Times New Roman"/>
          <w:b/>
          <w:bCs/>
          <w:noProof/>
        </w:rPr>
        <w:tab/>
      </w:r>
      <w:r>
        <w:rPr>
          <w:rFonts w:ascii="Times New Roman" w:hAnsi="Times New Roman"/>
          <w:b/>
          <w:bCs/>
          <w:noProof/>
        </w:rPr>
        <w:tab/>
        <w:t>633 901 032 EUR </w:t>
      </w:r>
    </w:p>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Montant moyen demandé au titre du FEM:</w:t>
      </w:r>
      <w:r>
        <w:rPr>
          <w:rFonts w:ascii="Times New Roman" w:hAnsi="Times New Roman"/>
          <w:b/>
          <w:bCs/>
          <w:noProof/>
        </w:rPr>
        <w:tab/>
      </w:r>
      <w:r>
        <w:rPr>
          <w:rFonts w:ascii="Times New Roman" w:hAnsi="Times New Roman"/>
          <w:b/>
          <w:bCs/>
          <w:noProof/>
        </w:rPr>
        <w:tab/>
        <w:t>31 695 052 EUR </w:t>
      </w:r>
    </w:p>
    <w:p>
      <w:pPr>
        <w:spacing w:after="0" w:line="240" w:lineRule="auto"/>
        <w:rPr>
          <w:rFonts w:ascii="Times New Roman" w:eastAsia="Times New Roman" w:hAnsi="Times New Roman" w:cs="Times New Roman"/>
          <w:bCs/>
          <w:noProof/>
          <w:color w:val="000000"/>
        </w:rPr>
      </w:pPr>
    </w:p>
    <w:p>
      <w:pPr>
        <w:jc w:val="both"/>
        <w:rPr>
          <w:rFonts w:ascii="Times New Roman" w:eastAsia="Times New Roman" w:hAnsi="Times New Roman" w:cs="Times New Roman"/>
          <w:bCs/>
          <w:noProof/>
          <w:color w:val="000000"/>
        </w:rPr>
      </w:pPr>
    </w:p>
    <w:p>
      <w:pPr>
        <w:jc w:val="both"/>
        <w:rPr>
          <w:rFonts w:ascii="Times New Roman" w:eastAsia="Times New Roman" w:hAnsi="Times New Roman" w:cs="Times New Roman"/>
          <w:bCs/>
          <w:noProof/>
          <w:color w:val="000000"/>
        </w:rPr>
      </w:pPr>
      <w:r>
        <w:rPr>
          <w:rFonts w:ascii="Times New Roman" w:hAnsi="Times New Roman"/>
          <w:bCs/>
          <w:noProof/>
        </w:rPr>
        <w:t>Entre 2007 et 2018, un montant total de 633 901 032 EUR et été demandé au titre du FEM par 20 États membres. C’est la France qui a demandé le montant le plus élevé de cofinancement (99 655 349 pour 9 demandes), suivie par l’Irlande (67 720 204 EUR pour 10 demandes) et l’Italie (63 885 181 EUR pour 14 demandes).</w:t>
      </w:r>
    </w:p>
    <w:p>
      <w:pPr>
        <w:spacing w:after="160" w:line="259" w:lineRule="auto"/>
        <w:rPr>
          <w:rFonts w:ascii="Times New Roman" w:eastAsia="Times New Roman" w:hAnsi="Times New Roman" w:cs="Times New Roman"/>
          <w:noProof/>
          <w:color w:val="000000"/>
        </w:rPr>
      </w:pPr>
      <w:r>
        <w:rPr>
          <w:noProof/>
        </w:rPr>
        <w:br w:type="page"/>
      </w:r>
    </w:p>
    <w:p>
      <w:pPr>
        <w:pStyle w:val="Heading2"/>
        <w:jc w:val="center"/>
        <w:rPr>
          <w:rFonts w:ascii="Times New Roman" w:hAnsi="Times New Roman" w:cs="Times New Roman"/>
          <w:b/>
          <w:i/>
          <w:noProof/>
          <w:color w:val="auto"/>
          <w:sz w:val="24"/>
          <w:szCs w:val="24"/>
        </w:rPr>
      </w:pPr>
      <w:bookmarkStart w:id="20" w:name="_Toc17729969"/>
      <w:r>
        <w:rPr>
          <w:rFonts w:ascii="Times New Roman" w:hAnsi="Times New Roman"/>
          <w:b/>
          <w:i/>
          <w:noProof/>
          <w:color w:val="auto"/>
        </w:rPr>
        <w:t>Graphique 12 —  Montant moyen demandé au titre du FEM par bénéficiaire et par État membre, entre 2007 et 2018</w:t>
      </w:r>
      <w:bookmarkEnd w:id="20"/>
    </w:p>
    <w:p>
      <w:pPr>
        <w:rPr>
          <w:noProof/>
        </w:rPr>
      </w:pPr>
    </w:p>
    <w:p>
      <w:pPr>
        <w:spacing w:after="0" w:line="240" w:lineRule="auto"/>
        <w:jc w:val="center"/>
        <w:rPr>
          <w:noProof/>
        </w:rPr>
      </w:pPr>
      <w:r>
        <w:rPr>
          <w:noProof/>
          <w:lang w:val="en-GB" w:eastAsia="en-GB"/>
        </w:rPr>
        <w:drawing>
          <wp:inline distT="0" distB="0" distL="0" distR="0">
            <wp:extent cx="5792391" cy="41846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99528" cy="4189806"/>
                    </a:xfrm>
                    <a:prstGeom prst="rect">
                      <a:avLst/>
                    </a:prstGeom>
                    <a:noFill/>
                  </pic:spPr>
                </pic:pic>
              </a:graphicData>
            </a:graphic>
          </wp:inline>
        </w:drawing>
      </w:r>
    </w:p>
    <w:p>
      <w:pPr>
        <w:spacing w:after="0" w:line="240" w:lineRule="auto"/>
        <w:rPr>
          <w:rFonts w:ascii="Times New Roman" w:eastAsia="Times New Roman" w:hAnsi="Times New Roman" w:cs="Times New Roman"/>
          <w:bCs/>
          <w:i/>
          <w:noProof/>
          <w:color w:val="000000"/>
          <w:sz w:val="20"/>
          <w:szCs w:val="20"/>
        </w:rPr>
      </w:pPr>
      <w:r>
        <w:rPr>
          <w:rFonts w:ascii="Times New Roman" w:hAnsi="Times New Roman"/>
          <w:bCs/>
          <w:i/>
          <w:noProof/>
          <w:sz w:val="20"/>
          <w:szCs w:val="20"/>
        </w:rPr>
        <w:t>Le nombre de demandes est indiqué entre parenthèses.</w:t>
      </w:r>
    </w:p>
    <w:p>
      <w:pPr>
        <w:rPr>
          <w:noProof/>
        </w:rPr>
      </w:pPr>
    </w:p>
    <w:p>
      <w:pPr>
        <w:spacing w:after="0"/>
        <w:rPr>
          <w:rFonts w:ascii="Times New Roman" w:eastAsia="Calibri" w:hAnsi="Times New Roman" w:cs="Times New Roman"/>
          <w:b/>
          <w:noProof/>
        </w:rPr>
      </w:pPr>
      <w:r>
        <w:rPr>
          <w:rFonts w:ascii="Times New Roman" w:hAnsi="Times New Roman"/>
          <w:b/>
          <w:noProof/>
        </w:rPr>
        <w:t>Montant moyen demandé au titre du FEM par bénéficiaire:</w:t>
      </w:r>
      <w:r>
        <w:rPr>
          <w:rFonts w:ascii="Times New Roman" w:hAnsi="Times New Roman"/>
          <w:b/>
          <w:noProof/>
        </w:rPr>
        <w:tab/>
        <w:t xml:space="preserve"> 4 114 EUR </w:t>
      </w:r>
    </w:p>
    <w:p>
      <w:pPr>
        <w:spacing w:after="0"/>
        <w:rPr>
          <w:rFonts w:ascii="Times New Roman" w:eastAsia="Calibri" w:hAnsi="Times New Roman" w:cs="Times New Roman"/>
          <w:b/>
          <w:noProof/>
        </w:rPr>
      </w:pPr>
    </w:p>
    <w:p>
      <w:pPr>
        <w:spacing w:after="0"/>
        <w:rPr>
          <w:rFonts w:ascii="Times New Roman" w:eastAsia="Calibri" w:hAnsi="Times New Roman" w:cs="Times New Roman"/>
          <w:b/>
          <w:noProof/>
        </w:rPr>
      </w:pPr>
    </w:p>
    <w:p>
      <w:pPr>
        <w:jc w:val="both"/>
        <w:rPr>
          <w:rFonts w:ascii="Times New Roman" w:eastAsia="Calibri" w:hAnsi="Times New Roman" w:cs="Times New Roman"/>
          <w:noProof/>
        </w:rPr>
      </w:pPr>
      <w:r>
        <w:rPr>
          <w:rFonts w:ascii="Times New Roman" w:hAnsi="Times New Roman"/>
          <w:noProof/>
        </w:rPr>
        <w:t>En moyenne, chacun des 20 États membres ayant demandé l’intervention du FEM entre 2007 et 2018 a demandé un montant de 4 114 EUR par bénéficiaire visé. Le plus grand montant moyen par bénéficiaire a été demandé par l’Autriche (14 343 EUR pour 9 dossiers et 1 952 bénéficiaires), suivi par le Danemark (10 215 pour 10 dossiers et 6 234 bénéficiaires) et l’Irlande (6 042 EUR pour 10 dossiers et 11 209 bénéficiaires).</w:t>
      </w:r>
    </w:p>
    <w:p>
      <w:pPr>
        <w:jc w:val="both"/>
        <w:rPr>
          <w:rFonts w:ascii="Times New Roman" w:eastAsia="Times New Roman" w:hAnsi="Times New Roman" w:cs="Times New Roman"/>
          <w:noProof/>
          <w:color w:val="000000"/>
        </w:rPr>
      </w:pPr>
      <w:r>
        <w:rPr>
          <w:rFonts w:ascii="Times New Roman" w:hAnsi="Times New Roman"/>
          <w:noProof/>
        </w:rPr>
        <w:t xml:space="preserve"> </w:t>
      </w:r>
    </w:p>
    <w:p>
      <w:pPr>
        <w:rPr>
          <w:noProof/>
        </w:rPr>
        <w:sectPr>
          <w:headerReference w:type="even" r:id="rId50"/>
          <w:headerReference w:type="default" r:id="rId51"/>
          <w:footerReference w:type="even" r:id="rId52"/>
          <w:footerReference w:type="default" r:id="rId53"/>
          <w:headerReference w:type="first" r:id="rId54"/>
          <w:footerReference w:type="first" r:id="rId55"/>
          <w:pgSz w:w="11906" w:h="16838"/>
          <w:pgMar w:top="1417" w:right="1417" w:bottom="1417" w:left="1417" w:header="708" w:footer="708" w:gutter="0"/>
          <w:cols w:space="720"/>
          <w:docGrid w:linePitch="360"/>
        </w:sectPr>
      </w:pPr>
    </w:p>
    <w:p>
      <w:pPr>
        <w:pStyle w:val="Heading2"/>
        <w:jc w:val="center"/>
        <w:rPr>
          <w:rFonts w:ascii="Times New Roman" w:eastAsia="Calibri" w:hAnsi="Times New Roman" w:cs="Times New Roman"/>
          <w:b/>
          <w:i/>
          <w:noProof/>
          <w:color w:val="auto"/>
          <w:sz w:val="24"/>
          <w:szCs w:val="24"/>
        </w:rPr>
      </w:pPr>
      <w:bookmarkStart w:id="21" w:name="_Toc17729970"/>
      <w:r>
        <w:rPr>
          <w:rFonts w:ascii="Times New Roman" w:hAnsi="Times New Roman"/>
          <w:b/>
          <w:i/>
          <w:noProof/>
          <w:color w:val="auto"/>
        </w:rPr>
        <w:t>Tableau 3 —  Demandes d’intervention au titre de FEM soumises par secteur jusqu’au 31 décembre 2018</w:t>
      </w:r>
      <w:bookmarkEnd w:id="21"/>
    </w:p>
    <w:p>
      <w:pPr>
        <w:rPr>
          <w:noProof/>
        </w:rPr>
      </w:pPr>
      <w:r>
        <w:rPr>
          <w:noProof/>
          <w:lang w:val="en-GB" w:eastAsia="en-GB"/>
        </w:rPr>
        <w:drawing>
          <wp:inline distT="0" distB="0" distL="0" distR="0">
            <wp:extent cx="5731347" cy="813435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4342" cy="8138601"/>
                    </a:xfrm>
                    <a:prstGeom prst="rect">
                      <a:avLst/>
                    </a:prstGeom>
                    <a:noFill/>
                    <a:ln>
                      <a:noFill/>
                    </a:ln>
                  </pic:spPr>
                </pic:pic>
              </a:graphicData>
            </a:graphic>
          </wp:inline>
        </w:drawing>
      </w:r>
    </w:p>
    <w:p>
      <w:pPr>
        <w:rPr>
          <w:noProof/>
        </w:rPr>
      </w:pPr>
      <w:r>
        <w:rPr>
          <w:noProof/>
          <w:lang w:val="en-GB" w:eastAsia="en-GB"/>
        </w:rPr>
        <w:drawing>
          <wp:inline distT="0" distB="0" distL="0" distR="0">
            <wp:extent cx="5731510" cy="9314633"/>
            <wp:effectExtent l="0" t="0" r="254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1510" cy="9314633"/>
                    </a:xfrm>
                    <a:prstGeom prst="rect">
                      <a:avLst/>
                    </a:prstGeom>
                    <a:noFill/>
                    <a:ln>
                      <a:noFill/>
                    </a:ln>
                  </pic:spPr>
                </pic:pic>
              </a:graphicData>
            </a:graphic>
          </wp:inline>
        </w:drawing>
      </w:r>
    </w:p>
    <w:p>
      <w:pPr>
        <w:jc w:val="center"/>
        <w:rPr>
          <w:noProof/>
        </w:rPr>
      </w:pPr>
      <w:r>
        <w:rPr>
          <w:noProof/>
          <w:lang w:val="en-GB" w:eastAsia="en-GB"/>
        </w:rPr>
        <w:drawing>
          <wp:inline distT="0" distB="0" distL="0" distR="0">
            <wp:extent cx="5743575" cy="9219014"/>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48803" cy="9227405"/>
                    </a:xfrm>
                    <a:prstGeom prst="rect">
                      <a:avLst/>
                    </a:prstGeom>
                    <a:noFill/>
                    <a:ln>
                      <a:noFill/>
                    </a:ln>
                  </pic:spPr>
                </pic:pic>
              </a:graphicData>
            </a:graphic>
          </wp:inline>
        </w:drawing>
      </w:r>
    </w:p>
    <w:p>
      <w:pPr>
        <w:rPr>
          <w:rFonts w:ascii="Times New Roman" w:hAnsi="Times New Roman" w:cs="Times New Roman"/>
          <w:i/>
          <w:noProof/>
          <w:sz w:val="20"/>
          <w:szCs w:val="20"/>
        </w:rPr>
        <w:sectPr>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cols w:space="708"/>
          <w:docGrid w:linePitch="360"/>
        </w:sectPr>
      </w:pPr>
      <w:r>
        <w:rPr>
          <w:rFonts w:ascii="Times New Roman" w:hAnsi="Times New Roman"/>
          <w:i/>
          <w:noProof/>
          <w:sz w:val="20"/>
          <w:szCs w:val="20"/>
        </w:rPr>
        <w:t xml:space="preserve">* Le nombre total de demandes reçues entre 2007 et 2018 est de 160, mais la demande </w:t>
      </w:r>
      <w:r>
        <w:rPr>
          <w:rFonts w:ascii="Times New Roman" w:hAnsi="Times New Roman"/>
          <w:i/>
          <w:iCs/>
          <w:noProof/>
          <w:sz w:val="20"/>
          <w:szCs w:val="20"/>
        </w:rPr>
        <w:t>EGF/2016/003 EE/Petroleum and chemicals</w:t>
      </w:r>
      <w:r>
        <w:rPr>
          <w:rFonts w:ascii="Times New Roman" w:hAnsi="Times New Roman"/>
          <w:i/>
          <w:noProof/>
          <w:sz w:val="20"/>
          <w:szCs w:val="20"/>
        </w:rPr>
        <w:t xml:space="preserve"> couvre deux secteurs différents (19 et 20) et est donc comptabilisée deux fois.</w:t>
      </w:r>
    </w:p>
    <w:p>
      <w:pPr>
        <w:pStyle w:val="Heading2"/>
        <w:jc w:val="center"/>
        <w:rPr>
          <w:rFonts w:ascii="Times New Roman" w:hAnsi="Times New Roman" w:cs="Times New Roman"/>
          <w:b/>
          <w:i/>
          <w:noProof/>
          <w:color w:val="auto"/>
          <w:sz w:val="24"/>
          <w:szCs w:val="24"/>
        </w:rPr>
      </w:pPr>
      <w:bookmarkStart w:id="22" w:name="_Toc17729971"/>
      <w:r>
        <w:rPr>
          <w:rFonts w:ascii="Times New Roman" w:hAnsi="Times New Roman"/>
          <w:b/>
          <w:i/>
          <w:noProof/>
          <w:color w:val="auto"/>
        </w:rPr>
        <w:t>Graphique 13 —  Nombre de demandes par secteur (NACE Rév. 2), entre 2007 et 2018</w:t>
      </w:r>
      <w:bookmarkEnd w:id="22"/>
    </w:p>
    <w:p>
      <w:pPr>
        <w:rPr>
          <w:noProof/>
        </w:rPr>
      </w:pPr>
    </w:p>
    <w:p>
      <w:pPr>
        <w:rPr>
          <w:noProof/>
        </w:rPr>
      </w:pPr>
      <w:r>
        <w:rPr>
          <w:noProof/>
          <w:lang w:val="en-GB" w:eastAsia="en-GB"/>
        </w:rPr>
        <w:drawing>
          <wp:inline distT="0" distB="0" distL="0" distR="0">
            <wp:extent cx="8689340" cy="5117876"/>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699275" cy="5123727"/>
                    </a:xfrm>
                    <a:prstGeom prst="rect">
                      <a:avLst/>
                    </a:prstGeom>
                    <a:noFill/>
                  </pic:spPr>
                </pic:pic>
              </a:graphicData>
            </a:graphic>
          </wp:inline>
        </w:drawing>
      </w:r>
    </w:p>
    <w:p>
      <w:pPr>
        <w:spacing w:after="0"/>
        <w:jc w:val="both"/>
        <w:rPr>
          <w:rFonts w:ascii="Times New Roman" w:eastAsia="Calibri" w:hAnsi="Times New Roman" w:cs="Times New Roman"/>
          <w:i/>
          <w:noProof/>
          <w:sz w:val="20"/>
          <w:szCs w:val="20"/>
        </w:rPr>
      </w:pPr>
      <w:r>
        <w:rPr>
          <w:rFonts w:ascii="Times New Roman" w:hAnsi="Times New Roman"/>
          <w:i/>
          <w:noProof/>
          <w:sz w:val="20"/>
          <w:szCs w:val="20"/>
        </w:rPr>
        <w:t>* La demande EGF/2016/003 EE/Petroleum and chemicals couvre deux secteurs différents (19 et 20).</w:t>
      </w:r>
    </w:p>
    <w:p>
      <w:pPr>
        <w:spacing w:after="0"/>
        <w:jc w:val="both"/>
        <w:rPr>
          <w:rFonts w:ascii="Times New Roman" w:eastAsia="Calibri" w:hAnsi="Times New Roman" w:cs="Times New Roman"/>
          <w:b/>
          <w:noProof/>
          <w:sz w:val="20"/>
          <w:szCs w:val="20"/>
        </w:rPr>
      </w:pPr>
    </w:p>
    <w:p>
      <w:pPr>
        <w:spacing w:after="0"/>
        <w:jc w:val="both"/>
        <w:rPr>
          <w:rFonts w:ascii="Times New Roman" w:eastAsia="Calibri" w:hAnsi="Times New Roman" w:cs="Times New Roman"/>
          <w:b/>
          <w:noProof/>
        </w:rPr>
      </w:pPr>
      <w:r>
        <w:rPr>
          <w:rFonts w:ascii="Times New Roman" w:hAnsi="Times New Roman"/>
          <w:b/>
          <w:noProof/>
        </w:rPr>
        <w:t xml:space="preserve">Nombre total de secteurs: </w:t>
      </w:r>
      <w:r>
        <w:rPr>
          <w:rFonts w:ascii="Times New Roman" w:hAnsi="Times New Roman"/>
          <w:b/>
          <w:noProof/>
        </w:rPr>
        <w:tab/>
        <w:t>37</w:t>
      </w:r>
    </w:p>
    <w:p>
      <w:pPr>
        <w:spacing w:after="0"/>
        <w:jc w:val="both"/>
        <w:rPr>
          <w:rFonts w:ascii="Times New Roman" w:eastAsia="Times New Roman" w:hAnsi="Times New Roman" w:cs="Times New Roman"/>
          <w:noProof/>
          <w:color w:val="000000"/>
        </w:rPr>
      </w:pPr>
    </w:p>
    <w:p>
      <w:pPr>
        <w:jc w:val="both"/>
        <w:rPr>
          <w:rFonts w:ascii="Times New Roman" w:eastAsia="Times New Roman" w:hAnsi="Times New Roman" w:cs="Times New Roman"/>
          <w:noProof/>
          <w:color w:val="000000"/>
        </w:rPr>
      </w:pPr>
      <w:r>
        <w:rPr>
          <w:rFonts w:ascii="Times New Roman" w:hAnsi="Times New Roman"/>
          <w:noProof/>
        </w:rPr>
        <w:t xml:space="preserve">Entre 2007 et 2018, la Commission a reçu 160 demandes d’intervention du FEM émanant d’un large éventail de secteurs (37). Le plus grand nombre de demandes reçues concernait le secteur de l’industrie automobile (23), suivi par le secteur des produits informatiques, électroniques et optiques (17) et le secteur des machines et équipements (15). </w:t>
      </w:r>
    </w:p>
    <w:p>
      <w:pPr>
        <w:pStyle w:val="Heading2"/>
        <w:jc w:val="center"/>
        <w:rPr>
          <w:rFonts w:ascii="Times New Roman" w:hAnsi="Times New Roman" w:cs="Times New Roman"/>
          <w:b/>
          <w:i/>
          <w:noProof/>
          <w:color w:val="auto"/>
          <w:sz w:val="24"/>
          <w:szCs w:val="24"/>
        </w:rPr>
      </w:pPr>
      <w:bookmarkStart w:id="23" w:name="_Toc17729972"/>
      <w:r>
        <w:rPr>
          <w:rFonts w:ascii="Times New Roman" w:hAnsi="Times New Roman"/>
          <w:b/>
          <w:i/>
          <w:noProof/>
          <w:color w:val="auto"/>
        </w:rPr>
        <w:t>Graphique 14 —  Nombre de travailleurs visés par secteur (NACE Rév. 2), entre 2007 et 2018</w:t>
      </w:r>
      <w:bookmarkEnd w:id="23"/>
    </w:p>
    <w:p>
      <w:pPr>
        <w:rPr>
          <w:noProof/>
        </w:rPr>
      </w:pPr>
    </w:p>
    <w:p>
      <w:pPr>
        <w:rPr>
          <w:noProof/>
        </w:rPr>
      </w:pPr>
      <w:r>
        <w:rPr>
          <w:noProof/>
          <w:lang w:val="en-GB" w:eastAsia="en-GB"/>
        </w:rPr>
        <w:drawing>
          <wp:inline distT="0" distB="0" distL="0" distR="0">
            <wp:extent cx="8753475" cy="3695065"/>
            <wp:effectExtent l="0" t="0" r="9525"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768691" cy="3701488"/>
                    </a:xfrm>
                    <a:prstGeom prst="rect">
                      <a:avLst/>
                    </a:prstGeom>
                    <a:noFill/>
                  </pic:spPr>
                </pic:pic>
              </a:graphicData>
            </a:graphic>
          </wp:inline>
        </w:drawing>
      </w:r>
    </w:p>
    <w:p>
      <w:pPr>
        <w:spacing w:after="0" w:line="240" w:lineRule="auto"/>
        <w:jc w:val="both"/>
        <w:rPr>
          <w:rFonts w:ascii="Times New Roman" w:eastAsia="Times New Roman" w:hAnsi="Times New Roman" w:cs="Times New Roman"/>
          <w:i/>
          <w:iCs/>
          <w:noProof/>
          <w:color w:val="000000"/>
          <w:sz w:val="20"/>
          <w:szCs w:val="20"/>
        </w:rPr>
      </w:pPr>
      <w:r>
        <w:rPr>
          <w:rFonts w:ascii="Times New Roman" w:hAnsi="Times New Roman"/>
          <w:i/>
          <w:iCs/>
          <w:noProof/>
        </w:rPr>
        <w:t>* La demande EGF/2016/003 EE/Petroleum and chemicals couvre deux secteurs différents (19 et 20).</w:t>
      </w:r>
      <w:r>
        <w:rPr>
          <w:rFonts w:ascii="Times New Roman" w:hAnsi="Times New Roman"/>
          <w:i/>
          <w:iCs/>
          <w:noProof/>
          <w:sz w:val="20"/>
          <w:szCs w:val="20"/>
        </w:rPr>
        <w:t xml:space="preserve"> Le nombre de travailleurs visés dans ces secteurs est indiqué au prorata, reflétant la composition du groupe de travailleurs licenciés. </w:t>
      </w:r>
    </w:p>
    <w:p>
      <w:pPr>
        <w:spacing w:after="0"/>
        <w:jc w:val="both"/>
        <w:rPr>
          <w:rFonts w:ascii="Times New Roman" w:eastAsia="Calibri" w:hAnsi="Times New Roman" w:cs="Times New Roman"/>
          <w:b/>
          <w:noProof/>
        </w:rPr>
      </w:pPr>
    </w:p>
    <w:p>
      <w:pPr>
        <w:spacing w:after="0"/>
        <w:jc w:val="both"/>
        <w:rPr>
          <w:rFonts w:ascii="Times New Roman" w:eastAsia="Calibri" w:hAnsi="Times New Roman" w:cs="Times New Roman"/>
          <w:b/>
          <w:noProof/>
        </w:rPr>
      </w:pPr>
      <w:r>
        <w:rPr>
          <w:rFonts w:ascii="Times New Roman" w:hAnsi="Times New Roman"/>
          <w:b/>
          <w:noProof/>
        </w:rPr>
        <w:t xml:space="preserve">Nombre total de travailleurs visés dans les 37 secteurs: </w:t>
      </w:r>
      <w:r>
        <w:rPr>
          <w:rFonts w:ascii="Times New Roman" w:hAnsi="Times New Roman"/>
          <w:b/>
          <w:noProof/>
        </w:rPr>
        <w:tab/>
        <w:t>149 993</w:t>
      </w:r>
    </w:p>
    <w:p>
      <w:pPr>
        <w:spacing w:after="0"/>
        <w:jc w:val="both"/>
        <w:rPr>
          <w:rFonts w:ascii="Times New Roman" w:eastAsia="Calibri" w:hAnsi="Times New Roman" w:cs="Times New Roman"/>
          <w:b/>
          <w:noProof/>
        </w:rPr>
      </w:pPr>
    </w:p>
    <w:p>
      <w:pPr>
        <w:jc w:val="both"/>
        <w:rPr>
          <w:rFonts w:ascii="Times New Roman" w:eastAsia="Calibri" w:hAnsi="Times New Roman" w:cs="Times New Roman"/>
          <w:noProof/>
        </w:rPr>
      </w:pPr>
      <w:r>
        <w:rPr>
          <w:rFonts w:ascii="Times New Roman" w:hAnsi="Times New Roman"/>
          <w:noProof/>
        </w:rPr>
        <w:t>Entre 2007 et 2018, les demandes d’intervention du FEM reçues par la Commission de la part de 20 États membres ont visé 149 993 travailleurs qui ont été licenciés dans 37 secteurs différents. Le plus grand nombre de travailleurs visés par l’intervention émanait du secteur de l’industrie automobile (33 202), suivi par le secteur des produits informatiques, électroniques et optiques (21 263) et le secteur des machines et équipements (11 657)</w:t>
      </w:r>
    </w:p>
    <w:sectPr>
      <w:headerReference w:type="even" r:id="rId67"/>
      <w:headerReference w:type="default" r:id="rId68"/>
      <w:footerReference w:type="even" r:id="rId69"/>
      <w:footerReference w:type="default" r:id="rId70"/>
      <w:headerReference w:type="first" r:id="rId71"/>
      <w:footerReference w:type="first" r:id="rId72"/>
      <w:pgSz w:w="16838" w:h="11906" w:orient="landscape"/>
      <w:pgMar w:top="810"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24416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14</w:t>
        </w:r>
        <w:r>
          <w:rPr>
            <w:rFonts w:ascii="Times New Roman" w:hAnsi="Times New Roman" w:cs="Times New Roman"/>
          </w:rPr>
          <w:fldChar w:fldCharType="end"/>
        </w:r>
      </w:p>
    </w:sdtContent>
  </w:sdt>
  <w:p>
    <w:pPr>
      <w:pStyle w:val="Footer"/>
      <w:jc w:val="center"/>
      <w:rPr>
        <w:lang w:val="fr-BE"/>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037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18</w:t>
        </w:r>
        <w:r>
          <w:rPr>
            <w:rFonts w:ascii="Times New Roman" w:hAnsi="Times New Roman" w:cs="Times New Roman"/>
          </w:rPr>
          <w:fldChar w:fldCharType="end"/>
        </w:r>
      </w:p>
    </w:sdtContent>
  </w:sdt>
  <w:p>
    <w:pPr>
      <w:pStyle w:val="Footer"/>
      <w:jc w:val="center"/>
      <w:rPr>
        <w:lang w:val="fr-BE"/>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5567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22</w:t>
        </w:r>
        <w:r>
          <w:rPr>
            <w:rFonts w:ascii="Times New Roman" w:hAnsi="Times New Roman" w:cs="Times New Roman"/>
          </w:rPr>
          <w:fldChar w:fldCharType="end"/>
        </w:r>
      </w:p>
    </w:sdtContent>
  </w:sdt>
  <w:p>
    <w:pPr>
      <w:pStyle w:val="Footer"/>
      <w:jc w:val="center"/>
      <w:rPr>
        <w:lang w:val="fr-BE"/>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01006698"/>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25</w:t>
        </w:r>
        <w:r>
          <w:rPr>
            <w:rFonts w:ascii="Times New Roman" w:hAnsi="Times New Roman" w:cs="Times New Roman"/>
          </w:rPr>
          <w:fldChar w:fldCharType="end"/>
        </w:r>
      </w:p>
    </w:sdtContent>
  </w:sdt>
  <w:p>
    <w:pPr>
      <w:pStyle w:val="Footer"/>
    </w:pPr>
  </w:p>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7983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jc w:val="center"/>
      <w:rPr>
        <w:lang w:val="fr-B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14485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13</w:t>
        </w:r>
        <w:r>
          <w:rPr>
            <w:rFonts w:ascii="Times New Roman" w:hAnsi="Times New Roman" w:cs="Times New Roman"/>
          </w:rPr>
          <w:fldChar w:fldCharType="end"/>
        </w:r>
      </w:p>
    </w:sdtContent>
  </w:sdt>
  <w:p>
    <w:pPr>
      <w:pStyle w:val="Footer"/>
      <w:jc w:val="center"/>
      <w:rPr>
        <w:lang w:val="fr-BE"/>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Fonts w:cs="Times New Roman"/>
          <w:sz w:val="18"/>
          <w:szCs w:val="18"/>
        </w:rPr>
        <w:footnoteRef/>
      </w:r>
      <w:r>
        <w:t> Ce chiffre s’élève à 51 si l’on tient compte des trois dossiers retirés.</w:t>
      </w:r>
      <w:r>
        <w:rPr>
          <w:sz w:val="18"/>
          <w:szCs w:val="18"/>
        </w:rPr>
        <w:t xml:space="preserve"> Néanmoins, les dossiers retirés et rejetés ne sont pas pris en considération dans les statistiques. </w:t>
      </w:r>
    </w:p>
  </w:footnote>
  <w:footnote w:id="2">
    <w:p>
      <w:pPr>
        <w:pStyle w:val="FootnoteText"/>
        <w:jc w:val="both"/>
        <w:rPr>
          <w:sz w:val="18"/>
          <w:szCs w:val="18"/>
        </w:rPr>
      </w:pPr>
      <w:r>
        <w:rPr>
          <w:rStyle w:val="FootnoteReference"/>
          <w:rFonts w:cs="Times New Roman"/>
          <w:sz w:val="18"/>
          <w:szCs w:val="18"/>
        </w:rPr>
        <w:footnoteRef/>
      </w:r>
      <w:r>
        <w:rPr>
          <w:rStyle w:val="FootnoteReference"/>
          <w:sz w:val="18"/>
          <w:szCs w:val="18"/>
        </w:rPr>
        <w:t xml:space="preserve"> </w:t>
      </w:r>
      <w:r>
        <w:rPr>
          <w:sz w:val="18"/>
          <w:szCs w:val="18"/>
        </w:rPr>
        <w:t xml:space="preserve">Estimation du nombre de bénéficiaires visés par les États membres pendant la phase d’introduction des demandes.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31194"/>
    <w:multiLevelType w:val="hybridMultilevel"/>
    <w:tmpl w:val="D8802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BD7614"/>
    <w:multiLevelType w:val="hybridMultilevel"/>
    <w:tmpl w:val="CE88D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5B7ACF"/>
    <w:multiLevelType w:val="hybridMultilevel"/>
    <w:tmpl w:val="ED44D5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du"/>
    <w:docVar w:name="LW_ANNEX_NBR_FIRST" w:val="1"/>
    <w:docVar w:name="LW_ANNEX_NBR_LAST" w:val="1"/>
    <w:docVar w:name="LW_ANNEX_UNIQUE" w:val="0"/>
    <w:docVar w:name="LW_CORRIGENDUM" w:val="&lt;UNUSED&gt;"/>
    <w:docVar w:name="LW_COVERPAGE_EXISTS" w:val="True"/>
    <w:docVar w:name="LW_COVERPAGE_GUID" w:val="AD49C640-3854-417D-8AF3-F1D5895025F5"/>
    <w:docVar w:name="LW_COVERPAGE_TYPE" w:val="1"/>
    <w:docVar w:name="LW_CROSSREFERENCE" w:val="&lt;UNUSED&gt;"/>
    <w:docVar w:name="LW_DocType" w:val="NORMAL"/>
    <w:docVar w:name="LW_EMISSION" w:val="16.9.2019"/>
    <w:docVar w:name="LW_EMISSION_ISODATE" w:val="2019-09-16"/>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DE LA COMMISSION AU PARLEMENT EUROPÉEN ET AU CONSEIL_x000d__x000b_concernant les activités du Fonds européen d'ajustement à la mondialisation en 2017 et 2018"/>
    <w:docVar w:name="LW_PART_NBR" w:val="1"/>
    <w:docVar w:name="LW_PART_NBR_TOTAL" w:val="1"/>
    <w:docVar w:name="LW_REF.INST.NEW" w:val="COM"/>
    <w:docVar w:name="LW_REF.INST.NEW_ADOPTED" w:val="final"/>
    <w:docVar w:name="LW_REF.INST.NEW_TEXT" w:val="(2019) 4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qFormat/>
    <w:pPr>
      <w:tabs>
        <w:tab w:val="right" w:leader="dot" w:pos="9062"/>
      </w:tabs>
      <w:spacing w:after="100"/>
    </w:pPr>
    <w:rPr>
      <w:rFonts w:ascii="Times New Roman" w:hAnsi="Times New Roman"/>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qFormat/>
    <w:pPr>
      <w:spacing w:after="100"/>
      <w:ind w:left="220"/>
    </w:pPr>
    <w:rPr>
      <w:rFonts w:ascii="Times New Roman" w:eastAsiaTheme="minorEastAsia" w:hAnsi="Times New Roman"/>
      <w:lang w:eastAsia="ja-JP"/>
    </w:r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qFormat/>
    <w:pPr>
      <w:tabs>
        <w:tab w:val="right" w:leader="dot" w:pos="9062"/>
      </w:tabs>
      <w:spacing w:after="100"/>
    </w:pPr>
    <w:rPr>
      <w:rFonts w:ascii="Times New Roman" w:hAnsi="Times New Roman"/>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qFormat/>
    <w:pPr>
      <w:spacing w:after="100"/>
      <w:ind w:left="220"/>
    </w:pPr>
    <w:rPr>
      <w:rFonts w:ascii="Times New Roman" w:eastAsiaTheme="minorEastAsia" w:hAnsi="Times New Roman"/>
      <w:lang w:eastAsia="ja-JP"/>
    </w:r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8751">
      <w:bodyDiv w:val="1"/>
      <w:marLeft w:val="0"/>
      <w:marRight w:val="0"/>
      <w:marTop w:val="0"/>
      <w:marBottom w:val="0"/>
      <w:divBdr>
        <w:top w:val="none" w:sz="0" w:space="0" w:color="auto"/>
        <w:left w:val="none" w:sz="0" w:space="0" w:color="auto"/>
        <w:bottom w:val="none" w:sz="0" w:space="0" w:color="auto"/>
        <w:right w:val="none" w:sz="0" w:space="0" w:color="auto"/>
      </w:divBdr>
    </w:div>
    <w:div w:id="1498157126">
      <w:bodyDiv w:val="1"/>
      <w:marLeft w:val="0"/>
      <w:marRight w:val="0"/>
      <w:marTop w:val="0"/>
      <w:marBottom w:val="0"/>
      <w:divBdr>
        <w:top w:val="none" w:sz="0" w:space="0" w:color="auto"/>
        <w:left w:val="none" w:sz="0" w:space="0" w:color="auto"/>
        <w:bottom w:val="none" w:sz="0" w:space="0" w:color="auto"/>
        <w:right w:val="none" w:sz="0" w:space="0" w:color="auto"/>
      </w:divBdr>
    </w:div>
    <w:div w:id="1565725142">
      <w:bodyDiv w:val="1"/>
      <w:marLeft w:val="0"/>
      <w:marRight w:val="0"/>
      <w:marTop w:val="0"/>
      <w:marBottom w:val="0"/>
      <w:divBdr>
        <w:top w:val="none" w:sz="0" w:space="0" w:color="auto"/>
        <w:left w:val="none" w:sz="0" w:space="0" w:color="auto"/>
        <w:bottom w:val="none" w:sz="0" w:space="0" w:color="auto"/>
        <w:right w:val="none" w:sz="0" w:space="0" w:color="auto"/>
      </w:divBdr>
    </w:div>
    <w:div w:id="1654678320">
      <w:bodyDiv w:val="1"/>
      <w:marLeft w:val="0"/>
      <w:marRight w:val="0"/>
      <w:marTop w:val="0"/>
      <w:marBottom w:val="0"/>
      <w:divBdr>
        <w:top w:val="none" w:sz="0" w:space="0" w:color="auto"/>
        <w:left w:val="none" w:sz="0" w:space="0" w:color="auto"/>
        <w:bottom w:val="none" w:sz="0" w:space="0" w:color="auto"/>
        <w:right w:val="none" w:sz="0" w:space="0" w:color="auto"/>
      </w:divBdr>
    </w:div>
    <w:div w:id="2025982904">
      <w:bodyDiv w:val="1"/>
      <w:marLeft w:val="0"/>
      <w:marRight w:val="0"/>
      <w:marTop w:val="0"/>
      <w:marBottom w:val="0"/>
      <w:divBdr>
        <w:top w:val="none" w:sz="0" w:space="0" w:color="auto"/>
        <w:left w:val="none" w:sz="0" w:space="0" w:color="auto"/>
        <w:bottom w:val="none" w:sz="0" w:space="0" w:color="auto"/>
        <w:right w:val="none" w:sz="0" w:space="0" w:color="auto"/>
      </w:divBdr>
    </w:div>
    <w:div w:id="21028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9" Type="http://schemas.openxmlformats.org/officeDocument/2006/relationships/header" Target="header10.xml"/><Relationship Id="rId21" Type="http://schemas.openxmlformats.org/officeDocument/2006/relationships/image" Target="media/image7.png"/><Relationship Id="rId34" Type="http://schemas.openxmlformats.org/officeDocument/2006/relationships/header" Target="header8.xml"/><Relationship Id="rId42" Type="http://schemas.openxmlformats.org/officeDocument/2006/relationships/footer" Target="footer11.xml"/><Relationship Id="rId47" Type="http://schemas.openxmlformats.org/officeDocument/2006/relationships/image" Target="media/image15.png"/><Relationship Id="rId50" Type="http://schemas.openxmlformats.org/officeDocument/2006/relationships/header" Target="header13.xml"/><Relationship Id="rId55" Type="http://schemas.openxmlformats.org/officeDocument/2006/relationships/footer" Target="footer15.xml"/><Relationship Id="rId63" Type="http://schemas.openxmlformats.org/officeDocument/2006/relationships/header" Target="header18.xml"/><Relationship Id="rId68" Type="http://schemas.openxmlformats.org/officeDocument/2006/relationships/header" Target="header20.xml"/><Relationship Id="rId7" Type="http://schemas.openxmlformats.org/officeDocument/2006/relationships/footnotes" Target="footnotes.xml"/><Relationship Id="rId71"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footer" Target="footer6.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image" Target="media/image12.emf"/><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image" Target="media/image13.emf"/><Relationship Id="rId53" Type="http://schemas.openxmlformats.org/officeDocument/2006/relationships/footer" Target="footer14.xml"/><Relationship Id="rId58" Type="http://schemas.openxmlformats.org/officeDocument/2006/relationships/image" Target="media/image20.emf"/><Relationship Id="rId66" Type="http://schemas.openxmlformats.org/officeDocument/2006/relationships/image" Target="media/image22.pn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36" Type="http://schemas.openxmlformats.org/officeDocument/2006/relationships/footer" Target="footer8.xml"/><Relationship Id="rId49" Type="http://schemas.openxmlformats.org/officeDocument/2006/relationships/image" Target="media/image17.png"/><Relationship Id="rId57" Type="http://schemas.openxmlformats.org/officeDocument/2006/relationships/image" Target="media/image19.emf"/><Relationship Id="rId61" Type="http://schemas.openxmlformats.org/officeDocument/2006/relationships/footer" Target="footer1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1.emf"/><Relationship Id="rId44" Type="http://schemas.openxmlformats.org/officeDocument/2006/relationships/footer" Target="footer12.xml"/><Relationship Id="rId52" Type="http://schemas.openxmlformats.org/officeDocument/2006/relationships/footer" Target="footer13.xml"/><Relationship Id="rId60" Type="http://schemas.openxmlformats.org/officeDocument/2006/relationships/header" Target="header17.xml"/><Relationship Id="rId65" Type="http://schemas.openxmlformats.org/officeDocument/2006/relationships/image" Target="media/image21.png"/><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image" Target="media/image10.emf"/><Relationship Id="rId35" Type="http://schemas.openxmlformats.org/officeDocument/2006/relationships/footer" Target="footer7.xml"/><Relationship Id="rId43" Type="http://schemas.openxmlformats.org/officeDocument/2006/relationships/header" Target="header12.xml"/><Relationship Id="rId48" Type="http://schemas.openxmlformats.org/officeDocument/2006/relationships/image" Target="media/image16.png"/><Relationship Id="rId56" Type="http://schemas.openxmlformats.org/officeDocument/2006/relationships/image" Target="media/image18.emf"/><Relationship Id="rId64" Type="http://schemas.openxmlformats.org/officeDocument/2006/relationships/footer" Target="footer18.xml"/><Relationship Id="rId69"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header" Target="header14.xml"/><Relationship Id="rId72"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image" Target="media/image14.png"/><Relationship Id="rId59" Type="http://schemas.openxmlformats.org/officeDocument/2006/relationships/header" Target="header16.xml"/><Relationship Id="rId67" Type="http://schemas.openxmlformats.org/officeDocument/2006/relationships/header" Target="header19.xml"/><Relationship Id="rId20" Type="http://schemas.openxmlformats.org/officeDocument/2006/relationships/image" Target="media/image6.emf"/><Relationship Id="rId41" Type="http://schemas.openxmlformats.org/officeDocument/2006/relationships/footer" Target="footer10.xml"/><Relationship Id="rId54" Type="http://schemas.openxmlformats.org/officeDocument/2006/relationships/header" Target="header15.xml"/><Relationship Id="rId62" Type="http://schemas.openxmlformats.org/officeDocument/2006/relationships/footer" Target="footer17.xml"/><Relationship Id="rId70"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79C8F2-B009-4AF9-8E25-CE198061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26</Pages>
  <Words>2309</Words>
  <Characters>11180</Characters>
  <Application>Microsoft Office Word</Application>
  <DocSecurity>0</DocSecurity>
  <Lines>294</Lines>
  <Paragraphs>127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NYARI Barbara (EMPL)</dc:creator>
  <cp:lastModifiedBy>WES PDFC Administrator</cp:lastModifiedBy>
  <cp:revision>14</cp:revision>
  <cp:lastPrinted>2019-07-17T09:00:00Z</cp:lastPrinted>
  <dcterms:created xsi:type="dcterms:W3CDTF">2019-08-07T16:24:00Z</dcterms:created>
  <dcterms:modified xsi:type="dcterms:W3CDTF">2019-09-09T12:30:00Z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CP-039</vt:lpwstr>
  </property>
</Properties>
</file>