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D10271-A504-4352-BB6F-2E3C80DDDDDC"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Theme="majorEastAsia" w:hAnsi="Times New Roman" w:cs="Times New Roman"/>
          <w:b/>
          <w:bCs/>
          <w:noProof/>
          <w:color w:val="000000" w:themeColor="text1"/>
          <w:sz w:val="28"/>
          <w:szCs w:val="28"/>
        </w:rPr>
      </w:pPr>
      <w:bookmarkStart w:id="1" w:name="_GoBack"/>
      <w:bookmarkEnd w:id="1"/>
      <w:r>
        <w:rPr>
          <w:rFonts w:ascii="Times New Roman" w:hAnsi="Times New Roman"/>
          <w:b/>
          <w:bCs/>
          <w:noProof/>
          <w:sz w:val="28"/>
          <w:szCs w:val="28"/>
        </w:rPr>
        <w:lastRenderedPageBreak/>
        <w:t>ОБОБЩЕНИЕ</w:t>
      </w:r>
    </w:p>
    <w:p>
      <w:pPr>
        <w:jc w:val="center"/>
        <w:rPr>
          <w:rFonts w:ascii="Times New Roman" w:eastAsiaTheme="majorEastAsia" w:hAnsi="Times New Roman" w:cs="Times New Roman"/>
          <w:bCs/>
          <w:noProof/>
          <w:color w:val="000000" w:themeColor="text1"/>
          <w:sz w:val="24"/>
          <w:szCs w:val="24"/>
        </w:rPr>
      </w:pPr>
      <w:r>
        <w:rPr>
          <w:rFonts w:ascii="Times New Roman" w:hAnsi="Times New Roman"/>
          <w:b/>
          <w:bCs/>
          <w:noProof/>
          <w:sz w:val="28"/>
          <w:szCs w:val="28"/>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80" w:lineRule="exact"/>
        <w:ind w:right="57"/>
        <w:jc w:val="both"/>
        <w:rPr>
          <w:rFonts w:ascii="Times New Roman" w:eastAsia="Times New Roman" w:hAnsi="Times New Roman" w:cs="Times New Roman"/>
          <w:noProof/>
          <w:spacing w:val="-2"/>
        </w:rPr>
      </w:pPr>
      <w:r>
        <w:rPr>
          <w:rFonts w:ascii="Times New Roman" w:hAnsi="Times New Roman"/>
          <w:noProof/>
        </w:rPr>
        <w:t xml:space="preserve">Европа показва солидарност с тези, които най-много се нуждаят от нея. Европейският фонд за приспособяване към глобализацията (ЕФПГ) беше създаден през 2007 г., за да оказва подкрепа на работниците, загубили работата си в резултат на глобализацията и променящите се модели на търговия. Фондът беше допълнително адаптиран за подпомагане на работниците, съкратени в резултат на световната финансова и икономическа криза. </w:t>
      </w:r>
      <w:r>
        <w:rPr>
          <w:rStyle w:val="Emphasis"/>
          <w:rFonts w:ascii="Times New Roman" w:hAnsi="Times New Roman"/>
          <w:i w:val="0"/>
          <w:noProof/>
        </w:rPr>
        <w:t>Основната цел на фонда е да оказва подкрепа на съкратените работници, които изпитват затруднения при трудни преходи, като им помага да адаптират уменията си и да намерят нови работни места</w:t>
      </w:r>
      <w:r>
        <w:rPr>
          <w:rFonts w:ascii="Times New Roman" w:hAnsi="Times New Roman"/>
          <w:i/>
          <w:noProof/>
        </w:rPr>
        <w:t>.</w:t>
      </w:r>
      <w:r>
        <w:rPr>
          <w:rFonts w:ascii="Times New Roman" w:hAnsi="Times New Roman"/>
          <w:noProof/>
        </w:rPr>
        <w:t xml:space="preserve"> Мерките включват персонализирано съдействие и ориентиране при търсене на работа, различни видове професионално обучение и повишаване на квалификацията, подкрепа за предприемачеството и създаването на предприятия, както и временни финансови стимули и парични помощи. ЕФПГ може също така да се използва специално за подпомагане на младите хора. В регионите с висока младежка безработица ЕФПГ предоставя подкрепа за млади хора, които не работят и не са ангажирани в никаква форма на образование или обучение (NEET). ЕФПГ съфинансира до 60 % от разходите за мерките, предложени от държавите членки, които подават заявления за помощ от ЕФПГ.</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80" w:lineRule="exact"/>
        <w:ind w:right="57"/>
        <w:jc w:val="both"/>
        <w:rPr>
          <w:rFonts w:ascii="Times New Roman" w:eastAsia="Times New Roman" w:hAnsi="Times New Roman" w:cs="Times New Roman"/>
          <w:noProof/>
          <w:spacing w:val="-2"/>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80" w:lineRule="exact"/>
        <w:ind w:right="57"/>
        <w:jc w:val="both"/>
        <w:rPr>
          <w:rFonts w:ascii="Times New Roman" w:eastAsia="Times New Roman" w:hAnsi="Times New Roman" w:cs="Times New Roman"/>
          <w:noProof/>
          <w:spacing w:val="-2"/>
        </w:rPr>
      </w:pPr>
      <w:r>
        <w:rPr>
          <w:rFonts w:ascii="Times New Roman" w:hAnsi="Times New Roman"/>
          <w:noProof/>
        </w:rPr>
        <w:t xml:space="preserve">В настоящия доклад се прави преглед на дейностите на ЕФПГ и резултатите през 2017 и 2018 г.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line="280" w:lineRule="exact"/>
        <w:ind w:right="57"/>
        <w:jc w:val="both"/>
        <w:rPr>
          <w:rFonts w:ascii="Times New Roman" w:eastAsia="Times New Roman" w:hAnsi="Times New Roman" w:cs="Times New Roman"/>
          <w:noProof/>
          <w:spacing w:val="-2"/>
        </w:rPr>
      </w:pPr>
    </w:p>
    <w:p>
      <w:pPr>
        <w:pStyle w:val="ListParagraph"/>
        <w:numPr>
          <w:ilvl w:val="0"/>
          <w:numId w:val="3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left="360" w:right="57"/>
        <w:jc w:val="both"/>
        <w:rPr>
          <w:rFonts w:eastAsia="Times New Roman" w:cs="Times New Roman"/>
          <w:noProof/>
          <w:spacing w:val="-4"/>
        </w:rPr>
      </w:pPr>
      <w:r>
        <w:rPr>
          <w:noProof/>
        </w:rPr>
        <w:t xml:space="preserve"> </w:t>
      </w:r>
      <w:r>
        <w:rPr>
          <w:noProof/>
          <w:spacing w:val="-4"/>
        </w:rPr>
        <w:t>През този период бяха подадени 13 заявления от 10 държави членки за общо 41 милиона евро, насочени към 12 896 работници и 1 155 млади хора, които не работят и не са ангажирани в никаква форма на образование или обучение. Най-голям е броят на работниците в сектора на машините/оборудването, следван от търговията на дребно и въздушния транспорт.</w:t>
      </w:r>
    </w:p>
    <w:p>
      <w:pPr>
        <w:pStyle w:val="ListParagraph"/>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left="360" w:right="57"/>
        <w:jc w:val="both"/>
        <w:rPr>
          <w:rFonts w:eastAsia="Times New Roman" w:cs="Times New Roman"/>
          <w:noProof/>
          <w:spacing w:val="-2"/>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left="360" w:right="57"/>
        <w:jc w:val="both"/>
        <w:rPr>
          <w:rFonts w:eastAsia="Times New Roman" w:cs="Times New Roman"/>
          <w:noProof/>
          <w:spacing w:val="-2"/>
        </w:rPr>
      </w:pPr>
      <w:r>
        <w:rPr>
          <w:noProof/>
        </w:rPr>
        <w:t xml:space="preserve"> Европейският парламент и Съветът приеха 15 решения</w:t>
      </w:r>
      <w:r>
        <w:rPr>
          <w:rStyle w:val="FootnoteReference"/>
          <w:noProof/>
        </w:rPr>
        <w:footnoteReference w:id="1"/>
      </w:r>
      <w:r>
        <w:rPr>
          <w:noProof/>
        </w:rPr>
        <w:t xml:space="preserve"> за мобилизиране на средства от ЕФПГ в общ размер на 45,5 милиона евро за подпомагане на 14 517 бенефициери.</w:t>
      </w:r>
    </w:p>
    <w:p>
      <w:pPr>
        <w:pStyle w:val="ListParagraph"/>
        <w:spacing w:line="280" w:lineRule="exact"/>
        <w:ind w:left="0"/>
        <w:rPr>
          <w:rFonts w:eastAsia="Times New Roman" w:cs="Times New Roman"/>
          <w:noProof/>
          <w:spacing w:val="-2"/>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left="360" w:right="57"/>
        <w:jc w:val="both"/>
        <w:rPr>
          <w:rFonts w:eastAsia="Times New Roman" w:cs="Times New Roman"/>
          <w:noProof/>
          <w:spacing w:val="-2"/>
        </w:rPr>
      </w:pPr>
      <w:r>
        <w:rPr>
          <w:noProof/>
        </w:rPr>
        <w:t xml:space="preserve"> Държавите членки докладваха за 23 мерки по ЕФПГ, приети в периода 2014—2016 г. Резултатите показват увеличение в сравнение с периода 2015—2016 г., както и че 60 % от работниците, които са участвали в мерките, са намерили нова работа до края на периода на изпълнение. През периода 2015—2016 г. едва 47 % от работниците, на които е оказана помощ, са намерили нова работа. Бяха наблюдавани особено високи проценти на реинтеграция в следните случаи: Volvo Trucks (Швеция) 84 %, Broadcom (Финландия) 84 %, Aleo Solar (Германия) 81 % и PWA International (Ирландия) 79 %.</w:t>
      </w:r>
    </w:p>
    <w:p>
      <w:pPr>
        <w:pStyle w:val="ListParagraph"/>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left="360" w:right="57"/>
        <w:jc w:val="both"/>
        <w:rPr>
          <w:rFonts w:eastAsia="Times New Roman" w:cs="Times New Roman"/>
          <w:noProof/>
          <w:spacing w:val="-2"/>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80" w:lineRule="exact"/>
        <w:ind w:right="57"/>
        <w:jc w:val="both"/>
        <w:rPr>
          <w:rFonts w:ascii="Times New Roman" w:eastAsia="Times New Roman" w:hAnsi="Times New Roman" w:cs="Times New Roman"/>
          <w:noProof/>
          <w:spacing w:val="-2"/>
        </w:rPr>
      </w:pPr>
      <w:r>
        <w:rPr>
          <w:rFonts w:ascii="Times New Roman" w:hAnsi="Times New Roman"/>
          <w:noProof/>
        </w:rPr>
        <w:t>В предложението си за ЕФПГ след 2020 г.</w:t>
      </w:r>
      <w:r>
        <w:rPr>
          <w:rStyle w:val="FootnoteReference"/>
          <w:rFonts w:ascii="Times New Roman" w:eastAsia="Times New Roman" w:hAnsi="Times New Roman" w:cs="Times New Roman"/>
          <w:noProof/>
        </w:rPr>
        <w:footnoteReference w:id="2"/>
      </w:r>
      <w:r>
        <w:rPr>
          <w:rFonts w:ascii="Times New Roman" w:hAnsi="Times New Roman"/>
          <w:noProof/>
        </w:rPr>
        <w:t xml:space="preserve"> Комисията предложи да разшири използването му, за да може да се намесва по-ефективно в подкрепа на повече работници, които са загубили работата си. В резултат на това ЕФПГ ще предложи подкрепа на работниците не само в случай на големи структурни промени в моделите на световната търговия, настъпили вследствие на глобализацията и световната финансова и икономическа криза, но също и поради други </w:t>
      </w:r>
      <w:r>
        <w:rPr>
          <w:rFonts w:ascii="Times New Roman" w:hAnsi="Times New Roman"/>
          <w:noProof/>
        </w:rPr>
        <w:lastRenderedPageBreak/>
        <w:t xml:space="preserve">причини като автоматизация, цифровизация или преход към нисковъглеродна икономика. При това се вземат предвид новите предизвикателства на развиващата се трудова сфера. </w:t>
      </w:r>
    </w:p>
    <w:p>
      <w:pPr>
        <w:tabs>
          <w:tab w:val="left" w:pos="1060"/>
        </w:tabs>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tabs>
          <w:tab w:val="left" w:pos="3662"/>
        </w:tabs>
        <w:jc w:val="both"/>
        <w:rPr>
          <w:rFonts w:ascii="Times New Roman" w:hAnsi="Times New Roman" w:cs="Times New Roman"/>
          <w:b/>
          <w:noProof/>
          <w:sz w:val="28"/>
          <w:szCs w:val="28"/>
        </w:rPr>
      </w:pPr>
      <w:r>
        <w:rPr>
          <w:rFonts w:ascii="Times New Roman" w:hAnsi="Times New Roman"/>
          <w:b/>
          <w:noProof/>
          <w:sz w:val="28"/>
          <w:szCs w:val="28"/>
        </w:rPr>
        <w:lastRenderedPageBreak/>
        <w:t>СЪДЪРЖАНИЕ</w:t>
      </w:r>
      <w:r>
        <w:rPr>
          <w:rFonts w:ascii="Times New Roman" w:hAnsi="Times New Roman"/>
          <w:b/>
          <w:noProof/>
          <w:sz w:val="28"/>
          <w:szCs w:val="28"/>
        </w:rPr>
        <w:tab/>
      </w:r>
    </w:p>
    <w:p>
      <w:pPr>
        <w:jc w:val="both"/>
        <w:rPr>
          <w:rFonts w:ascii="Times New Roman" w:hAnsi="Times New Roman" w:cs="Times New Roman"/>
          <w:b/>
          <w:noProof/>
          <w:sz w:val="28"/>
          <w:szCs w:val="28"/>
        </w:rPr>
      </w:pPr>
    </w:p>
    <w:sdt>
      <w:sdtPr>
        <w:rPr>
          <w:rFonts w:asciiTheme="minorHAnsi" w:eastAsiaTheme="minorEastAsia" w:hAnsiTheme="minorHAnsi" w:cs="Times New Roman"/>
          <w:noProof/>
          <w:lang w:eastAsia="ja-JP"/>
        </w:rPr>
        <w:id w:val="-1626144639"/>
        <w:docPartObj>
          <w:docPartGallery w:val="Table of Contents"/>
          <w:docPartUnique/>
        </w:docPartObj>
      </w:sdtPr>
      <w:sdtEndPr>
        <w:rPr>
          <w:rFonts w:ascii="Times New Roman" w:hAnsi="Times New Roman" w:cstheme="minorBidi"/>
        </w:rPr>
      </w:sdtEndPr>
      <w:sdtContent>
        <w:p>
          <w:pPr>
            <w:pStyle w:val="TOC1"/>
            <w:tabs>
              <w:tab w:val="right" w:leader="dot" w:pos="9062"/>
            </w:tabs>
            <w:rPr>
              <w:rFonts w:eastAsiaTheme="minorEastAsia" w:cs="Times New Roman"/>
              <w:noProof/>
            </w:rPr>
          </w:pPr>
          <w:r>
            <w:rPr>
              <w:noProof/>
            </w:rPr>
            <w:t>1. Въведение…………………………………………………………………………………………...3</w:t>
          </w:r>
        </w:p>
        <w:p>
          <w:pPr>
            <w:pStyle w:val="TOC1"/>
            <w:tabs>
              <w:tab w:val="right" w:leader="dot" w:pos="9062"/>
            </w:tabs>
            <w:rPr>
              <w:rFonts w:asciiTheme="minorHAnsi" w:eastAsiaTheme="minorEastAsia" w:hAnsiTheme="minorHAnsi"/>
              <w:noProof/>
              <w:lang w:val="en-US"/>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17984024" w:history="1">
            <w:r>
              <w:rPr>
                <w:rStyle w:val="Hyperlink"/>
                <w:noProof/>
              </w:rPr>
              <w:t>2. Анализ на дейностите на ЕФПГ през 2017 и 2018 г.</w:t>
            </w:r>
            <w:r>
              <w:rPr>
                <w:noProof/>
                <w:webHidden/>
              </w:rPr>
              <w:tab/>
            </w:r>
            <w:r>
              <w:rPr>
                <w:noProof/>
                <w:webHidden/>
              </w:rPr>
              <w:fldChar w:fldCharType="begin"/>
            </w:r>
            <w:r>
              <w:rPr>
                <w:noProof/>
                <w:webHidden/>
              </w:rPr>
              <w:instrText xml:space="preserve"> PAGEREF _Toc17984024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hAnsiTheme="minorHAnsi"/>
              <w:noProof/>
              <w:lang w:val="en-US" w:eastAsia="en-US"/>
            </w:rPr>
          </w:pPr>
          <w:hyperlink w:anchor="_Toc17984025" w:history="1">
            <w:r>
              <w:rPr>
                <w:rStyle w:val="Hyperlink"/>
                <w:noProof/>
              </w:rPr>
              <w:t>2.1. Представени заявления</w:t>
            </w:r>
            <w:r>
              <w:rPr>
                <w:noProof/>
                <w:webHidden/>
              </w:rPr>
              <w:tab/>
            </w:r>
            <w:r>
              <w:rPr>
                <w:noProof/>
                <w:webHidden/>
              </w:rPr>
              <w:fldChar w:fldCharType="begin"/>
            </w:r>
            <w:r>
              <w:rPr>
                <w:noProof/>
                <w:webHidden/>
              </w:rPr>
              <w:instrText xml:space="preserve"> PAGEREF _Toc17984025 \h </w:instrText>
            </w:r>
            <w:r>
              <w:rPr>
                <w:noProof/>
                <w:webHidden/>
              </w:rPr>
            </w:r>
            <w:r>
              <w:rPr>
                <w:noProof/>
                <w:webHidden/>
              </w:rPr>
              <w:fldChar w:fldCharType="separate"/>
            </w:r>
            <w:r>
              <w:rPr>
                <w:noProof/>
                <w:webHidden/>
              </w:rPr>
              <w:t>3</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26" w:history="1">
            <w:r>
              <w:rPr>
                <w:rStyle w:val="Hyperlink"/>
                <w:noProof/>
              </w:rPr>
              <w:t>2.1.1. Заявления, подадени съгласно критерия за съкращения и намеса</w:t>
            </w:r>
            <w:r>
              <w:rPr>
                <w:noProof/>
                <w:webHidden/>
              </w:rPr>
              <w:tab/>
            </w:r>
            <w:r>
              <w:rPr>
                <w:noProof/>
                <w:webHidden/>
              </w:rPr>
              <w:fldChar w:fldCharType="begin"/>
            </w:r>
            <w:r>
              <w:rPr>
                <w:noProof/>
                <w:webHidden/>
              </w:rPr>
              <w:instrText xml:space="preserve"> PAGEREF _Toc17984026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27" w:history="1">
            <w:r>
              <w:rPr>
                <w:rStyle w:val="Hyperlink"/>
                <w:noProof/>
              </w:rPr>
              <w:t>2.1.2. Подадени заявления по сектори (NACE Rev. 2)</w:t>
            </w:r>
            <w:r>
              <w:rPr>
                <w:noProof/>
                <w:webHidden/>
              </w:rPr>
              <w:tab/>
            </w:r>
            <w:r>
              <w:rPr>
                <w:noProof/>
                <w:webHidden/>
              </w:rPr>
              <w:fldChar w:fldCharType="begin"/>
            </w:r>
            <w:r>
              <w:rPr>
                <w:noProof/>
                <w:webHidden/>
              </w:rPr>
              <w:instrText xml:space="preserve"> PAGEREF _Toc17984027 \h </w:instrText>
            </w:r>
            <w:r>
              <w:rPr>
                <w:noProof/>
                <w:webHidden/>
              </w:rPr>
            </w:r>
            <w:r>
              <w:rPr>
                <w:noProof/>
                <w:webHidden/>
              </w:rPr>
              <w:fldChar w:fldCharType="separate"/>
            </w:r>
            <w:r>
              <w:rPr>
                <w:noProof/>
                <w:webHidden/>
              </w:rPr>
              <w:t>5</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28" w:history="1">
            <w:r>
              <w:rPr>
                <w:rStyle w:val="Hyperlink"/>
                <w:noProof/>
              </w:rPr>
              <w:t>2.1.3. Подадени заявления по брой на бенефициерите от целевата група за всяка държава членка</w:t>
            </w:r>
            <w:r>
              <w:rPr>
                <w:noProof/>
                <w:webHidden/>
              </w:rPr>
              <w:tab/>
            </w:r>
            <w:r>
              <w:rPr>
                <w:noProof/>
                <w:webHidden/>
              </w:rPr>
              <w:fldChar w:fldCharType="begin"/>
            </w:r>
            <w:r>
              <w:rPr>
                <w:noProof/>
                <w:webHidden/>
              </w:rPr>
              <w:instrText xml:space="preserve"> PAGEREF _Toc17984028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29" w:history="1">
            <w:r>
              <w:rPr>
                <w:rStyle w:val="Hyperlink"/>
                <w:noProof/>
              </w:rPr>
              <w:t>2.1.4. Подадени заявления според размера на исканата сума</w:t>
            </w:r>
            <w:r>
              <w:rPr>
                <w:noProof/>
                <w:webHidden/>
              </w:rPr>
              <w:tab/>
            </w:r>
            <w:r>
              <w:rPr>
                <w:noProof/>
                <w:webHidden/>
              </w:rPr>
              <w:fldChar w:fldCharType="begin"/>
            </w:r>
            <w:r>
              <w:rPr>
                <w:noProof/>
                <w:webHidden/>
              </w:rPr>
              <w:instrText xml:space="preserve"> PAGEREF _Toc17984029 \h </w:instrText>
            </w:r>
            <w:r>
              <w:rPr>
                <w:noProof/>
                <w:webHidden/>
              </w:rPr>
            </w:r>
            <w:r>
              <w:rPr>
                <w:noProof/>
                <w:webHidden/>
              </w:rPr>
              <w:fldChar w:fldCharType="separate"/>
            </w:r>
            <w:r>
              <w:rPr>
                <w:noProof/>
                <w:webHidden/>
              </w:rPr>
              <w:t>7</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0" w:history="1">
            <w:r>
              <w:rPr>
                <w:rStyle w:val="Hyperlink"/>
                <w:noProof/>
              </w:rPr>
              <w:t>2.1.5. Подадени заявления според размера на исканата сума за отделен бенефициер</w:t>
            </w:r>
            <w:r>
              <w:rPr>
                <w:noProof/>
                <w:webHidden/>
              </w:rPr>
              <w:tab/>
            </w:r>
            <w:r>
              <w:rPr>
                <w:noProof/>
                <w:webHidden/>
              </w:rPr>
              <w:fldChar w:fldCharType="begin"/>
            </w:r>
            <w:r>
              <w:rPr>
                <w:noProof/>
                <w:webHidden/>
              </w:rPr>
              <w:instrText xml:space="preserve"> PAGEREF _Toc17984030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hAnsiTheme="minorHAnsi"/>
              <w:noProof/>
              <w:lang w:val="en-US" w:eastAsia="en-US"/>
            </w:rPr>
          </w:pPr>
          <w:hyperlink w:anchor="_Toc17984031" w:history="1">
            <w:r>
              <w:rPr>
                <w:rStyle w:val="Hyperlink"/>
                <w:noProof/>
              </w:rPr>
              <w:t>2.2. Приети решения и средства, предоставени под формата на финансово участие</w:t>
            </w:r>
            <w:r>
              <w:rPr>
                <w:noProof/>
                <w:webHidden/>
              </w:rPr>
              <w:tab/>
            </w:r>
            <w:r>
              <w:rPr>
                <w:noProof/>
                <w:webHidden/>
              </w:rPr>
              <w:fldChar w:fldCharType="begin"/>
            </w:r>
            <w:r>
              <w:rPr>
                <w:noProof/>
                <w:webHidden/>
              </w:rPr>
              <w:instrText xml:space="preserve"> PAGEREF _Toc17984031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2" w:history="1">
            <w:r>
              <w:rPr>
                <w:rStyle w:val="Hyperlink"/>
                <w:noProof/>
              </w:rPr>
              <w:t>2.2.1. Действия, финансирани с помощта на ЕФПГ</w:t>
            </w:r>
            <w:r>
              <w:rPr>
                <w:noProof/>
                <w:webHidden/>
              </w:rPr>
              <w:tab/>
            </w:r>
            <w:r>
              <w:rPr>
                <w:noProof/>
                <w:webHidden/>
              </w:rPr>
              <w:fldChar w:fldCharType="begin"/>
            </w:r>
            <w:r>
              <w:rPr>
                <w:noProof/>
                <w:webHidden/>
              </w:rPr>
              <w:instrText xml:space="preserve"> PAGEREF _Toc17984032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3" w:history="1">
            <w:r>
              <w:rPr>
                <w:rStyle w:val="Hyperlink"/>
                <w:noProof/>
              </w:rPr>
              <w:t>2.2.2. Допълняемост с действия, финансирани от Европейския социален фонд (ЕСФ)</w:t>
            </w:r>
            <w:r>
              <w:rPr>
                <w:noProof/>
                <w:webHidden/>
              </w:rPr>
              <w:tab/>
            </w:r>
            <w:r>
              <w:rPr>
                <w:noProof/>
                <w:webHidden/>
              </w:rPr>
              <w:fldChar w:fldCharType="begin"/>
            </w:r>
            <w:r>
              <w:rPr>
                <w:noProof/>
                <w:webHidden/>
              </w:rPr>
              <w:instrText xml:space="preserve"> PAGEREF _Toc17984033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hAnsiTheme="minorHAnsi"/>
              <w:noProof/>
              <w:lang w:val="en-US" w:eastAsia="en-US"/>
            </w:rPr>
          </w:pPr>
          <w:hyperlink w:anchor="_Toc17984034" w:history="1">
            <w:r>
              <w:rPr>
                <w:rStyle w:val="Hyperlink"/>
                <w:noProof/>
              </w:rPr>
              <w:t>2.3. Заявления, които не отговарят на условията за финансово участие на ЕФПГ</w:t>
            </w:r>
            <w:r>
              <w:rPr>
                <w:noProof/>
                <w:webHidden/>
              </w:rPr>
              <w:tab/>
            </w:r>
            <w:r>
              <w:rPr>
                <w:noProof/>
                <w:webHidden/>
              </w:rPr>
              <w:fldChar w:fldCharType="begin"/>
            </w:r>
            <w:r>
              <w:rPr>
                <w:noProof/>
                <w:webHidden/>
              </w:rPr>
              <w:instrText xml:space="preserve"> PAGEREF _Toc17984034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hAnsiTheme="minorHAnsi"/>
              <w:noProof/>
              <w:lang w:val="en-US" w:eastAsia="en-US"/>
            </w:rPr>
          </w:pPr>
          <w:hyperlink w:anchor="_Toc17984035" w:history="1">
            <w:r>
              <w:rPr>
                <w:rStyle w:val="Hyperlink"/>
                <w:noProof/>
              </w:rPr>
              <w:t>2.4. Резултати, постигнати от ЕФПГ</w:t>
            </w:r>
            <w:r>
              <w:rPr>
                <w:noProof/>
                <w:webHidden/>
              </w:rPr>
              <w:tab/>
            </w:r>
            <w:r>
              <w:rPr>
                <w:noProof/>
                <w:webHidden/>
              </w:rPr>
              <w:fldChar w:fldCharType="begin"/>
            </w:r>
            <w:r>
              <w:rPr>
                <w:noProof/>
                <w:webHidden/>
              </w:rPr>
              <w:instrText xml:space="preserve"> PAGEREF _Toc17984035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6" w:history="1">
            <w:r>
              <w:rPr>
                <w:rStyle w:val="Hyperlink"/>
                <w:noProof/>
              </w:rPr>
              <w:t>2.4.1. Обобщение на отчетените през 2017 и 2018 г. резултати</w:t>
            </w:r>
            <w:r>
              <w:rPr>
                <w:noProof/>
                <w:webHidden/>
              </w:rPr>
              <w:tab/>
            </w:r>
            <w:r>
              <w:rPr>
                <w:noProof/>
                <w:webHidden/>
              </w:rPr>
              <w:fldChar w:fldCharType="begin"/>
            </w:r>
            <w:r>
              <w:rPr>
                <w:noProof/>
                <w:webHidden/>
              </w:rPr>
              <w:instrText xml:space="preserve"> PAGEREF _Toc17984036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7" w:history="1">
            <w:r>
              <w:rPr>
                <w:rStyle w:val="Hyperlink"/>
                <w:noProof/>
              </w:rPr>
              <w:t>2.4.2. Процент на реинтеграция на подпомаганите бенефициери по държави членки</w:t>
            </w:r>
            <w:r>
              <w:rPr>
                <w:noProof/>
                <w:webHidden/>
              </w:rPr>
              <w:tab/>
            </w:r>
            <w:r>
              <w:rPr>
                <w:noProof/>
                <w:webHidden/>
              </w:rPr>
              <w:fldChar w:fldCharType="begin"/>
            </w:r>
            <w:r>
              <w:rPr>
                <w:noProof/>
                <w:webHidden/>
              </w:rPr>
              <w:instrText xml:space="preserve"> PAGEREF _Toc17984037 \h </w:instrText>
            </w:r>
            <w:r>
              <w:rPr>
                <w:noProof/>
                <w:webHidden/>
              </w:rPr>
            </w:r>
            <w:r>
              <w:rPr>
                <w:noProof/>
                <w:webHidden/>
              </w:rPr>
              <w:fldChar w:fldCharType="separate"/>
            </w:r>
            <w:r>
              <w:rPr>
                <w:noProof/>
                <w:webHidden/>
              </w:rPr>
              <w:t>19</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38" w:history="1">
            <w:r>
              <w:rPr>
                <w:rStyle w:val="Hyperlink"/>
                <w:noProof/>
              </w:rPr>
              <w:t>2.4.3. Качествена оценка на окончателните доклади, подадени през 2017 и 2018 г.</w:t>
            </w:r>
            <w:r>
              <w:rPr>
                <w:noProof/>
                <w:webHidden/>
              </w:rPr>
              <w:tab/>
            </w:r>
            <w:r>
              <w:rPr>
                <w:noProof/>
                <w:webHidden/>
              </w:rPr>
              <w:fldChar w:fldCharType="begin"/>
            </w:r>
            <w:r>
              <w:rPr>
                <w:noProof/>
                <w:webHidden/>
              </w:rPr>
              <w:instrText xml:space="preserve"> PAGEREF _Toc17984038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hAnsiTheme="minorHAnsi"/>
              <w:noProof/>
              <w:lang w:val="en-US" w:eastAsia="en-US"/>
            </w:rPr>
          </w:pPr>
          <w:hyperlink w:anchor="_Toc17984039" w:history="1">
            <w:r>
              <w:rPr>
                <w:rStyle w:val="Hyperlink"/>
                <w:noProof/>
              </w:rPr>
              <w:t>2.5. Финансово изпълнение</w:t>
            </w:r>
            <w:r>
              <w:rPr>
                <w:noProof/>
                <w:webHidden/>
              </w:rPr>
              <w:tab/>
            </w:r>
            <w:r>
              <w:rPr>
                <w:noProof/>
                <w:webHidden/>
              </w:rPr>
              <w:fldChar w:fldCharType="begin"/>
            </w:r>
            <w:r>
              <w:rPr>
                <w:noProof/>
                <w:webHidden/>
              </w:rPr>
              <w:instrText xml:space="preserve"> PAGEREF _Toc17984039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0" w:history="1">
            <w:r>
              <w:rPr>
                <w:rStyle w:val="Hyperlink"/>
                <w:noProof/>
              </w:rPr>
              <w:t>2.5.1. Финансово участие на ЕФПГ</w:t>
            </w:r>
            <w:r>
              <w:rPr>
                <w:noProof/>
                <w:webHidden/>
              </w:rPr>
              <w:tab/>
            </w:r>
            <w:r>
              <w:rPr>
                <w:noProof/>
                <w:webHidden/>
              </w:rPr>
              <w:fldChar w:fldCharType="begin"/>
            </w:r>
            <w:r>
              <w:rPr>
                <w:noProof/>
                <w:webHidden/>
              </w:rPr>
              <w:instrText xml:space="preserve"> PAGEREF _Toc17984040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1" w:history="1">
            <w:r>
              <w:rPr>
                <w:rStyle w:val="Hyperlink"/>
                <w:noProof/>
              </w:rPr>
              <w:t>2.5.2. Разходи за техническа помощ</w:t>
            </w:r>
            <w:r>
              <w:rPr>
                <w:noProof/>
                <w:webHidden/>
              </w:rPr>
              <w:tab/>
            </w:r>
            <w:r>
              <w:rPr>
                <w:noProof/>
                <w:webHidden/>
              </w:rPr>
              <w:fldChar w:fldCharType="begin"/>
            </w:r>
            <w:r>
              <w:rPr>
                <w:noProof/>
                <w:webHidden/>
              </w:rPr>
              <w:instrText xml:space="preserve"> PAGEREF _Toc17984041 \h </w:instrText>
            </w:r>
            <w:r>
              <w:rPr>
                <w:noProof/>
                <w:webHidden/>
              </w:rPr>
            </w:r>
            <w:r>
              <w:rPr>
                <w:noProof/>
                <w:webHidden/>
              </w:rPr>
              <w:fldChar w:fldCharType="separate"/>
            </w:r>
            <w:r>
              <w:rPr>
                <w:noProof/>
                <w:webHidden/>
              </w:rPr>
              <w:t>23</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2" w:history="1">
            <w:r>
              <w:rPr>
                <w:rStyle w:val="Hyperlink"/>
                <w:noProof/>
              </w:rPr>
              <w:t>2.5.3. Докладвани нередности</w:t>
            </w:r>
            <w:r>
              <w:rPr>
                <w:noProof/>
                <w:webHidden/>
              </w:rPr>
              <w:tab/>
            </w:r>
            <w:r>
              <w:rPr>
                <w:noProof/>
                <w:webHidden/>
              </w:rPr>
              <w:fldChar w:fldCharType="begin"/>
            </w:r>
            <w:r>
              <w:rPr>
                <w:noProof/>
                <w:webHidden/>
              </w:rPr>
              <w:instrText xml:space="preserve"> PAGEREF _Toc17984042 \h </w:instrText>
            </w:r>
            <w:r>
              <w:rPr>
                <w:noProof/>
                <w:webHidden/>
              </w:rPr>
            </w:r>
            <w:r>
              <w:rPr>
                <w:noProof/>
                <w:webHidden/>
              </w:rPr>
              <w:fldChar w:fldCharType="separate"/>
            </w:r>
            <w:r>
              <w:rPr>
                <w:noProof/>
                <w:webHidden/>
              </w:rPr>
              <w:t>25</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3" w:history="1">
            <w:r>
              <w:rPr>
                <w:rStyle w:val="Hyperlink"/>
                <w:noProof/>
              </w:rPr>
              <w:t>2.5.4. Прекратяване на финансово участие от страна на ЕФПГ</w:t>
            </w:r>
            <w:r>
              <w:rPr>
                <w:noProof/>
                <w:webHidden/>
              </w:rPr>
              <w:tab/>
            </w:r>
            <w:r>
              <w:rPr>
                <w:noProof/>
                <w:webHidden/>
              </w:rPr>
              <w:fldChar w:fldCharType="begin"/>
            </w:r>
            <w:r>
              <w:rPr>
                <w:noProof/>
                <w:webHidden/>
              </w:rPr>
              <w:instrText xml:space="preserve"> PAGEREF _Toc17984043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hAnsiTheme="minorHAnsi"/>
              <w:noProof/>
              <w:lang w:val="en-US" w:eastAsia="en-US"/>
            </w:rPr>
          </w:pPr>
          <w:hyperlink w:anchor="_Toc17984044" w:history="1">
            <w:r>
              <w:rPr>
                <w:rStyle w:val="Hyperlink"/>
                <w:noProof/>
              </w:rPr>
              <w:t>2.6. Дейности по предоставяне на техническа помощ, предприети от Комисията</w:t>
            </w:r>
            <w:r>
              <w:rPr>
                <w:noProof/>
                <w:webHidden/>
              </w:rPr>
              <w:tab/>
            </w:r>
            <w:r>
              <w:rPr>
                <w:noProof/>
                <w:webHidden/>
              </w:rPr>
              <w:fldChar w:fldCharType="begin"/>
            </w:r>
            <w:r>
              <w:rPr>
                <w:noProof/>
                <w:webHidden/>
              </w:rPr>
              <w:instrText xml:space="preserve"> PAGEREF _Toc17984044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5" w:history="1">
            <w:r>
              <w:rPr>
                <w:rStyle w:val="Hyperlink"/>
                <w:noProof/>
              </w:rPr>
              <w:t>2.6.1. Информация и публичност: Интернет сайт</w:t>
            </w:r>
            <w:r>
              <w:rPr>
                <w:noProof/>
                <w:webHidden/>
              </w:rPr>
              <w:tab/>
            </w:r>
            <w:r>
              <w:rPr>
                <w:noProof/>
                <w:webHidden/>
              </w:rPr>
              <w:fldChar w:fldCharType="begin"/>
            </w:r>
            <w:r>
              <w:rPr>
                <w:noProof/>
                <w:webHidden/>
              </w:rPr>
              <w:instrText xml:space="preserve"> PAGEREF _Toc17984045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6" w:history="1">
            <w:r>
              <w:rPr>
                <w:rStyle w:val="Hyperlink"/>
                <w:noProof/>
              </w:rPr>
              <w:t>2.6.2. Срещи с националните органи и заинтересовани страни във връзка с прилагането на ЕФПГ</w:t>
            </w:r>
            <w:r>
              <w:rPr>
                <w:noProof/>
                <w:webHidden/>
              </w:rPr>
              <w:tab/>
            </w:r>
            <w:r>
              <w:rPr>
                <w:noProof/>
                <w:webHidden/>
              </w:rPr>
              <w:fldChar w:fldCharType="begin"/>
            </w:r>
            <w:r>
              <w:rPr>
                <w:noProof/>
                <w:webHidden/>
              </w:rPr>
              <w:instrText xml:space="preserve"> PAGEREF _Toc17984046 \h </w:instrText>
            </w:r>
            <w:r>
              <w:rPr>
                <w:noProof/>
                <w:webHidden/>
              </w:rPr>
            </w:r>
            <w:r>
              <w:rPr>
                <w:noProof/>
                <w:webHidden/>
              </w:rPr>
              <w:fldChar w:fldCharType="separate"/>
            </w:r>
            <w:r>
              <w:rPr>
                <w:noProof/>
                <w:webHidden/>
              </w:rPr>
              <w:t>30</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7" w:history="1">
            <w:r>
              <w:rPr>
                <w:rStyle w:val="Hyperlink"/>
                <w:noProof/>
              </w:rPr>
              <w:t>2.6.3. Електронна система за обмен на данни (SFC2014)</w:t>
            </w:r>
            <w:r>
              <w:rPr>
                <w:noProof/>
                <w:webHidden/>
              </w:rPr>
              <w:tab/>
            </w:r>
            <w:r>
              <w:rPr>
                <w:noProof/>
                <w:webHidden/>
              </w:rPr>
              <w:fldChar w:fldCharType="begin"/>
            </w:r>
            <w:r>
              <w:rPr>
                <w:noProof/>
                <w:webHidden/>
              </w:rPr>
              <w:instrText xml:space="preserve"> PAGEREF _Toc17984047 \h </w:instrText>
            </w:r>
            <w:r>
              <w:rPr>
                <w:noProof/>
                <w:webHidden/>
              </w:rPr>
            </w:r>
            <w:r>
              <w:rPr>
                <w:noProof/>
                <w:webHidden/>
              </w:rPr>
              <w:fldChar w:fldCharType="separate"/>
            </w:r>
            <w:r>
              <w:rPr>
                <w:noProof/>
                <w:webHidden/>
              </w:rPr>
              <w:t>31</w:t>
            </w:r>
            <w:r>
              <w:rPr>
                <w:noProof/>
                <w:webHidden/>
              </w:rPr>
              <w:fldChar w:fldCharType="end"/>
            </w:r>
          </w:hyperlink>
        </w:p>
        <w:p>
          <w:pPr>
            <w:pStyle w:val="TOC3"/>
            <w:tabs>
              <w:tab w:val="right" w:leader="dot" w:pos="9062"/>
            </w:tabs>
            <w:rPr>
              <w:rFonts w:asciiTheme="minorHAnsi" w:hAnsiTheme="minorHAnsi"/>
              <w:noProof/>
              <w:lang w:val="en-US" w:eastAsia="en-US"/>
            </w:rPr>
          </w:pPr>
          <w:hyperlink w:anchor="_Toc17984048" w:history="1">
            <w:r>
              <w:rPr>
                <w:rStyle w:val="Hyperlink"/>
                <w:noProof/>
              </w:rPr>
              <w:t>2.6.4. Средносрочна оценка на ЕФПГ за периода 2014—2020 г.</w:t>
            </w:r>
            <w:r>
              <w:rPr>
                <w:noProof/>
                <w:webHidden/>
              </w:rPr>
              <w:tab/>
            </w:r>
            <w:r>
              <w:rPr>
                <w:noProof/>
                <w:webHidden/>
              </w:rPr>
              <w:fldChar w:fldCharType="begin"/>
            </w:r>
            <w:r>
              <w:rPr>
                <w:noProof/>
                <w:webHidden/>
              </w:rPr>
              <w:instrText xml:space="preserve"> PAGEREF _Toc17984048 \h </w:instrText>
            </w:r>
            <w:r>
              <w:rPr>
                <w:noProof/>
                <w:webHidden/>
              </w:rPr>
            </w:r>
            <w:r>
              <w:rPr>
                <w:noProof/>
                <w:webHidden/>
              </w:rPr>
              <w:fldChar w:fldCharType="separate"/>
            </w:r>
            <w:r>
              <w:rPr>
                <w:noProof/>
                <w:webHidden/>
              </w:rPr>
              <w:t>31</w:t>
            </w:r>
            <w:r>
              <w:rPr>
                <w:noProof/>
                <w:webHidden/>
              </w:rPr>
              <w:fldChar w:fldCharType="end"/>
            </w:r>
          </w:hyperlink>
        </w:p>
        <w:p>
          <w:pPr>
            <w:pStyle w:val="TOC1"/>
            <w:tabs>
              <w:tab w:val="right" w:leader="dot" w:pos="9062"/>
            </w:tabs>
            <w:rPr>
              <w:rFonts w:asciiTheme="minorHAnsi" w:eastAsiaTheme="minorEastAsia" w:hAnsiTheme="minorHAnsi"/>
              <w:noProof/>
              <w:lang w:val="en-US"/>
            </w:rPr>
          </w:pPr>
          <w:hyperlink w:anchor="_Toc17984049" w:history="1">
            <w:r>
              <w:rPr>
                <w:rStyle w:val="Hyperlink"/>
                <w:noProof/>
              </w:rPr>
              <w:t>3. Разработване на политики по отношение на ЕФПГ</w:t>
            </w:r>
            <w:r>
              <w:rPr>
                <w:noProof/>
                <w:webHidden/>
              </w:rPr>
              <w:tab/>
            </w:r>
            <w:r>
              <w:rPr>
                <w:noProof/>
                <w:webHidden/>
              </w:rPr>
              <w:fldChar w:fldCharType="begin"/>
            </w:r>
            <w:r>
              <w:rPr>
                <w:noProof/>
                <w:webHidden/>
              </w:rPr>
              <w:instrText xml:space="preserve"> PAGEREF _Toc17984049 \h </w:instrText>
            </w:r>
            <w:r>
              <w:rPr>
                <w:noProof/>
                <w:webHidden/>
              </w:rPr>
            </w:r>
            <w:r>
              <w:rPr>
                <w:noProof/>
                <w:webHidden/>
              </w:rPr>
              <w:fldChar w:fldCharType="separate"/>
            </w:r>
            <w:r>
              <w:rPr>
                <w:noProof/>
                <w:webHidden/>
              </w:rPr>
              <w:t>32</w:t>
            </w:r>
            <w:r>
              <w:rPr>
                <w:noProof/>
                <w:webHidden/>
              </w:rPr>
              <w:fldChar w:fldCharType="end"/>
            </w:r>
          </w:hyperlink>
        </w:p>
        <w:p>
          <w:pPr>
            <w:pStyle w:val="TOC2"/>
            <w:rPr>
              <w:rFonts w:asciiTheme="minorHAnsi" w:hAnsiTheme="minorHAnsi"/>
              <w:noProof/>
              <w:lang w:val="en-US" w:eastAsia="en-US"/>
            </w:rPr>
          </w:pPr>
          <w:hyperlink w:anchor="_Toc17984050" w:history="1">
            <w:r>
              <w:rPr>
                <w:rStyle w:val="Hyperlink"/>
                <w:noProof/>
              </w:rPr>
              <w:t>3.1. Изменение на Регламент (ЕС) № 1309/2013 като част от Регламент (ЕС) 2018/1046</w:t>
            </w:r>
            <w:r>
              <w:rPr>
                <w:noProof/>
                <w:webHidden/>
              </w:rPr>
              <w:tab/>
            </w:r>
            <w:r>
              <w:rPr>
                <w:noProof/>
                <w:webHidden/>
              </w:rPr>
              <w:fldChar w:fldCharType="begin"/>
            </w:r>
            <w:r>
              <w:rPr>
                <w:noProof/>
                <w:webHidden/>
              </w:rPr>
              <w:instrText xml:space="preserve"> PAGEREF _Toc17984050 \h </w:instrText>
            </w:r>
            <w:r>
              <w:rPr>
                <w:noProof/>
                <w:webHidden/>
              </w:rPr>
            </w:r>
            <w:r>
              <w:rPr>
                <w:noProof/>
                <w:webHidden/>
              </w:rPr>
              <w:fldChar w:fldCharType="separate"/>
            </w:r>
            <w:r>
              <w:rPr>
                <w:noProof/>
                <w:webHidden/>
              </w:rPr>
              <w:t>32</w:t>
            </w:r>
            <w:r>
              <w:rPr>
                <w:noProof/>
                <w:webHidden/>
              </w:rPr>
              <w:fldChar w:fldCharType="end"/>
            </w:r>
          </w:hyperlink>
        </w:p>
        <w:p>
          <w:pPr>
            <w:pStyle w:val="TOC2"/>
            <w:rPr>
              <w:rFonts w:asciiTheme="minorHAnsi" w:hAnsiTheme="minorHAnsi"/>
              <w:noProof/>
              <w:lang w:val="en-US" w:eastAsia="en-US"/>
            </w:rPr>
          </w:pPr>
          <w:hyperlink w:anchor="_Toc17984051" w:history="1">
            <w:r>
              <w:rPr>
                <w:rStyle w:val="Hyperlink"/>
                <w:noProof/>
              </w:rPr>
              <w:t>3.2. Законодателно предложение за ЕФПГ след 2020 г.</w:t>
            </w:r>
            <w:r>
              <w:rPr>
                <w:noProof/>
                <w:webHidden/>
              </w:rPr>
              <w:tab/>
            </w:r>
            <w:r>
              <w:rPr>
                <w:noProof/>
                <w:webHidden/>
              </w:rPr>
              <w:fldChar w:fldCharType="begin"/>
            </w:r>
            <w:r>
              <w:rPr>
                <w:noProof/>
                <w:webHidden/>
              </w:rPr>
              <w:instrText xml:space="preserve"> PAGEREF _Toc17984051 \h </w:instrText>
            </w:r>
            <w:r>
              <w:rPr>
                <w:noProof/>
                <w:webHidden/>
              </w:rPr>
            </w:r>
            <w:r>
              <w:rPr>
                <w:noProof/>
                <w:webHidden/>
              </w:rPr>
              <w:fldChar w:fldCharType="separate"/>
            </w:r>
            <w:r>
              <w:rPr>
                <w:noProof/>
                <w:webHidden/>
              </w:rPr>
              <w:t>33</w:t>
            </w:r>
            <w:r>
              <w:rPr>
                <w:noProof/>
                <w:webHidden/>
              </w:rPr>
              <w:fldChar w:fldCharType="end"/>
            </w:r>
          </w:hyperlink>
        </w:p>
        <w:p>
          <w:pPr>
            <w:pStyle w:val="TOC2"/>
            <w:rPr>
              <w:noProof/>
            </w:rPr>
          </w:pPr>
          <w:r>
            <w:rPr>
              <w:noProof/>
            </w:rPr>
            <w:fldChar w:fldCharType="end"/>
          </w:r>
        </w:p>
      </w:sdtContent>
    </w:sdt>
    <w:p>
      <w:pPr>
        <w:rPr>
          <w:rFonts w:ascii="Times New Roman" w:eastAsiaTheme="majorEastAsia" w:hAnsi="Times New Roman" w:cs="Times New Roman"/>
          <w:b/>
          <w:bCs/>
          <w:noProof/>
          <w:color w:val="000000" w:themeColor="text1"/>
          <w:sz w:val="28"/>
          <w:szCs w:val="24"/>
        </w:rPr>
      </w:pPr>
      <w:r>
        <w:rPr>
          <w:rFonts w:ascii="Times New Roman" w:hAnsi="Times New Roman"/>
          <w:b/>
          <w:bCs/>
          <w:noProof/>
          <w:sz w:val="28"/>
        </w:rPr>
        <w:t>1. Въведение</w:t>
      </w:r>
    </w:p>
    <w:p>
      <w:pPr>
        <w:jc w:val="both"/>
        <w:rPr>
          <w:rFonts w:ascii="Times New Roman" w:hAnsi="Times New Roman" w:cs="Times New Roman"/>
          <w:noProof/>
        </w:rPr>
      </w:pPr>
      <w:r>
        <w:rPr>
          <w:rFonts w:ascii="Times New Roman" w:hAnsi="Times New Roman"/>
          <w:noProof/>
        </w:rPr>
        <w:t>Европейският фонд за приспособяване към глобализацията (ЕФПГ)</w:t>
      </w:r>
      <w:r>
        <w:rPr>
          <w:rStyle w:val="FootnoteReference"/>
          <w:rFonts w:ascii="Times New Roman" w:hAnsi="Times New Roman" w:cs="Times New Roman"/>
          <w:noProof/>
        </w:rPr>
        <w:footnoteReference w:id="3"/>
      </w:r>
      <w:r>
        <w:rPr>
          <w:rFonts w:ascii="Times New Roman" w:hAnsi="Times New Roman"/>
          <w:noProof/>
        </w:rPr>
        <w:t xml:space="preserve"> е демонстрация на европейска солидарност и осезаема подкрепа за работниците, съкратени в резултат на големи структурни промени в моделите на световната търговия, настъпили вследствие на глобализацията или световната финансова и икономическа криза. </w:t>
      </w:r>
    </w:p>
    <w:p>
      <w:pPr>
        <w:jc w:val="both"/>
        <w:rPr>
          <w:rFonts w:ascii="Times New Roman" w:hAnsi="Times New Roman" w:cs="Times New Roman"/>
          <w:noProof/>
        </w:rPr>
      </w:pPr>
      <w:r>
        <w:rPr>
          <w:rFonts w:ascii="Times New Roman" w:hAnsi="Times New Roman"/>
          <w:noProof/>
        </w:rPr>
        <w:t xml:space="preserve">За да се помогне на съкратените работници да намерят нова работа, ЕФПГ съфинансира мерки на активната политика на пазара на труда, прилагани от държавите членки. Той допълва националните мерки на пазара на труда в случай на внезапни колективни съкращения, предизвикани от горепосочените причини, като осигурява по-персонализиран и целенасочен подход към най-уязвимите съкратени работници. </w:t>
      </w:r>
    </w:p>
    <w:p>
      <w:pPr>
        <w:jc w:val="both"/>
        <w:rPr>
          <w:rFonts w:ascii="Times New Roman" w:hAnsi="Times New Roman" w:cs="Times New Roman"/>
          <w:noProof/>
        </w:rPr>
      </w:pPr>
      <w:r>
        <w:rPr>
          <w:rFonts w:ascii="Times New Roman" w:hAnsi="Times New Roman"/>
          <w:noProof/>
        </w:rPr>
        <w:t>В съответствие с член 19 от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 Комисията представя настоящия доклад на Европейския парламент и на Съвета, като предоставя количествена и качествена оценка на дейностите на ЕФПГ през предходните две години. Докладът поставя акцент върху постигнатите от ЕФПГ резултати и съдържа по-специално информацията относно:</w:t>
      </w:r>
    </w:p>
    <w:p>
      <w:pPr>
        <w:numPr>
          <w:ilvl w:val="0"/>
          <w:numId w:val="1"/>
        </w:numPr>
        <w:contextualSpacing/>
        <w:jc w:val="both"/>
        <w:rPr>
          <w:rFonts w:ascii="Times New Roman" w:hAnsi="Times New Roman" w:cs="Times New Roman"/>
          <w:noProof/>
        </w:rPr>
      </w:pPr>
      <w:r>
        <w:rPr>
          <w:rFonts w:ascii="Times New Roman" w:hAnsi="Times New Roman"/>
          <w:noProof/>
        </w:rPr>
        <w:t>подадени заявления;</w:t>
      </w:r>
    </w:p>
    <w:p>
      <w:pPr>
        <w:numPr>
          <w:ilvl w:val="0"/>
          <w:numId w:val="1"/>
        </w:numPr>
        <w:contextualSpacing/>
        <w:jc w:val="both"/>
        <w:rPr>
          <w:rFonts w:ascii="Times New Roman" w:hAnsi="Times New Roman" w:cs="Times New Roman"/>
          <w:noProof/>
        </w:rPr>
      </w:pPr>
      <w:r>
        <w:rPr>
          <w:rFonts w:ascii="Times New Roman" w:hAnsi="Times New Roman"/>
          <w:noProof/>
        </w:rPr>
        <w:t>приети решения;</w:t>
      </w:r>
    </w:p>
    <w:p>
      <w:pPr>
        <w:numPr>
          <w:ilvl w:val="0"/>
          <w:numId w:val="1"/>
        </w:numPr>
        <w:contextualSpacing/>
        <w:jc w:val="both"/>
        <w:rPr>
          <w:rFonts w:ascii="Times New Roman" w:hAnsi="Times New Roman" w:cs="Times New Roman"/>
          <w:noProof/>
        </w:rPr>
      </w:pPr>
      <w:r>
        <w:rPr>
          <w:rFonts w:ascii="Times New Roman" w:hAnsi="Times New Roman"/>
          <w:noProof/>
        </w:rPr>
        <w:t>финансирани действия, включително тяхната допълняемост с действия, финансирани от други инструменти на Съюза, и по-специално Европейския социален фонд (ЕСФ);</w:t>
      </w:r>
    </w:p>
    <w:p>
      <w:pPr>
        <w:numPr>
          <w:ilvl w:val="0"/>
          <w:numId w:val="1"/>
        </w:numPr>
        <w:contextualSpacing/>
        <w:jc w:val="both"/>
        <w:rPr>
          <w:rFonts w:ascii="Times New Roman" w:hAnsi="Times New Roman" w:cs="Times New Roman"/>
          <w:noProof/>
        </w:rPr>
      </w:pPr>
      <w:r>
        <w:rPr>
          <w:rFonts w:ascii="Times New Roman" w:hAnsi="Times New Roman"/>
          <w:noProof/>
        </w:rPr>
        <w:t>статистически данни относно процента на реинтеграция на подпомаганите бенефициери по държави членки;</w:t>
      </w:r>
    </w:p>
    <w:p>
      <w:pPr>
        <w:numPr>
          <w:ilvl w:val="0"/>
          <w:numId w:val="1"/>
        </w:numPr>
        <w:contextualSpacing/>
        <w:jc w:val="both"/>
        <w:rPr>
          <w:rFonts w:ascii="Times New Roman" w:hAnsi="Times New Roman" w:cs="Times New Roman"/>
          <w:noProof/>
        </w:rPr>
      </w:pPr>
      <w:r>
        <w:rPr>
          <w:rFonts w:ascii="Times New Roman" w:hAnsi="Times New Roman"/>
          <w:noProof/>
        </w:rPr>
        <w:t>приключване на финансови участия; както и</w:t>
      </w:r>
    </w:p>
    <w:p>
      <w:pPr>
        <w:numPr>
          <w:ilvl w:val="0"/>
          <w:numId w:val="1"/>
        </w:numPr>
        <w:contextualSpacing/>
        <w:jc w:val="both"/>
        <w:rPr>
          <w:rFonts w:ascii="Times New Roman" w:hAnsi="Times New Roman" w:cs="Times New Roman"/>
          <w:noProof/>
        </w:rPr>
      </w:pPr>
      <w:r>
        <w:rPr>
          <w:rFonts w:ascii="Times New Roman" w:hAnsi="Times New Roman"/>
          <w:noProof/>
        </w:rPr>
        <w:t>заявления, които са били отхвърлени или уважени частично поради недостиг на бюджетни кредити или защото не отговарят на условията.</w:t>
      </w:r>
    </w:p>
    <w:p>
      <w:pPr>
        <w:jc w:val="both"/>
        <w:rPr>
          <w:noProof/>
        </w:rPr>
      </w:pPr>
      <w:r>
        <w:rPr>
          <w:rFonts w:ascii="Times New Roman" w:hAnsi="Times New Roman"/>
          <w:noProof/>
        </w:rPr>
        <w:t>В заключение в доклада се обяснява как Комисията е разгледала бъдещите предизвикателства в предложението си за ЕФПГ за периода след 2020 г.</w:t>
      </w:r>
    </w:p>
    <w:p>
      <w:pPr>
        <w:pStyle w:val="Heading1"/>
        <w:spacing w:after="100" w:afterAutospacing="1"/>
        <w:rPr>
          <w:noProof/>
        </w:rPr>
      </w:pPr>
      <w:bookmarkStart w:id="2" w:name="_Toc17984024"/>
      <w:r>
        <w:rPr>
          <w:noProof/>
        </w:rPr>
        <w:t>2. Анализ на дейностите на ЕФПГ през 2017 и 2018 г.</w:t>
      </w:r>
      <w:bookmarkEnd w:id="2"/>
    </w:p>
    <w:p>
      <w:pPr>
        <w:pStyle w:val="Heading2"/>
        <w:spacing w:after="100" w:afterAutospacing="1"/>
        <w:rPr>
          <w:noProof/>
        </w:rPr>
      </w:pPr>
      <w:bookmarkStart w:id="3" w:name="_Toc17984025"/>
      <w:r>
        <w:rPr>
          <w:noProof/>
        </w:rPr>
        <w:t>2.1. Представени заявления</w:t>
      </w:r>
      <w:bookmarkEnd w:id="3"/>
    </w:p>
    <w:p>
      <w:pPr>
        <w:spacing w:before="240"/>
        <w:jc w:val="both"/>
        <w:rPr>
          <w:rFonts w:ascii="Times New Roman" w:eastAsia="Times New Roman" w:hAnsi="Times New Roman" w:cs="Times New Roman"/>
          <w:noProof/>
          <w:color w:val="000000"/>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pPr>
      <w:r>
        <w:rPr>
          <w:rFonts w:ascii="Times New Roman" w:hAnsi="Times New Roman"/>
          <w:noProof/>
        </w:rPr>
        <w:t xml:space="preserve">През 2017 и 2018 г. Комисията получи 13 заявления от следните 10 държави членки: Белгия, Германия, Гърция, Испания, Франция, Италия, Нидерландия, Португалия, Финландия и Швеция. Всички те са кандидатствали за финансиране от ЕФПГ и през предходните години. Подробна информация относно тези заявления е представена в таблица 1. </w:t>
      </w:r>
    </w:p>
    <w:p>
      <w:pPr>
        <w:jc w:val="center"/>
        <w:rPr>
          <w:rFonts w:ascii="Times New Roman" w:hAnsi="Times New Roman" w:cs="Times New Roman"/>
          <w:b/>
          <w:i/>
          <w:noProof/>
          <w:sz w:val="28"/>
          <w:szCs w:val="28"/>
        </w:rPr>
      </w:pPr>
      <w:r>
        <w:rPr>
          <w:rFonts w:ascii="Times New Roman" w:hAnsi="Times New Roman"/>
          <w:b/>
          <w:i/>
          <w:noProof/>
          <w:sz w:val="28"/>
          <w:szCs w:val="28"/>
        </w:rPr>
        <w:t>Таблица 1: Заявления, подадени през 2017 и 2018 г.</w:t>
      </w:r>
    </w:p>
    <w:p>
      <w:pPr>
        <w:jc w:val="center"/>
        <w:rPr>
          <w:noProof/>
        </w:rPr>
      </w:pP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pPr>
      <w:r>
        <w:rPr>
          <w:noProof/>
          <w:lang w:val="en-GB" w:eastAsia="en-GB"/>
        </w:rPr>
        <w:drawing>
          <wp:inline distT="0" distB="0" distL="0" distR="0">
            <wp:extent cx="8892540" cy="4422591"/>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2540" cy="4422591"/>
                    </a:xfrm>
                    <a:prstGeom prst="rect">
                      <a:avLst/>
                    </a:prstGeom>
                    <a:noFill/>
                    <a:ln>
                      <a:noFill/>
                    </a:ln>
                  </pic:spPr>
                </pic:pic>
              </a:graphicData>
            </a:graphic>
          </wp:inline>
        </w:drawing>
      </w:r>
    </w:p>
    <w:p>
      <w:pPr>
        <w:pStyle w:val="Heading3"/>
        <w:ind w:left="0" w:firstLine="708"/>
        <w:rPr>
          <w:noProof/>
        </w:rPr>
      </w:pPr>
      <w:bookmarkStart w:id="4" w:name="_Toc17984026"/>
      <w:r>
        <w:rPr>
          <w:noProof/>
        </w:rPr>
        <w:t>2.1.1. Заявления, подадени съгласно критерия за съкращения и намеса</w:t>
      </w:r>
      <w:bookmarkEnd w:id="4"/>
    </w:p>
    <w:p>
      <w:pPr>
        <w:spacing w:before="240"/>
        <w:jc w:val="both"/>
        <w:rPr>
          <w:rFonts w:ascii="Times New Roman" w:hAnsi="Times New Roman" w:cs="Times New Roman"/>
          <w:noProof/>
          <w:color w:val="000000" w:themeColor="text1"/>
        </w:rPr>
      </w:pPr>
      <w:r>
        <w:rPr>
          <w:rFonts w:ascii="Times New Roman" w:hAnsi="Times New Roman"/>
          <w:noProof/>
        </w:rPr>
        <w:t>Заявленията за 2017 и 2018 г. бяха обхванати от Регламент (ЕС) № 1309/2013, който се прилага за уволнения в резултат на:</w:t>
      </w:r>
    </w:p>
    <w:p>
      <w:pPr>
        <w:pStyle w:val="ListParagraph"/>
        <w:numPr>
          <w:ilvl w:val="0"/>
          <w:numId w:val="12"/>
        </w:numPr>
        <w:spacing w:before="240" w:after="0"/>
        <w:jc w:val="both"/>
        <w:rPr>
          <w:rFonts w:cs="Times New Roman"/>
          <w:b/>
          <w:noProof/>
        </w:rPr>
      </w:pPr>
      <w:r>
        <w:rPr>
          <w:b/>
          <w:noProof/>
        </w:rPr>
        <w:t xml:space="preserve">Големи структурни промени в моделите на световната търговия, настъпили вследствие на глобализацията. </w:t>
      </w:r>
    </w:p>
    <w:p>
      <w:pPr>
        <w:pStyle w:val="ListParagraph"/>
        <w:spacing w:before="240" w:after="0"/>
        <w:jc w:val="both"/>
        <w:rPr>
          <w:rFonts w:cs="Times New Roman"/>
          <w:noProof/>
        </w:rPr>
      </w:pPr>
    </w:p>
    <w:p>
      <w:pPr>
        <w:pStyle w:val="ListParagraph"/>
        <w:spacing w:before="240" w:after="0"/>
        <w:jc w:val="both"/>
        <w:rPr>
          <w:rFonts w:cs="Times New Roman"/>
          <w:noProof/>
        </w:rPr>
      </w:pPr>
      <w:r>
        <w:rPr>
          <w:noProof/>
        </w:rPr>
        <w:t>Девет заявления бяха подадени с позоваване на критерия „търговия“, като едно от тях беше обосновано с изключителни обстоятелства, а друго се отнасяше до малък пазар на труда</w:t>
      </w:r>
      <w:r>
        <w:rPr>
          <w:rStyle w:val="FootnoteReference"/>
          <w:noProof/>
        </w:rPr>
        <w:footnoteReference w:id="4"/>
      </w:r>
      <w:r>
        <w:rPr>
          <w:noProof/>
        </w:rPr>
        <w:t>.</w:t>
      </w:r>
    </w:p>
    <w:p>
      <w:pPr>
        <w:pStyle w:val="ListParagraph"/>
        <w:spacing w:before="240" w:after="0"/>
        <w:jc w:val="both"/>
        <w:rPr>
          <w:rFonts w:cs="Times New Roman"/>
          <w:noProof/>
        </w:rPr>
      </w:pPr>
    </w:p>
    <w:p>
      <w:pPr>
        <w:pStyle w:val="ListParagraph"/>
        <w:numPr>
          <w:ilvl w:val="0"/>
          <w:numId w:val="12"/>
        </w:numPr>
        <w:spacing w:before="240" w:after="0"/>
        <w:jc w:val="both"/>
        <w:rPr>
          <w:b/>
          <w:noProof/>
        </w:rPr>
      </w:pPr>
      <w:r>
        <w:rPr>
          <w:b/>
          <w:noProof/>
        </w:rPr>
        <w:t xml:space="preserve">Последиците от световната икономическа и финансова криза. </w:t>
      </w:r>
    </w:p>
    <w:p>
      <w:pPr>
        <w:pStyle w:val="ListParagraph"/>
        <w:spacing w:before="240" w:after="0"/>
        <w:jc w:val="both"/>
        <w:rPr>
          <w:noProof/>
        </w:rPr>
      </w:pPr>
    </w:p>
    <w:p>
      <w:pPr>
        <w:pStyle w:val="ListParagraph"/>
        <w:spacing w:before="240" w:after="0"/>
        <w:jc w:val="both"/>
        <w:rPr>
          <w:rFonts w:cs="Times New Roman"/>
          <w:noProof/>
          <w:color w:val="000000" w:themeColor="text1"/>
        </w:rPr>
      </w:pPr>
      <w:r>
        <w:rPr>
          <w:noProof/>
        </w:rPr>
        <w:t>Четири заявления бяха подадени във връзка с последиците от световната икономическа и финансова криза, като едно от тях беше обосновано с изключителни обстоятелства</w:t>
      </w:r>
      <w:r>
        <w:rPr>
          <w:rStyle w:val="FootnoteReference"/>
          <w:noProof/>
        </w:rPr>
        <w:t xml:space="preserve"> </w:t>
      </w:r>
      <w:r>
        <w:rPr>
          <w:rStyle w:val="FootnoteReference"/>
          <w:noProof/>
        </w:rPr>
        <w:footnoteReference w:id="5"/>
      </w:r>
      <w:r>
        <w:rPr>
          <w:noProof/>
        </w:rPr>
        <w:t>.</w:t>
      </w:r>
    </w:p>
    <w:p>
      <w:pPr>
        <w:pStyle w:val="Heading3"/>
        <w:ind w:left="0" w:firstLine="708"/>
        <w:rPr>
          <w:noProof/>
        </w:rPr>
      </w:pPr>
      <w:bookmarkStart w:id="5" w:name="_Toc17984027"/>
      <w:r>
        <w:rPr>
          <w:noProof/>
        </w:rPr>
        <w:t>2.1.2. Подадени заявления по сектори (NACE Rev. 2)</w:t>
      </w:r>
      <w:r>
        <w:rPr>
          <w:noProof/>
          <w:vertAlign w:val="superscript"/>
        </w:rPr>
        <w:footnoteReference w:id="6"/>
      </w:r>
      <w:bookmarkEnd w:id="5"/>
    </w:p>
    <w:p>
      <w:pPr>
        <w:jc w:val="both"/>
        <w:rPr>
          <w:rFonts w:ascii="Times New Roman" w:hAnsi="Times New Roman" w:cs="Times New Roman"/>
          <w:noProof/>
          <w:color w:val="000000" w:themeColor="text1"/>
        </w:rPr>
      </w:pPr>
      <w:r>
        <w:rPr>
          <w:rFonts w:ascii="Times New Roman" w:hAnsi="Times New Roman"/>
          <w:noProof/>
        </w:rPr>
        <w:t xml:space="preserve">Подадените и приети 13 заявления бяха свързани със съкращения в 11 различни сектора: </w:t>
      </w:r>
    </w:p>
    <w:p>
      <w:pPr>
        <w:jc w:val="both"/>
        <w:rPr>
          <w:rFonts w:ascii="Times New Roman" w:hAnsi="Times New Roman" w:cs="Times New Roman"/>
          <w:noProof/>
          <w:color w:val="000000" w:themeColor="text1"/>
        </w:rPr>
      </w:pPr>
      <w:r>
        <w:rPr>
          <w:rFonts w:ascii="Times New Roman" w:hAnsi="Times New Roman"/>
          <w:noProof/>
        </w:rPr>
        <w:t xml:space="preserve">1) добив на каменни и лигнитни въглища, 2) производство на изделия от каучук и пластмаси, 3) производство на компютърна и комуникационна техника, електронни и оптични продукти , 4) машини и оборудване, 5) въздушен транспорт, 6) издателска дейност, 7) дейности в областта на информационните технологии, 8) предоставяне на финансови услуги, 9) административни офис дейности и друго спомагателно обслужване на стопанската дейност, 10) облекло (две заявления) и 11) търговия на дребно (две заявления). </w:t>
      </w:r>
    </w:p>
    <w:p>
      <w:pPr>
        <w:jc w:val="both"/>
        <w:rPr>
          <w:rFonts w:ascii="Times New Roman" w:hAnsi="Times New Roman" w:cs="Times New Roman"/>
          <w:noProof/>
          <w:color w:val="000000" w:themeColor="text1"/>
        </w:rPr>
      </w:pPr>
      <w:r>
        <w:rPr>
          <w:rFonts w:ascii="Times New Roman" w:hAnsi="Times New Roman"/>
          <w:noProof/>
        </w:rPr>
        <w:t>За първи път от началото на дейността на ЕФПГ бяха подадени заявления за следните сектори: добив на каменни и лигнитни въглища, производство на изделия от каучук и пластмаси и предоставяне на финансови услуги.</w:t>
      </w:r>
    </w:p>
    <w:p>
      <w:pPr>
        <w:spacing w:after="0"/>
        <w:jc w:val="both"/>
        <w:rPr>
          <w:rFonts w:ascii="Times New Roman" w:hAnsi="Times New Roman"/>
          <w:noProof/>
        </w:rPr>
      </w:pPr>
      <w:r>
        <w:rPr>
          <w:rFonts w:ascii="Times New Roman" w:hAnsi="Times New Roman"/>
          <w:noProof/>
        </w:rPr>
        <w:t xml:space="preserve">Най-голям брой работници от целевата група са в сектора на машините и оборудването (2 285), следван от търговията на дребно (2 225) и въздушния транспорт (1 858). </w:t>
      </w:r>
    </w:p>
    <w:p>
      <w:pPr>
        <w:spacing w:after="0"/>
        <w:jc w:val="both"/>
        <w:rPr>
          <w:rFonts w:ascii="Times New Roman" w:hAnsi="Times New Roman"/>
          <w:noProof/>
        </w:rPr>
      </w:pPr>
    </w:p>
    <w:p>
      <w:pPr>
        <w:spacing w:after="0"/>
        <w:jc w:val="both"/>
        <w:rPr>
          <w:rFonts w:ascii="Times New Roman" w:hAnsi="Times New Roman"/>
          <w:noProof/>
        </w:rPr>
      </w:pPr>
    </w:p>
    <w:p>
      <w:pPr>
        <w:spacing w:after="0"/>
        <w:jc w:val="both"/>
        <w:rPr>
          <w:rFonts w:ascii="Times New Roman" w:hAnsi="Times New Roman"/>
          <w:noProof/>
        </w:rPr>
      </w:pPr>
    </w:p>
    <w:p>
      <w:pPr>
        <w:spacing w:before="240"/>
        <w:rPr>
          <w:rFonts w:ascii="Times New Roman" w:hAnsi="Times New Roman"/>
          <w:b/>
          <w:i/>
          <w:noProof/>
        </w:rPr>
      </w:pPr>
      <w:r>
        <w:rPr>
          <w:rFonts w:ascii="Times New Roman" w:hAnsi="Times New Roman"/>
          <w:b/>
          <w:i/>
          <w:noProof/>
        </w:rPr>
        <w:t>Графика 1: Брой работници от целевата група по сектори (NACE Rev. 2) за периода 2017—2018 г.</w:t>
      </w:r>
    </w:p>
    <w:p>
      <w:pPr>
        <w:jc w:val="both"/>
        <w:rPr>
          <w:rFonts w:ascii="Times New Roman" w:hAnsi="Times New Roman" w:cs="Times New Roman"/>
          <w:noProof/>
          <w:color w:val="000000" w:themeColor="text1"/>
        </w:rPr>
      </w:pPr>
      <w:r>
        <w:rPr>
          <w:noProof/>
          <w:lang w:val="en-GB" w:eastAsia="en-GB"/>
        </w:rPr>
        <w:drawing>
          <wp:inline distT="0" distB="0" distL="0" distR="0">
            <wp:extent cx="5760720" cy="34723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3472366"/>
                    </a:xfrm>
                    <a:prstGeom prst="rect">
                      <a:avLst/>
                    </a:prstGeom>
                    <a:noFill/>
                    <a:ln>
                      <a:noFill/>
                    </a:ln>
                  </pic:spPr>
                </pic:pic>
              </a:graphicData>
            </a:graphic>
          </wp:inline>
        </w:drawing>
      </w:r>
    </w:p>
    <w:p>
      <w:pPr>
        <w:jc w:val="both"/>
        <w:rPr>
          <w:rFonts w:ascii="Times New Roman" w:hAnsi="Times New Roman" w:cs="Times New Roman"/>
          <w:noProof/>
          <w:color w:val="000000" w:themeColor="text1"/>
        </w:rPr>
      </w:pPr>
    </w:p>
    <w:p>
      <w:pPr>
        <w:spacing w:after="0"/>
        <w:rPr>
          <w:rFonts w:ascii="Times New Roman" w:hAnsi="Times New Roman"/>
          <w:i/>
          <w:noProof/>
          <w:sz w:val="18"/>
          <w:szCs w:val="18"/>
        </w:rPr>
      </w:pPr>
    </w:p>
    <w:p>
      <w:pPr>
        <w:pStyle w:val="Heading3"/>
        <w:spacing w:before="0" w:after="240"/>
        <w:ind w:left="0" w:firstLine="708"/>
        <w:rPr>
          <w:noProof/>
        </w:rPr>
      </w:pPr>
      <w:bookmarkStart w:id="6" w:name="_Toc17984028"/>
      <w:r>
        <w:rPr>
          <w:noProof/>
        </w:rPr>
        <w:t>2.1.3. Подадени заявления по брой на бенефициерите от целевата група за всяка държава членка</w:t>
      </w:r>
      <w:bookmarkEnd w:id="6"/>
    </w:p>
    <w:p>
      <w:pPr>
        <w:jc w:val="both"/>
        <w:rPr>
          <w:rFonts w:ascii="Times New Roman" w:hAnsi="Times New Roman" w:cs="Times New Roman"/>
          <w:noProof/>
          <w:color w:val="000000" w:themeColor="text1"/>
        </w:rPr>
      </w:pPr>
      <w:r>
        <w:rPr>
          <w:rFonts w:ascii="Times New Roman" w:hAnsi="Times New Roman"/>
          <w:noProof/>
        </w:rPr>
        <w:t>Общият брой на бенефициерите (работници и NEET), към които е била насочена подкрепата от ЕФПГ, е 14 051. Броят на бенефициерите от целевата група за всяко отделно заявление варира от 303 до 2 585, като 6 от заявленията се отнасят до най-малко 1 000 бенефициери , а 3 заявления — до по-малко от 500 бенефициери</w:t>
      </w:r>
      <w:r>
        <w:rPr>
          <w:rStyle w:val="FootnoteReference"/>
          <w:rFonts w:ascii="Times New Roman" w:hAnsi="Times New Roman" w:cs="Times New Roman"/>
          <w:noProof/>
        </w:rPr>
        <w:footnoteReference w:id="7"/>
      </w:r>
      <w:r>
        <w:rPr>
          <w:rFonts w:ascii="Times New Roman" w:hAnsi="Times New Roman"/>
          <w:noProof/>
        </w:rPr>
        <w:t xml:space="preserve"> (вж. таблица 1). Средният брой бенефициери от целевата група на заявление е 1 081. </w:t>
      </w:r>
    </w:p>
    <w:p>
      <w:pPr>
        <w:jc w:val="both"/>
        <w:rPr>
          <w:rFonts w:ascii="Times New Roman" w:eastAsia="Times New Roman" w:hAnsi="Times New Roman"/>
          <w:noProof/>
          <w:color w:val="000000"/>
        </w:rPr>
      </w:pPr>
      <w:r>
        <w:rPr>
          <w:rFonts w:ascii="Times New Roman" w:hAnsi="Times New Roman"/>
          <w:noProof/>
        </w:rPr>
        <w:t>От 14 051 бенефициери от целевата група 12 896 са съкратени работници, а 1 155 са NEET. Финландия е поискала от ЕФПГ подкрепа за най-голям брой работници (2 500), следвана от Белгия (2 285) и Франция (1 858). Трите заявления, в които в целевата група за помощ са били включени също и NEET, са подадени от Белгия (300 NEET), Испания (125 NEET) и Португалия (730 NEET).</w:t>
      </w:r>
    </w:p>
    <w:p>
      <w:pPr>
        <w:jc w:val="both"/>
        <w:rPr>
          <w:rFonts w:ascii="Times New Roman" w:eastAsia="Times New Roman" w:hAnsi="Times New Roman"/>
          <w:noProof/>
          <w:color w:val="000000"/>
        </w:rPr>
      </w:pPr>
    </w:p>
    <w:p>
      <w:pPr>
        <w:jc w:val="both"/>
        <w:rPr>
          <w:rFonts w:ascii="Times New Roman" w:eastAsia="Times New Roman" w:hAnsi="Times New Roman"/>
          <w:noProof/>
          <w:color w:val="000000"/>
        </w:rPr>
      </w:pPr>
    </w:p>
    <w:p>
      <w:pPr>
        <w:jc w:val="both"/>
        <w:rPr>
          <w:rFonts w:ascii="Times New Roman" w:eastAsia="Times New Roman" w:hAnsi="Times New Roman"/>
          <w:noProof/>
          <w:color w:val="000000"/>
        </w:rPr>
      </w:pPr>
    </w:p>
    <w:p>
      <w:pPr>
        <w:jc w:val="both"/>
        <w:rPr>
          <w:rFonts w:ascii="Times New Roman" w:eastAsia="Times New Roman" w:hAnsi="Times New Roman"/>
          <w:noProof/>
          <w:color w:val="000000"/>
        </w:rPr>
      </w:pPr>
    </w:p>
    <w:p>
      <w:pPr>
        <w:spacing w:before="240"/>
        <w:jc w:val="both"/>
        <w:rPr>
          <w:rFonts w:ascii="Times New Roman" w:hAnsi="Times New Roman"/>
          <w:b/>
          <w:i/>
          <w:noProof/>
        </w:rPr>
      </w:pPr>
      <w:r>
        <w:rPr>
          <w:rFonts w:ascii="Times New Roman" w:hAnsi="Times New Roman"/>
          <w:b/>
          <w:i/>
          <w:noProof/>
        </w:rPr>
        <w:t>Графика 2: Брой бенефициери от целевата група по държави членки за периода 2017—2018 г.</w:t>
      </w:r>
    </w:p>
    <w:p>
      <w:pPr>
        <w:spacing w:after="0"/>
        <w:jc w:val="center"/>
        <w:rPr>
          <w:rFonts w:ascii="Times New Roman" w:hAnsi="Times New Roman"/>
          <w:noProof/>
        </w:rPr>
      </w:pPr>
      <w:r>
        <w:rPr>
          <w:noProof/>
          <w:lang w:val="en-GB" w:eastAsia="en-GB"/>
        </w:rPr>
        <w:drawing>
          <wp:inline distT="0" distB="0" distL="0" distR="0">
            <wp:extent cx="5760720" cy="321379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3213791"/>
                    </a:xfrm>
                    <a:prstGeom prst="rect">
                      <a:avLst/>
                    </a:prstGeom>
                    <a:noFill/>
                    <a:ln>
                      <a:noFill/>
                    </a:ln>
                  </pic:spPr>
                </pic:pic>
              </a:graphicData>
            </a:graphic>
          </wp:inline>
        </w:drawing>
      </w:r>
    </w:p>
    <w:p>
      <w:pPr>
        <w:spacing w:after="0"/>
        <w:rPr>
          <w:rFonts w:ascii="Times New Roman" w:hAnsi="Times New Roman"/>
          <w:i/>
          <w:noProof/>
        </w:rPr>
      </w:pPr>
      <w:r>
        <w:rPr>
          <w:rFonts w:ascii="Times New Roman" w:hAnsi="Times New Roman"/>
          <w:i/>
          <w:noProof/>
        </w:rPr>
        <w:t>Броят на подадените заявления е посочен в скоби.</w:t>
      </w:r>
    </w:p>
    <w:p>
      <w:pPr>
        <w:spacing w:after="0"/>
        <w:rPr>
          <w:rFonts w:ascii="Times New Roman" w:eastAsia="Times New Roman" w:hAnsi="Times New Roman" w:cs="Times New Roman"/>
          <w:b/>
          <w:bCs/>
          <w:noProof/>
          <w:color w:val="000000"/>
        </w:rPr>
      </w:pPr>
    </w:p>
    <w:p>
      <w:pPr>
        <w:spacing w:after="0"/>
        <w:rPr>
          <w:rFonts w:ascii="Times New Roman" w:eastAsia="Times New Roman" w:hAnsi="Times New Roman" w:cs="Times New Roman"/>
          <w:b/>
          <w:bCs/>
          <w:noProof/>
          <w:color w:val="000000"/>
        </w:rPr>
      </w:pPr>
      <w:r>
        <w:rPr>
          <w:rFonts w:ascii="Times New Roman" w:hAnsi="Times New Roman"/>
          <w:b/>
          <w:bCs/>
          <w:noProof/>
        </w:rPr>
        <w:t>Общ брой бенефициери от целевата група:</w:t>
      </w:r>
      <w:r>
        <w:rPr>
          <w:rFonts w:ascii="Times New Roman" w:hAnsi="Times New Roman"/>
          <w:b/>
          <w:bCs/>
          <w:noProof/>
        </w:rPr>
        <w:tab/>
      </w:r>
      <w:r>
        <w:rPr>
          <w:rFonts w:ascii="Times New Roman" w:hAnsi="Times New Roman"/>
          <w:b/>
          <w:bCs/>
          <w:noProof/>
        </w:rPr>
        <w:tab/>
        <w:t>14 051</w:t>
      </w:r>
    </w:p>
    <w:p>
      <w:pPr>
        <w:spacing w:after="0"/>
        <w:rPr>
          <w:rFonts w:ascii="Times New Roman" w:eastAsia="Times New Roman" w:hAnsi="Times New Roman" w:cs="Times New Roman"/>
          <w:b/>
          <w:bCs/>
          <w:noProof/>
          <w:color w:val="000000"/>
        </w:rPr>
      </w:pPr>
      <w:r>
        <w:rPr>
          <w:rFonts w:ascii="Times New Roman" w:hAnsi="Times New Roman"/>
          <w:b/>
          <w:noProof/>
        </w:rPr>
        <w:t>Общ брой бенефициери от целевата група:</w:t>
      </w:r>
      <w:r>
        <w:rPr>
          <w:rFonts w:ascii="Times New Roman" w:hAnsi="Times New Roman"/>
          <w:b/>
          <w:bCs/>
          <w:noProof/>
        </w:rPr>
        <w:tab/>
      </w:r>
      <w:r>
        <w:rPr>
          <w:rFonts w:ascii="Times New Roman" w:hAnsi="Times New Roman"/>
          <w:b/>
          <w:bCs/>
          <w:noProof/>
        </w:rPr>
        <w:tab/>
        <w:t xml:space="preserve">  1 405</w:t>
      </w:r>
    </w:p>
    <w:p>
      <w:pPr>
        <w:ind w:left="708"/>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Тринадесетте заявления, подадени през референтния период, бяха свързани с 16 133 съкращения, от които 12 896 (представляващи 80 %) бяха предмет на мерките, предложени за съфинансиране от ЕФПГ.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Трябва да се отбележи, че броят на работниците, засегнати от съкращения, и броят на работниците, към които е била насочена подкрепата от ЕФПГ, може да се различава, тъй като държавата членка може да реши да се съсредоточи само върху определени групи лица, като например най-уязвимите работници, такива, които са изправени пред изключителни трудности на пазара на труда, и/или такива, които имат най-голяма потребност от помощ. В някои случаи стандартната подкрепа за съкратените работници в държавите членки може да бъде достатъчна за бързото им връщане на работа или работниците могат да изберат ранно пенсиониране.</w:t>
      </w:r>
    </w:p>
    <w:p>
      <w:pPr>
        <w:pStyle w:val="Heading3"/>
        <w:ind w:left="0" w:firstLine="708"/>
        <w:rPr>
          <w:bCs w:val="0"/>
          <w:i w:val="0"/>
          <w:noProof/>
        </w:rPr>
      </w:pPr>
      <w:bookmarkStart w:id="7" w:name="_Toc17984029"/>
      <w:r>
        <w:rPr>
          <w:noProof/>
        </w:rPr>
        <w:t>2.1.4. Подадени заявления според размера на исканата сума</w:t>
      </w:r>
      <w:bookmarkEnd w:id="7"/>
    </w:p>
    <w:p>
      <w:pPr>
        <w:jc w:val="both"/>
        <w:rPr>
          <w:rFonts w:ascii="Times New Roman" w:hAnsi="Times New Roman" w:cs="Times New Roman"/>
          <w:noProof/>
        </w:rPr>
      </w:pPr>
      <w:r>
        <w:rPr>
          <w:rFonts w:ascii="Times New Roman" w:hAnsi="Times New Roman"/>
          <w:noProof/>
        </w:rPr>
        <w:t xml:space="preserve">Всяка държава членка, подаваща заявление за помощ по линия на ЕФПГ, трябва да изготви съгласуван пакет от мерки, който в най-голяма степен отговаря на профила на целевата група бенефициери, и да вземе решение за размера на помощта, която иска да ѝ бъде предоставена. В Регламент (ЕС) № 1309/2013 максималният процент на съфинансиране от ЕФПГ е определен на 60 %. </w:t>
      </w:r>
    </w:p>
    <w:p>
      <w:pPr>
        <w:jc w:val="both"/>
        <w:rPr>
          <w:rFonts w:ascii="Times New Roman" w:eastAsia="Times New Roman" w:hAnsi="Times New Roman" w:cs="Times New Roman"/>
          <w:bCs/>
          <w:noProof/>
          <w:color w:val="000000"/>
        </w:rPr>
      </w:pPr>
      <w:r>
        <w:rPr>
          <w:rFonts w:ascii="Times New Roman" w:hAnsi="Times New Roman"/>
          <w:bCs/>
          <w:noProof/>
        </w:rPr>
        <w:t xml:space="preserve">Подкрепа от ЕФПГ, възлизаща общо на 41 006 837 EUR, беше поискана от 10 държави членки. Франция поиска най-голяма сума (9 894 483 EUR за 1 заявление), следвана от Финландия (6 019 440 EUR за 2 заявления) и Гърция (5 257 650 EUR за 2 заявления). Поисканите от ЕФПГ финансови участия варираха от 720 000 EUR до 9 894 483 EUR, или средно 3 154 372 EUR на заявление и 4 100 684 EUR на държава членка. </w:t>
      </w:r>
    </w:p>
    <w:p>
      <w:pPr>
        <w:spacing w:before="240" w:after="0"/>
        <w:rPr>
          <w:rFonts w:ascii="Times New Roman" w:hAnsi="Times New Roman"/>
          <w:b/>
          <w:i/>
          <w:noProof/>
        </w:rPr>
      </w:pPr>
      <w:r>
        <w:rPr>
          <w:rFonts w:ascii="Times New Roman" w:hAnsi="Times New Roman"/>
          <w:b/>
          <w:i/>
          <w:noProof/>
        </w:rPr>
        <w:t>Графика 3: Общ размер на заявените по линия на ЕФПГ суми (в евро) по държави членки за периода 2017—2018 г.</w:t>
      </w:r>
    </w:p>
    <w:p>
      <w:pPr>
        <w:spacing w:after="0"/>
        <w:rPr>
          <w:rFonts w:ascii="Times New Roman" w:hAnsi="Times New Roman"/>
          <w:b/>
          <w:i/>
          <w:noProof/>
        </w:rPr>
      </w:pPr>
    </w:p>
    <w:p>
      <w:pPr>
        <w:spacing w:after="0"/>
        <w:jc w:val="center"/>
        <w:rPr>
          <w:rFonts w:ascii="Times New Roman" w:hAnsi="Times New Roman"/>
          <w:noProof/>
        </w:rPr>
      </w:pPr>
      <w:r>
        <w:rPr>
          <w:noProof/>
          <w:lang w:val="en-GB" w:eastAsia="en-GB"/>
        </w:rPr>
        <w:drawing>
          <wp:inline distT="0" distB="0" distL="0" distR="0">
            <wp:extent cx="5760720" cy="3056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3056550"/>
                    </a:xfrm>
                    <a:prstGeom prst="rect">
                      <a:avLst/>
                    </a:prstGeom>
                    <a:noFill/>
                    <a:ln>
                      <a:noFill/>
                    </a:ln>
                  </pic:spPr>
                </pic:pic>
              </a:graphicData>
            </a:graphic>
          </wp:inline>
        </w:drawing>
      </w:r>
    </w:p>
    <w:p>
      <w:pPr>
        <w:spacing w:after="0"/>
        <w:rPr>
          <w:rFonts w:ascii="Times New Roman" w:hAnsi="Times New Roman"/>
          <w:i/>
          <w:noProof/>
        </w:rPr>
      </w:pPr>
      <w:r>
        <w:rPr>
          <w:rFonts w:ascii="Times New Roman" w:hAnsi="Times New Roman"/>
          <w:i/>
          <w:noProof/>
        </w:rPr>
        <w:t>Броят на подадените заявления е посочен в скоби.</w:t>
      </w:r>
    </w:p>
    <w:p>
      <w:pPr>
        <w:spacing w:after="0" w:line="240" w:lineRule="auto"/>
        <w:rPr>
          <w:rFonts w:ascii="Times New Roman" w:eastAsia="Times New Roman" w:hAnsi="Times New Roman" w:cs="Times New Roman"/>
          <w:b/>
          <w:bCs/>
          <w:noProof/>
          <w:color w:val="000000"/>
        </w:rPr>
      </w:pP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Общ размер на заявените по линия на ЕФПГ суми:</w:t>
      </w:r>
      <w:r>
        <w:rPr>
          <w:rFonts w:ascii="Times New Roman" w:hAnsi="Times New Roman"/>
          <w:b/>
          <w:bCs/>
          <w:noProof/>
        </w:rPr>
        <w:tab/>
      </w:r>
      <w:r>
        <w:rPr>
          <w:rFonts w:ascii="Times New Roman" w:hAnsi="Times New Roman"/>
          <w:b/>
          <w:bCs/>
          <w:noProof/>
        </w:rPr>
        <w:tab/>
      </w:r>
      <w:r>
        <w:rPr>
          <w:rFonts w:ascii="Times New Roman" w:hAnsi="Times New Roman"/>
          <w:b/>
          <w:bCs/>
          <w:noProof/>
        </w:rPr>
        <w:tab/>
        <w:t xml:space="preserve">41 006 837 EUR </w:t>
      </w: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Усреднен размер на заявените по линия на ЕФПГ суми:</w:t>
      </w:r>
      <w:r>
        <w:rPr>
          <w:rFonts w:ascii="Times New Roman" w:hAnsi="Times New Roman"/>
          <w:b/>
          <w:bCs/>
          <w:noProof/>
        </w:rPr>
        <w:tab/>
      </w:r>
      <w:r>
        <w:rPr>
          <w:rFonts w:ascii="Times New Roman" w:hAnsi="Times New Roman"/>
          <w:b/>
          <w:bCs/>
          <w:noProof/>
        </w:rPr>
        <w:tab/>
      </w:r>
      <w:r>
        <w:rPr>
          <w:rFonts w:ascii="Times New Roman" w:hAnsi="Times New Roman"/>
          <w:b/>
          <w:bCs/>
          <w:noProof/>
        </w:rPr>
        <w:tab/>
        <w:t xml:space="preserve">  4 100 684 EUR </w:t>
      </w:r>
    </w:p>
    <w:p>
      <w:pPr>
        <w:pStyle w:val="Heading3"/>
        <w:ind w:left="0" w:firstLine="708"/>
        <w:rPr>
          <w:noProof/>
        </w:rPr>
      </w:pPr>
      <w:bookmarkStart w:id="8" w:name="_Toc17984030"/>
      <w:r>
        <w:rPr>
          <w:noProof/>
        </w:rPr>
        <w:t>2.1.5. Подадени заявления според размера на исканата сума за отделен бенефициер</w:t>
      </w:r>
      <w:bookmarkEnd w:id="8"/>
    </w:p>
    <w:p>
      <w:pPr>
        <w:jc w:val="both"/>
        <w:rPr>
          <w:rFonts w:ascii="Times New Roman" w:hAnsi="Times New Roman" w:cs="Times New Roman"/>
          <w:noProof/>
        </w:rPr>
      </w:pPr>
      <w:r>
        <w:rPr>
          <w:rFonts w:ascii="Times New Roman" w:hAnsi="Times New Roman"/>
          <w:noProof/>
        </w:rPr>
        <w:t xml:space="preserve">Регламент (ЕС) № 1309/2013 не поставя ограничение за общия размер на исканата сума. Поради това поисканата сума за отделен бенефициер от целевата група може да варира в зависимост от ситуацията на съответния пазар на труда, конкретните обстоятелства при бенефициерите от целевата група, вече предвидените от държавата членка мерки и разходите за предоставянето на услугите в съответната държава членка. Това обяснява защо през 2017 и 2018 г. предложеният размер на подкрепата от ЕФПГ за отделен бенефициер варира от 1 666 EUR до 5 325 EUR, или средно 2 918 EUR на бенефициер от целевата група (както е показано в таблица 1). Най-голямата усреднена сума за бенефициер е била заявена от Франция (5 325 EUR), следвана от Гърция (4 124 EUR) и Германия (3 352 EUR). </w:t>
      </w:r>
    </w:p>
    <w:p>
      <w:pPr>
        <w:spacing w:before="720"/>
        <w:jc w:val="both"/>
        <w:rPr>
          <w:rFonts w:ascii="Times New Roman" w:hAnsi="Times New Roman" w:cs="Times New Roman"/>
          <w:noProof/>
        </w:rPr>
      </w:pPr>
      <w:r>
        <w:rPr>
          <w:rFonts w:ascii="Times New Roman" w:hAnsi="Times New Roman"/>
          <w:b/>
          <w:i/>
          <w:noProof/>
        </w:rPr>
        <w:t>Графика 4: Размер на заявените по линия на ЕФПГ суми (в евро) за отделен бенефициер и по държави членки за периода 2017—2018 г.</w:t>
      </w:r>
    </w:p>
    <w:p>
      <w:pPr>
        <w:spacing w:after="0"/>
        <w:jc w:val="center"/>
        <w:rPr>
          <w:rFonts w:ascii="Times New Roman" w:hAnsi="Times New Roman"/>
          <w:i/>
          <w:noProof/>
        </w:rPr>
      </w:pPr>
      <w:r>
        <w:rPr>
          <w:noProof/>
          <w:lang w:val="en-GB" w:eastAsia="en-GB"/>
        </w:rPr>
        <w:drawing>
          <wp:inline distT="0" distB="0" distL="0" distR="0">
            <wp:extent cx="5760720" cy="38736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3873606"/>
                    </a:xfrm>
                    <a:prstGeom prst="rect">
                      <a:avLst/>
                    </a:prstGeom>
                    <a:noFill/>
                    <a:ln>
                      <a:noFill/>
                    </a:ln>
                  </pic:spPr>
                </pic:pic>
              </a:graphicData>
            </a:graphic>
          </wp:inline>
        </w:drawing>
      </w:r>
    </w:p>
    <w:p>
      <w:pPr>
        <w:spacing w:after="240"/>
        <w:rPr>
          <w:rFonts w:ascii="Times New Roman" w:hAnsi="Times New Roman"/>
          <w:i/>
          <w:noProof/>
        </w:rPr>
      </w:pPr>
      <w:r>
        <w:rPr>
          <w:rFonts w:ascii="Times New Roman" w:hAnsi="Times New Roman"/>
          <w:i/>
          <w:noProof/>
        </w:rPr>
        <w:t xml:space="preserve">            Броят на подадените заявления е посочен в скоби.</w:t>
      </w:r>
    </w:p>
    <w:p>
      <w:pPr>
        <w:spacing w:after="240"/>
        <w:rPr>
          <w:rFonts w:ascii="Times New Roman" w:hAnsi="Times New Roman"/>
          <w:b/>
          <w:noProof/>
          <w:spacing w:val="-4"/>
        </w:rPr>
      </w:pPr>
      <w:r>
        <w:rPr>
          <w:rFonts w:ascii="Times New Roman" w:hAnsi="Times New Roman"/>
          <w:b/>
          <w:noProof/>
          <w:spacing w:val="-4"/>
        </w:rPr>
        <w:t>Усреднен размер на заявените по линия на ЕФПГ суми за отделен бенефициер:</w:t>
      </w:r>
      <w:r>
        <w:rPr>
          <w:rFonts w:ascii="Times New Roman" w:hAnsi="Times New Roman"/>
          <w:b/>
          <w:noProof/>
          <w:spacing w:val="-4"/>
        </w:rPr>
        <w:tab/>
        <w:t>2 918 EUR</w:t>
      </w:r>
    </w:p>
    <w:p>
      <w:pPr>
        <w:pStyle w:val="Heading2"/>
        <w:spacing w:before="360"/>
        <w:rPr>
          <w:noProof/>
        </w:rPr>
      </w:pPr>
      <w:bookmarkStart w:id="9" w:name="_Toc17984031"/>
      <w:r>
        <w:rPr>
          <w:noProof/>
        </w:rPr>
        <w:t>2.2. Приети решения и средства, предоставени под формата на финансово участие</w:t>
      </w:r>
      <w:bookmarkEnd w:id="9"/>
    </w:p>
    <w:p>
      <w:pPr>
        <w:jc w:val="both"/>
        <w:rPr>
          <w:rFonts w:ascii="Times New Roman" w:hAnsi="Times New Roman" w:cs="Times New Roman"/>
          <w:noProof/>
        </w:rPr>
      </w:pPr>
      <w:r>
        <w:rPr>
          <w:rFonts w:ascii="Times New Roman" w:hAnsi="Times New Roman"/>
          <w:noProof/>
        </w:rPr>
        <w:t xml:space="preserve">През 2017 г. Европейският парламент и Съветът приеха седем решения за мобилизиране на средства от ЕФПГ, а през 2018 г. — осем решения. Във всички случаи процентът на съфинансиране бе 60 %. В таблици 2 и 3 е представена подробна информация за финансирането, предоставено през 2017 и 2018 г. Тези две таблици включват и две заявления, подадени преди 1.1.2017 г., но приети през 2017 г., и следователно обхващат различна група случаи от таблица 1, в която са представени заявленията, подадени през 2017 и 2018 г. </w:t>
      </w:r>
    </w:p>
    <w:p>
      <w:pPr>
        <w:jc w:val="both"/>
        <w:rPr>
          <w:noProof/>
        </w:rPr>
      </w:pPr>
      <w:r>
        <w:rPr>
          <w:rFonts w:ascii="Times New Roman" w:hAnsi="Times New Roman"/>
          <w:noProof/>
        </w:rPr>
        <w:t>Петнадесет от финансовите участия бяха насочени към 15 672 бенефициери (включително 1 155 млади хора, които не работят и не са ангажирани в никаква форма на образование или обучение</w:t>
      </w:r>
      <w:r>
        <w:rPr>
          <w:rStyle w:val="FootnoteReference"/>
          <w:rFonts w:ascii="Times New Roman" w:eastAsia="Times New Roman" w:hAnsi="Times New Roman" w:cs="Times New Roman"/>
          <w:noProof/>
        </w:rPr>
        <w:footnoteReference w:id="8"/>
      </w:r>
      <w:r>
        <w:rPr>
          <w:rFonts w:ascii="Times New Roman" w:hAnsi="Times New Roman"/>
          <w:noProof/>
        </w:rPr>
        <w:t xml:space="preserve">) в 10 държави членки, като съфинансирането от ЕФПГ беше в общ размер на 45 467 387 EUR, или средно по 2 901 EUR на бенефициер от целевата група. От 14 517-те работници от целевата група (представляващи 80 % от съкратените работници) 57 % са били мъже, 69 % са били на възраст между 25 и 54 години, а 98 % са били граждани на ЕС. </w:t>
      </w:r>
    </w:p>
    <w:p>
      <w:pPr>
        <w:jc w:val="both"/>
        <w:rPr>
          <w:rFonts w:ascii="Times New Roman" w:hAnsi="Times New Roman" w:cs="Times New Roman"/>
          <w:noProof/>
        </w:rPr>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pPr>
    </w:p>
    <w:p>
      <w:pPr>
        <w:spacing w:after="0"/>
        <w:jc w:val="center"/>
        <w:rPr>
          <w:rFonts w:ascii="Times New Roman" w:hAnsi="Times New Roman" w:cs="Times New Roman"/>
          <w:b/>
          <w:i/>
          <w:noProof/>
          <w:sz w:val="28"/>
          <w:szCs w:val="28"/>
        </w:rPr>
      </w:pPr>
      <w:r>
        <w:rPr>
          <w:rFonts w:ascii="Times New Roman" w:hAnsi="Times New Roman"/>
          <w:b/>
          <w:i/>
          <w:noProof/>
          <w:sz w:val="28"/>
          <w:szCs w:val="28"/>
        </w:rPr>
        <w:t>Таблица 2: Подробна информация относно средства, предоставени под формата на финансово участие през 2017 и 2018 г.</w:t>
      </w:r>
    </w:p>
    <w:p>
      <w:pPr>
        <w:spacing w:after="0"/>
        <w:jc w:val="center"/>
        <w:rPr>
          <w:rFonts w:ascii="Times New Roman" w:hAnsi="Times New Roman" w:cs="Times New Roman"/>
          <w:b/>
          <w:i/>
          <w:noProof/>
          <w:sz w:val="28"/>
          <w:szCs w:val="28"/>
        </w:rPr>
      </w:pPr>
      <w:r>
        <w:rPr>
          <w:rFonts w:ascii="Times New Roman" w:hAnsi="Times New Roman"/>
          <w:b/>
          <w:i/>
          <w:noProof/>
          <w:sz w:val="28"/>
          <w:szCs w:val="28"/>
        </w:rPr>
        <w:t>(Дата на подписване от бюджетния орган през 2017 и 2018 г.)</w:t>
      </w:r>
    </w:p>
    <w:p>
      <w:pPr>
        <w:spacing w:after="0"/>
        <w:jc w:val="center"/>
        <w:rPr>
          <w:rFonts w:ascii="Times New Roman" w:hAnsi="Times New Roman" w:cs="Times New Roman"/>
          <w:b/>
          <w:i/>
          <w:noProof/>
          <w:sz w:val="28"/>
          <w:szCs w:val="28"/>
        </w:rPr>
      </w:pPr>
    </w:p>
    <w:p>
      <w:pPr>
        <w:jc w:val="center"/>
        <w:rPr>
          <w:rFonts w:ascii="Times New Roman" w:hAnsi="Times New Roman" w:cs="Times New Roman"/>
          <w:b/>
          <w:i/>
          <w:noProof/>
          <w:sz w:val="28"/>
          <w:szCs w:val="28"/>
        </w:rPr>
      </w:pPr>
      <w:r>
        <w:rPr>
          <w:noProof/>
          <w:lang w:val="en-GB" w:eastAsia="en-GB"/>
        </w:rPr>
        <w:drawing>
          <wp:inline distT="0" distB="0" distL="0" distR="0">
            <wp:extent cx="8893151" cy="4209691"/>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2540" cy="4209402"/>
                    </a:xfrm>
                    <a:prstGeom prst="rect">
                      <a:avLst/>
                    </a:prstGeom>
                    <a:noFill/>
                    <a:ln>
                      <a:noFill/>
                    </a:ln>
                  </pic:spPr>
                </pic:pic>
              </a:graphicData>
            </a:graphic>
          </wp:inline>
        </w:drawing>
      </w:r>
    </w:p>
    <w:p>
      <w:pPr>
        <w:keepNext/>
        <w:spacing w:after="0"/>
        <w:jc w:val="center"/>
        <w:rPr>
          <w:rFonts w:ascii="Times New Roman" w:hAnsi="Times New Roman" w:cs="Times New Roman"/>
          <w:b/>
          <w:i/>
          <w:noProof/>
          <w:sz w:val="28"/>
          <w:szCs w:val="28"/>
        </w:rPr>
      </w:pPr>
      <w:r>
        <w:rPr>
          <w:rFonts w:ascii="Times New Roman" w:hAnsi="Times New Roman"/>
          <w:b/>
          <w:i/>
          <w:noProof/>
          <w:sz w:val="28"/>
          <w:szCs w:val="28"/>
        </w:rPr>
        <w:t>Таблица 3: Подробна информация относно средства, предоставени под формата на финансово участие през 2017 и 2018 г.</w:t>
      </w:r>
    </w:p>
    <w:p>
      <w:pPr>
        <w:spacing w:after="0"/>
        <w:jc w:val="center"/>
        <w:rPr>
          <w:rFonts w:ascii="Times New Roman" w:hAnsi="Times New Roman" w:cs="Times New Roman"/>
          <w:b/>
          <w:i/>
          <w:noProof/>
          <w:sz w:val="28"/>
          <w:szCs w:val="28"/>
        </w:rPr>
      </w:pPr>
      <w:r>
        <w:rPr>
          <w:rFonts w:ascii="Times New Roman" w:hAnsi="Times New Roman"/>
          <w:b/>
          <w:i/>
          <w:noProof/>
          <w:sz w:val="28"/>
          <w:szCs w:val="28"/>
        </w:rPr>
        <w:t>Профил на работниците от целевата група (без NEET*)</w:t>
      </w:r>
    </w:p>
    <w:p>
      <w:pPr>
        <w:spacing w:after="0"/>
        <w:jc w:val="center"/>
        <w:rPr>
          <w:rFonts w:ascii="Times New Roman" w:hAnsi="Times New Roman" w:cs="Times New Roman"/>
          <w:b/>
          <w:i/>
          <w:noProof/>
          <w:sz w:val="28"/>
          <w:szCs w:val="28"/>
        </w:rPr>
      </w:pPr>
    </w:p>
    <w:p>
      <w:pPr>
        <w:spacing w:after="0"/>
        <w:jc w:val="center"/>
        <w:rPr>
          <w:rFonts w:ascii="Times New Roman" w:hAnsi="Times New Roman" w:cs="Times New Roman"/>
          <w:b/>
          <w:i/>
          <w:noProof/>
          <w:sz w:val="28"/>
          <w:szCs w:val="28"/>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docGrid w:linePitch="360"/>
        </w:sectPr>
      </w:pPr>
      <w:r>
        <w:rPr>
          <w:noProof/>
          <w:lang w:val="en-GB" w:eastAsia="en-GB"/>
        </w:rPr>
        <w:drawing>
          <wp:inline distT="0" distB="0" distL="0" distR="0">
            <wp:extent cx="8887591" cy="4451230"/>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87591" cy="4451230"/>
                    </a:xfrm>
                    <a:prstGeom prst="rect">
                      <a:avLst/>
                    </a:prstGeom>
                    <a:noFill/>
                    <a:ln>
                      <a:noFill/>
                    </a:ln>
                  </pic:spPr>
                </pic:pic>
              </a:graphicData>
            </a:graphic>
          </wp:inline>
        </w:drawing>
      </w:r>
    </w:p>
    <w:p>
      <w:pPr>
        <w:spacing w:before="720"/>
        <w:rPr>
          <w:rFonts w:ascii="Times New Roman" w:hAnsi="Times New Roman"/>
          <w:b/>
          <w:i/>
          <w:noProof/>
        </w:rPr>
      </w:pPr>
      <w:r>
        <w:rPr>
          <w:rFonts w:ascii="Times New Roman" w:hAnsi="Times New Roman"/>
          <w:b/>
          <w:i/>
          <w:noProof/>
        </w:rPr>
        <w:t xml:space="preserve">Графика 5: Профил на работниците от целевата група по пол </w:t>
      </w:r>
    </w:p>
    <w:p>
      <w:pPr>
        <w:spacing w:before="100" w:beforeAutospacing="1" w:after="100" w:afterAutospacing="1" w:line="240" w:lineRule="auto"/>
        <w:jc w:val="center"/>
        <w:rPr>
          <w:rFonts w:ascii="Times New Roman" w:hAnsi="Times New Roman" w:cs="Times New Roman"/>
          <w:noProof/>
        </w:rPr>
      </w:pPr>
      <w:r>
        <w:rPr>
          <w:noProof/>
          <w:lang w:val="en-GB" w:eastAsia="en-GB"/>
        </w:rPr>
        <w:drawing>
          <wp:inline distT="0" distB="0" distL="0" distR="0">
            <wp:extent cx="5760720" cy="32849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3284945"/>
                    </a:xfrm>
                    <a:prstGeom prst="rect">
                      <a:avLst/>
                    </a:prstGeom>
                    <a:noFill/>
                    <a:ln>
                      <a:noFill/>
                    </a:ln>
                  </pic:spPr>
                </pic:pic>
              </a:graphicData>
            </a:graphic>
          </wp:inline>
        </w:drawing>
      </w:r>
    </w:p>
    <w:p>
      <w:pPr>
        <w:spacing w:before="120" w:after="120"/>
        <w:rPr>
          <w:rFonts w:ascii="Times New Roman" w:hAnsi="Times New Roman"/>
          <w:b/>
          <w:i/>
          <w:noProof/>
        </w:rPr>
      </w:pPr>
      <w:r>
        <w:rPr>
          <w:rFonts w:ascii="Times New Roman" w:hAnsi="Times New Roman"/>
          <w:b/>
          <w:i/>
          <w:noProof/>
        </w:rPr>
        <w:t>Графика 6: Профил на работниците от целевата група по гражданство</w:t>
      </w:r>
    </w:p>
    <w:p>
      <w:pPr>
        <w:spacing w:after="0"/>
        <w:jc w:val="center"/>
        <w:rPr>
          <w:rFonts w:ascii="Times New Roman" w:hAnsi="Times New Roman"/>
          <w:b/>
          <w:i/>
          <w:noProof/>
        </w:rPr>
      </w:pPr>
      <w:r>
        <w:rPr>
          <w:noProof/>
          <w:lang w:val="en-GB" w:eastAsia="en-GB"/>
        </w:rPr>
        <w:drawing>
          <wp:inline distT="0" distB="0" distL="0" distR="0">
            <wp:extent cx="5760720" cy="31316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3131655"/>
                    </a:xfrm>
                    <a:prstGeom prst="rect">
                      <a:avLst/>
                    </a:prstGeom>
                    <a:noFill/>
                    <a:ln>
                      <a:noFill/>
                    </a:ln>
                  </pic:spPr>
                </pic:pic>
              </a:graphicData>
            </a:graphic>
          </wp:inline>
        </w:drawing>
      </w:r>
    </w:p>
    <w:p>
      <w:pPr>
        <w:spacing w:after="0"/>
        <w:jc w:val="both"/>
        <w:rPr>
          <w:rFonts w:ascii="Times New Roman" w:hAnsi="Times New Roman"/>
          <w:b/>
          <w:i/>
          <w:noProof/>
        </w:rPr>
      </w:pPr>
    </w:p>
    <w:p>
      <w:pPr>
        <w:spacing w:after="0"/>
        <w:jc w:val="both"/>
        <w:rPr>
          <w:rFonts w:ascii="Times New Roman" w:hAnsi="Times New Roman"/>
          <w:b/>
          <w:i/>
          <w:noProof/>
        </w:rPr>
      </w:pPr>
    </w:p>
    <w:p>
      <w:pPr>
        <w:spacing w:after="0"/>
        <w:jc w:val="both"/>
        <w:rPr>
          <w:rFonts w:ascii="Times New Roman" w:hAnsi="Times New Roman"/>
          <w:b/>
          <w:i/>
          <w:noProof/>
        </w:rPr>
      </w:pPr>
    </w:p>
    <w:p>
      <w:pPr>
        <w:spacing w:after="0"/>
        <w:jc w:val="both"/>
        <w:rPr>
          <w:rFonts w:ascii="Times New Roman" w:hAnsi="Times New Roman"/>
          <w:b/>
          <w:i/>
          <w:noProof/>
        </w:rPr>
      </w:pPr>
    </w:p>
    <w:p>
      <w:pPr>
        <w:spacing w:after="0"/>
        <w:jc w:val="both"/>
        <w:rPr>
          <w:rFonts w:ascii="Times New Roman" w:hAnsi="Times New Roman"/>
          <w:b/>
          <w:i/>
          <w:noProof/>
        </w:rPr>
      </w:pPr>
      <w:r>
        <w:rPr>
          <w:rFonts w:ascii="Times New Roman" w:hAnsi="Times New Roman"/>
          <w:b/>
          <w:i/>
          <w:noProof/>
        </w:rPr>
        <w:t>Графика 7: Профил на работниците от целевата група по възраст</w:t>
      </w:r>
    </w:p>
    <w:p>
      <w:pPr>
        <w:spacing w:after="0"/>
        <w:jc w:val="center"/>
        <w:rPr>
          <w:noProof/>
        </w:rPr>
      </w:pPr>
      <w:r>
        <w:rPr>
          <w:noProof/>
          <w:lang w:val="en-GB" w:eastAsia="en-GB"/>
        </w:rPr>
        <w:drawing>
          <wp:inline distT="0" distB="0" distL="0" distR="0">
            <wp:extent cx="5760720" cy="3783191"/>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3783191"/>
                    </a:xfrm>
                    <a:prstGeom prst="rect">
                      <a:avLst/>
                    </a:prstGeom>
                    <a:noFill/>
                    <a:ln>
                      <a:noFill/>
                    </a:ln>
                  </pic:spPr>
                </pic:pic>
              </a:graphicData>
            </a:graphic>
          </wp:inline>
        </w:drawing>
      </w:r>
    </w:p>
    <w:p>
      <w:pPr>
        <w:pStyle w:val="Heading3"/>
        <w:ind w:left="0" w:firstLine="708"/>
        <w:rPr>
          <w:noProof/>
        </w:rPr>
      </w:pPr>
      <w:bookmarkStart w:id="10" w:name="_Toc17984032"/>
      <w:r>
        <w:rPr>
          <w:noProof/>
        </w:rPr>
        <w:t>2.2.1. Действия, финансирани с помощта на ЕФПГ</w:t>
      </w:r>
      <w:bookmarkEnd w:id="10"/>
    </w:p>
    <w:p>
      <w:pPr>
        <w:autoSpaceDE w:val="0"/>
        <w:autoSpaceDN w:val="0"/>
        <w:adjustRightInd w:val="0"/>
        <w:spacing w:after="0"/>
        <w:jc w:val="both"/>
        <w:rPr>
          <w:rFonts w:ascii="Times New Roman" w:hAnsi="Times New Roman" w:cs="Times New Roman"/>
          <w:noProof/>
        </w:rPr>
      </w:pPr>
      <w:r>
        <w:rPr>
          <w:rFonts w:ascii="Times New Roman" w:hAnsi="Times New Roman"/>
          <w:noProof/>
        </w:rPr>
        <w:t>В член 7 от Регламент (ЕС) № 1309/2013 е предвидено, че финансово участие от ЕФПГ може да бъде осъществено за активни мерки за пазара на труда, които са част от съгласуван пакет персонализирани услуги, предназначени да улеснят реинтегрирането на попадащите в целевата група бенефициери, и по-специално на лица в неравностойно положение, на възрастни и млади безработни, под формата на заетост или самостоятелна заетост. Мерките, одобрени за 15-те предоставени от ЕФПГ финансови участия, се състояха основно от следното:</w:t>
      </w:r>
    </w:p>
    <w:p>
      <w:pPr>
        <w:autoSpaceDE w:val="0"/>
        <w:autoSpaceDN w:val="0"/>
        <w:adjustRightInd w:val="0"/>
        <w:spacing w:after="0"/>
        <w:jc w:val="both"/>
        <w:rPr>
          <w:rFonts w:ascii="Times New Roman" w:hAnsi="Times New Roman" w:cs="Times New Roman"/>
          <w:noProof/>
        </w:rPr>
      </w:pPr>
    </w:p>
    <w:p>
      <w:pPr>
        <w:numPr>
          <w:ilvl w:val="0"/>
          <w:numId w:val="5"/>
        </w:numPr>
        <w:autoSpaceDE w:val="0"/>
        <w:autoSpaceDN w:val="0"/>
        <w:spacing w:after="0"/>
        <w:contextualSpacing/>
        <w:jc w:val="both"/>
        <w:rPr>
          <w:rFonts w:ascii="Times New Roman" w:hAnsi="Times New Roman"/>
          <w:noProof/>
          <w:color w:val="000000" w:themeColor="text1"/>
        </w:rPr>
      </w:pPr>
      <w:r>
        <w:rPr>
          <w:rFonts w:ascii="Times New Roman" w:hAnsi="Times New Roman"/>
          <w:noProof/>
        </w:rPr>
        <w:t>интензивна персонализирана помощ при търсене на работа;</w:t>
      </w:r>
    </w:p>
    <w:p>
      <w:pPr>
        <w:pStyle w:val="ListParagraph"/>
        <w:numPr>
          <w:ilvl w:val="0"/>
          <w:numId w:val="5"/>
        </w:numPr>
        <w:spacing w:after="160" w:line="252" w:lineRule="auto"/>
        <w:rPr>
          <w:noProof/>
        </w:rPr>
      </w:pPr>
      <w:r>
        <w:rPr>
          <w:noProof/>
        </w:rPr>
        <w:t>различни програми за преквалификация, повишаване на квалификацията и професионално обучение; хоризонтални обучения и обучения за развиване на социални умения, както и програми за висше образование;</w:t>
      </w:r>
    </w:p>
    <w:p>
      <w:pPr>
        <w:pStyle w:val="ListParagraph"/>
        <w:numPr>
          <w:ilvl w:val="0"/>
          <w:numId w:val="5"/>
        </w:numPr>
        <w:spacing w:after="160" w:line="252" w:lineRule="auto"/>
        <w:rPr>
          <w:noProof/>
        </w:rPr>
      </w:pPr>
      <w:r>
        <w:rPr>
          <w:noProof/>
        </w:rPr>
        <w:t>предоставяне на консултации и напътствия за намиране на нова работа и напътствия през първоначалния период на новото работно място;</w:t>
      </w:r>
    </w:p>
    <w:p>
      <w:pPr>
        <w:pStyle w:val="ListParagraph"/>
        <w:numPr>
          <w:ilvl w:val="0"/>
          <w:numId w:val="5"/>
        </w:numPr>
        <w:spacing w:after="160" w:line="252" w:lineRule="auto"/>
        <w:rPr>
          <w:noProof/>
        </w:rPr>
      </w:pPr>
      <w:r>
        <w:rPr>
          <w:noProof/>
        </w:rPr>
        <w:t>насърчаване на предприемачеството и подпомагане за започване на стопанска дейност;</w:t>
      </w:r>
    </w:p>
    <w:p>
      <w:pPr>
        <w:pStyle w:val="ListParagraph"/>
        <w:numPr>
          <w:ilvl w:val="0"/>
          <w:numId w:val="5"/>
        </w:numPr>
        <w:spacing w:after="160" w:line="252" w:lineRule="auto"/>
        <w:rPr>
          <w:noProof/>
        </w:rPr>
      </w:pPr>
      <w:r>
        <w:rPr>
          <w:noProof/>
        </w:rPr>
        <w:t>еднократни стимули за бързо преназначаване и стимули за наемане на работа; както и</w:t>
      </w:r>
    </w:p>
    <w:p>
      <w:pPr>
        <w:pStyle w:val="ListParagraph"/>
        <w:numPr>
          <w:ilvl w:val="0"/>
          <w:numId w:val="5"/>
        </w:numPr>
        <w:spacing w:after="160" w:line="252" w:lineRule="auto"/>
        <w:rPr>
          <w:noProof/>
        </w:rPr>
      </w:pPr>
      <w:r>
        <w:rPr>
          <w:noProof/>
        </w:rPr>
        <w:t>различни парични помощи (за търсене на работа, за обучение) и подпомагане (за пътуване до работното място, за лица, полагащи грижи за зависими лица).</w:t>
      </w:r>
    </w:p>
    <w:p>
      <w:pPr>
        <w:ind w:left="720"/>
        <w:contextualSpacing/>
        <w:jc w:val="both"/>
        <w:rPr>
          <w:rFonts w:ascii="Calibri" w:hAnsi="Calibri" w:cs="Calibri"/>
          <w:noProof/>
        </w:rPr>
      </w:pPr>
    </w:p>
    <w:p>
      <w:pPr>
        <w:jc w:val="both"/>
        <w:rPr>
          <w:rFonts w:ascii="Times New Roman" w:hAnsi="Times New Roman" w:cs="Times New Roman"/>
          <w:noProof/>
        </w:rPr>
      </w:pPr>
      <w:r>
        <w:rPr>
          <w:rFonts w:ascii="Times New Roman" w:hAnsi="Times New Roman"/>
          <w:noProof/>
        </w:rPr>
        <w:t>При определянето на своите пакети от мерки за помощ държавите членки са вземали предвид подготовката, опита и образователното равнище на отделните бенефициери, възможностите им за мобилност и съществуващите или потенциалните възможности за трудова заетост в съответните региони.</w:t>
      </w:r>
    </w:p>
    <w:p>
      <w:pPr>
        <w:pStyle w:val="Heading3"/>
        <w:ind w:left="0" w:firstLine="708"/>
        <w:rPr>
          <w:noProof/>
          <w:spacing w:val="-6"/>
        </w:rPr>
      </w:pPr>
      <w:bookmarkStart w:id="11" w:name="_Toc17984033"/>
      <w:r>
        <w:rPr>
          <w:noProof/>
          <w:spacing w:val="-6"/>
        </w:rPr>
        <w:t>2.2.2. Допълняемост с действия, финансирани от Европейския социален фонд (ЕСФ)</w:t>
      </w:r>
      <w:bookmarkEnd w:id="11"/>
    </w:p>
    <w:p>
      <w:pPr>
        <w:jc w:val="both"/>
        <w:rPr>
          <w:rFonts w:ascii="Times New Roman" w:hAnsi="Times New Roman" w:cs="Times New Roman"/>
          <w:noProof/>
        </w:rPr>
      </w:pPr>
      <w:r>
        <w:rPr>
          <w:rFonts w:ascii="Times New Roman" w:hAnsi="Times New Roman"/>
          <w:noProof/>
        </w:rPr>
        <w:t xml:space="preserve">ЕФПГ е замислен с цел да подобрява пригодността за заетост и да осигурява бързо реинтегриране на бенефициерите от целевата група посредством активни мерки на пазара на труда, като по този начин допълва ЕСФ, който е основният инструмент на ЕС за насърчаване на заетостта. </w:t>
      </w:r>
    </w:p>
    <w:p>
      <w:pPr>
        <w:jc w:val="both"/>
        <w:rPr>
          <w:rFonts w:ascii="Times New Roman" w:hAnsi="Times New Roman" w:cs="Times New Roman"/>
          <w:noProof/>
        </w:rPr>
      </w:pPr>
      <w:r>
        <w:rPr>
          <w:rFonts w:ascii="Times New Roman" w:hAnsi="Times New Roman"/>
          <w:noProof/>
        </w:rPr>
        <w:t xml:space="preserve">Като цяло в основата на допълняемостта на двата фонда стои способността им да третират тези въпроси в две различни времеви перспективи: ЕФПГ предоставя съобразена с нуждите на съкратените работници помощ в отговор на конкретно широкомащабно масово съкращение, което се е състояло в рамките на кратък период от време. Той предлага конкретна европейска подкрепа в кризисна ситуация, докато ЕСФ действа (изпреварвайки събитията) в подкрепа на стратегически дългосрочни цели (напр. увеличаване на човешкия капитал и управление на промените) чрез многогодишни програми, чиито ресурси обикновено не могат да бъдат разпределяни (без да бъде изменена оперативната програма) за справяне с кризисни ситуации, предизвикани от неочаквани масови съкращения. </w:t>
      </w:r>
    </w:p>
    <w:p>
      <w:pPr>
        <w:jc w:val="both"/>
        <w:rPr>
          <w:rFonts w:ascii="Times New Roman" w:hAnsi="Times New Roman"/>
          <w:noProof/>
        </w:rPr>
      </w:pPr>
      <w:r>
        <w:rPr>
          <w:rFonts w:ascii="Times New Roman" w:hAnsi="Times New Roman"/>
          <w:noProof/>
        </w:rPr>
        <w:t xml:space="preserve">ЕФПГ предоставя възможност да се осигурят персонализирани мерки, съобразени с нуждите на отделните съкратени работници, докато подкрепата от ЕСФ обикновено е по-обща и е насочена към населението като цяло (както работещите, така и безработните). Освен това подкрепата на ЕСФ има по-голяма насоченост както към предлагането, така и към търсенето на пазара на труда (умения, потребности и стремежи на бенефициерите) по интегриран начин, докато по традиция ЕФПГ е насочен в по-голяма степен към предлагането. </w:t>
      </w:r>
    </w:p>
    <w:p>
      <w:pPr>
        <w:jc w:val="both"/>
        <w:rPr>
          <w:rFonts w:ascii="Times New Roman" w:hAnsi="Times New Roman" w:cs="Times New Roman"/>
          <w:noProof/>
        </w:rPr>
      </w:pPr>
      <w:r>
        <w:rPr>
          <w:rFonts w:ascii="Times New Roman" w:hAnsi="Times New Roman"/>
          <w:noProof/>
        </w:rPr>
        <w:t xml:space="preserve">Мерките по ЕФПГ и ЕСФ понякога се използват от държавите членки, така че да се допълват взаимно и по този начин да се намират решения както в краткосрочен, така и в по-дългосрочен план. Решаващият критерий е потенциалът на наличните инструменти да подпомагат бенефициерите от целевата група, а задача на държавите членки е да подберат — и планират — инструментите и действията, които са най-подходящи за постигане на набелязаните цели. </w:t>
      </w:r>
    </w:p>
    <w:p>
      <w:pPr>
        <w:jc w:val="both"/>
        <w:rPr>
          <w:rFonts w:ascii="Times New Roman" w:hAnsi="Times New Roman" w:cs="Times New Roman"/>
          <w:noProof/>
        </w:rPr>
      </w:pPr>
      <w:r>
        <w:rPr>
          <w:rFonts w:ascii="Times New Roman" w:hAnsi="Times New Roman"/>
          <w:noProof/>
        </w:rPr>
        <w:t xml:space="preserve">Съдържанието на подлежащия на съфинансиране от ЕФПГ „съгласуван пакет персонализирани услуги“ включва специфични персонализирани услуги и съобразена с потребностите помощ, които значително надхвърлят стандартните обучения и дейности. Практиката показва, че ЕФПГ дава възможност на държавите членки да предложат на бенефициерите от целевата група много задълбочена и адаптирана към техните нужди помощ, включително мерки, до които те обикновено не биха имали достъп (напр. придобиване на средно или висше образование). </w:t>
      </w:r>
    </w:p>
    <w:p>
      <w:pPr>
        <w:jc w:val="both"/>
        <w:rPr>
          <w:rFonts w:ascii="Times New Roman" w:hAnsi="Times New Roman" w:cs="Times New Roman"/>
          <w:noProof/>
        </w:rPr>
      </w:pPr>
      <w:r>
        <w:rPr>
          <w:rFonts w:ascii="Times New Roman" w:hAnsi="Times New Roman"/>
          <w:noProof/>
        </w:rPr>
        <w:t xml:space="preserve">ЕФПГ позволява на държавите членки да обърнат специално внимание на лицата в уязвимо положение, например тези с ниска квалификация или от мигрантски произход, и да предоставят подкрепа при по-добро съотношение между консултантски персонал и бенефициери и/или за по-дълъг период от време. Това увеличава шансовете на бенефициерите да подобрят своето положение. </w:t>
      </w:r>
    </w:p>
    <w:p>
      <w:pPr>
        <w:jc w:val="both"/>
        <w:rPr>
          <w:rFonts w:ascii="Times New Roman" w:hAnsi="Times New Roman"/>
          <w:noProof/>
        </w:rPr>
      </w:pPr>
      <w:r>
        <w:rPr>
          <w:rFonts w:ascii="Times New Roman" w:hAnsi="Times New Roman"/>
          <w:noProof/>
        </w:rPr>
        <w:t>Както е посочено в член 9, параграф 5 от Регламент (ЕС) № 1309/2013, всички държави членки трябва да въведат необходимите механизми, за да се избегне рискът от двойно финансиране от финансовите инструменти на ЕС. В повечето държави членки управляващият орган на ЕСФ отговаря и за изпълнението на мерките за подпомагане по линия на ЕФПГ. Това позволява на държавите членки да постигнат допълняемост между различните намеси. На равнището на отделните случаи ЕФПГ обикновено се основава на съществуващи национални мерки или на мерки по линия на ЕСФ, като ги допълва или предлага различни допълнителни мерки. В средносрочната оценка</w:t>
      </w:r>
      <w:r>
        <w:rPr>
          <w:rStyle w:val="FootnoteReference"/>
          <w:rFonts w:ascii="Times New Roman" w:hAnsi="Times New Roman"/>
          <w:noProof/>
        </w:rPr>
        <w:footnoteReference w:id="9"/>
      </w:r>
      <w:r>
        <w:rPr>
          <w:rFonts w:ascii="Times New Roman" w:hAnsi="Times New Roman"/>
          <w:noProof/>
        </w:rPr>
        <w:t xml:space="preserve"> се стигна до заключението, че ЕФПГ е създал истинска добавена стойност за ЕС чрез увеличаване на броя и разнообразието на услугите, предлагани на съкратените работници, както и тяхната степен на интензивност.</w:t>
      </w:r>
    </w:p>
    <w:p>
      <w:pPr>
        <w:jc w:val="both"/>
        <w:rPr>
          <w:rFonts w:ascii="Times New Roman" w:hAnsi="Times New Roman"/>
          <w:noProof/>
        </w:rPr>
      </w:pPr>
      <w:r>
        <w:rPr>
          <w:rFonts w:ascii="Times New Roman" w:hAnsi="Times New Roman"/>
          <w:noProof/>
        </w:rPr>
        <w:t xml:space="preserve">В съответствие с принципа на субсидиарност наборът от мерки по ЕФПГ, разработени на равнището на държавите членки, в голяма степен се допълва с основните разпоредби на ЕСФ за подпомагане на завръщането на работа. Решението дали да се кандидатства за финансиране от ЕСФ или от ЕФПГ се взема на равнището на държавите членки, при условие че оперативната програма на ЕСФ, договорена с Комисията, е съвместима с исканата подкрепа. Държавата членка трябва да управлява взаимното допълване между ЕСФ и ЕФПГ по възможно най-добрия начин с оглед на актуалните местни условия към съответния момент. </w:t>
      </w:r>
    </w:p>
    <w:p>
      <w:pPr>
        <w:pStyle w:val="Heading2"/>
        <w:spacing w:before="360"/>
        <w:rPr>
          <w:noProof/>
          <w:spacing w:val="-6"/>
        </w:rPr>
      </w:pPr>
      <w:bookmarkStart w:id="12" w:name="_Toc17984034"/>
      <w:r>
        <w:rPr>
          <w:noProof/>
          <w:spacing w:val="-6"/>
        </w:rPr>
        <w:t>2.3. Заявления, които не отговарят на условията за финансово участие на ЕФПГ</w:t>
      </w:r>
      <w:bookmarkEnd w:id="12"/>
      <w:r>
        <w:rPr>
          <w:noProof/>
          <w:spacing w:val="-6"/>
        </w:rPr>
        <w:t xml:space="preserve"> </w:t>
      </w:r>
    </w:p>
    <w:p>
      <w:pPr>
        <w:spacing w:after="0"/>
        <w:jc w:val="both"/>
        <w:rPr>
          <w:rFonts w:ascii="Times New Roman" w:hAnsi="Times New Roman" w:cs="Times New Roman"/>
          <w:noProof/>
          <w:color w:val="000000" w:themeColor="text1"/>
        </w:rPr>
      </w:pPr>
      <w:r>
        <w:rPr>
          <w:rFonts w:ascii="Times New Roman" w:hAnsi="Times New Roman"/>
          <w:noProof/>
        </w:rPr>
        <w:t>Нито Комисията, нито Европейският парламент и Съветът не са отхвърляли заявление, подадено от държавите членки, нито са намалили размера на предложеното финансиране поради неспазване на условия или недостиг на бюджетни кредити.</w:t>
      </w:r>
    </w:p>
    <w:p>
      <w:pPr>
        <w:pStyle w:val="Heading2"/>
        <w:spacing w:before="0" w:after="0"/>
        <w:rPr>
          <w:noProof/>
        </w:rPr>
      </w:pPr>
    </w:p>
    <w:p>
      <w:pPr>
        <w:pStyle w:val="Heading2"/>
        <w:spacing w:before="0" w:after="0"/>
        <w:rPr>
          <w:noProof/>
        </w:rPr>
      </w:pPr>
      <w:bookmarkStart w:id="13" w:name="_Toc17984035"/>
      <w:r>
        <w:rPr>
          <w:noProof/>
        </w:rPr>
        <w:t>2.4. Резултати, постигнати от ЕФПГ</w:t>
      </w:r>
      <w:bookmarkEnd w:id="13"/>
      <w:r>
        <w:rPr>
          <w:noProof/>
        </w:rPr>
        <w:t xml:space="preserve"> </w:t>
      </w:r>
    </w:p>
    <w:p>
      <w:pPr>
        <w:jc w:val="both"/>
        <w:rPr>
          <w:rFonts w:ascii="Times New Roman" w:hAnsi="Times New Roman" w:cs="Times New Roman"/>
          <w:noProof/>
        </w:rPr>
      </w:pPr>
      <w:r>
        <w:rPr>
          <w:rFonts w:ascii="Times New Roman" w:hAnsi="Times New Roman"/>
          <w:noProof/>
        </w:rPr>
        <w:t xml:space="preserve">Основните източници на информация за постигнатите от ЕФПГ резултати са окончателните доклади, представени от държавите членки шест месеца след края на срока за изпълнение. Те се допълват от информацията, която държавите членки споделят при преките си контакти с Комисията, по време на срещи, конференции и одити. Основните резултати и данни, отчетени от държавите членки през 2017 и 2018 г., са обобщени в настоящия раздел и в таблица 4. </w:t>
      </w:r>
    </w:p>
    <w:p>
      <w:pPr>
        <w:jc w:val="both"/>
        <w:rPr>
          <w:rFonts w:ascii="Times New Roman" w:hAnsi="Times New Roman" w:cs="Times New Roman"/>
          <w:noProof/>
        </w:rPr>
      </w:pPr>
    </w:p>
    <w:p>
      <w:pPr>
        <w:keepNext/>
        <w:jc w:val="center"/>
        <w:rPr>
          <w:rFonts w:ascii="Times New Roman" w:hAnsi="Times New Roman" w:cs="Times New Roman"/>
          <w:b/>
          <w:i/>
          <w:noProof/>
          <w:sz w:val="28"/>
          <w:szCs w:val="28"/>
        </w:rPr>
      </w:pPr>
      <w:r>
        <w:rPr>
          <w:rFonts w:ascii="Times New Roman" w:hAnsi="Times New Roman"/>
          <w:b/>
          <w:i/>
          <w:noProof/>
          <w:sz w:val="28"/>
          <w:szCs w:val="28"/>
        </w:rPr>
        <w:t>Таблица 4: Окончателни доклади, получени през 2017 и 2018 г.</w:t>
      </w:r>
    </w:p>
    <w:p>
      <w:pPr>
        <w:jc w:val="center"/>
        <w:rPr>
          <w:rFonts w:ascii="Times New Roman" w:hAnsi="Times New Roman" w:cs="Times New Roman"/>
          <w:noProof/>
        </w:rPr>
      </w:pPr>
      <w:r>
        <w:rPr>
          <w:noProof/>
          <w:lang w:val="en-GB" w:eastAsia="en-GB"/>
        </w:rPr>
        <w:drawing>
          <wp:inline distT="0" distB="0" distL="0" distR="0">
            <wp:extent cx="5794817" cy="7686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95806" cy="7687446"/>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i/>
          <w:noProof/>
          <w:sz w:val="18"/>
          <w:szCs w:val="18"/>
        </w:rPr>
        <w:t>* Трудовият статус на бенефициерите, представен в настоящата таблица, по правило отразява положението към края на срока за изпълнение.</w:t>
      </w:r>
      <w:r>
        <w:rPr>
          <w:rFonts w:ascii="Times New Roman" w:hAnsi="Times New Roman"/>
          <w:i/>
          <w:noProof/>
          <w:sz w:val="18"/>
          <w:szCs w:val="18"/>
        </w:rPr>
        <w:br/>
        <w:t>** „неангажирани с трудова дейност“ означава, че лицата вече не са на пазара на труда поради различни причини от лично естество, например пенсиониране</w:t>
      </w:r>
    </w:p>
    <w:p>
      <w:pPr>
        <w:spacing w:after="0" w:line="240" w:lineRule="auto"/>
        <w:jc w:val="center"/>
        <w:rPr>
          <w:rFonts w:ascii="Times New Roman" w:hAnsi="Times New Roman" w:cs="Times New Roman"/>
          <w:noProof/>
          <w:sz w:val="18"/>
          <w:szCs w:val="18"/>
        </w:rPr>
      </w:pPr>
    </w:p>
    <w:p>
      <w:pPr>
        <w:jc w:val="center"/>
        <w:rPr>
          <w:rFonts w:ascii="Times New Roman" w:hAnsi="Times New Roman" w:cs="Times New Roman"/>
          <w:noProof/>
        </w:rPr>
      </w:pPr>
      <w:r>
        <w:rPr>
          <w:noProof/>
          <w:lang w:val="en-GB" w:eastAsia="en-GB"/>
        </w:rPr>
        <w:drawing>
          <wp:inline distT="0" distB="0" distL="0" distR="0">
            <wp:extent cx="5759280" cy="7712015"/>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60720" cy="7713943"/>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i/>
          <w:noProof/>
          <w:sz w:val="18"/>
          <w:szCs w:val="18"/>
        </w:rPr>
        <w:t>* Трудовият статус на бенефициерите, представен в настоящата таблица, по правило отразява положението към края на срока за изпълнение.</w:t>
      </w:r>
      <w:r>
        <w:rPr>
          <w:rFonts w:ascii="Times New Roman" w:hAnsi="Times New Roman"/>
          <w:i/>
          <w:noProof/>
          <w:sz w:val="18"/>
          <w:szCs w:val="18"/>
        </w:rPr>
        <w:br/>
        <w:t>** „неангажирани с трудова дейност“ означава, че лицата вече не са на пазара на труда поради различни причини от лично естество, например пенсиониране</w:t>
      </w:r>
    </w:p>
    <w:p>
      <w:pPr>
        <w:jc w:val="center"/>
        <w:rPr>
          <w:rFonts w:ascii="Times New Roman" w:hAnsi="Times New Roman" w:cs="Times New Roman"/>
          <w:noProof/>
        </w:rPr>
      </w:pPr>
      <w:r>
        <w:rPr>
          <w:noProof/>
          <w:lang w:val="en-GB" w:eastAsia="en-GB"/>
        </w:rPr>
        <w:drawing>
          <wp:inline distT="0" distB="0" distL="0" distR="0">
            <wp:extent cx="5932344" cy="7288469"/>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34563" cy="7291195"/>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i/>
          <w:noProof/>
          <w:sz w:val="18"/>
          <w:szCs w:val="18"/>
        </w:rPr>
        <w:t>* Трудовият статус на бенефициерите, представен в настоящата таблица, по правило отразява положението към края на срока за изпълнение.</w:t>
      </w:r>
      <w:r>
        <w:rPr>
          <w:rFonts w:ascii="Times New Roman" w:hAnsi="Times New Roman"/>
          <w:i/>
          <w:noProof/>
          <w:sz w:val="18"/>
          <w:szCs w:val="18"/>
        </w:rPr>
        <w:br/>
        <w:t>** „неангажирани с трудова дейност“ означава, че лицата вече не са на пазара на труда поради различни причини от лично естество, например пенсиониране</w:t>
      </w:r>
    </w:p>
    <w:p>
      <w:pPr>
        <w:spacing w:after="0" w:line="240" w:lineRule="auto"/>
        <w:rPr>
          <w:rFonts w:ascii="Times New Roman" w:hAnsi="Times New Roman" w:cs="Times New Roman"/>
          <w:i/>
          <w:noProof/>
          <w:sz w:val="18"/>
          <w:szCs w:val="18"/>
        </w:rPr>
      </w:pPr>
    </w:p>
    <w:p>
      <w:pPr>
        <w:spacing w:after="0" w:line="240" w:lineRule="auto"/>
        <w:rPr>
          <w:rFonts w:ascii="Times New Roman" w:hAnsi="Times New Roman" w:cs="Times New Roman"/>
          <w:i/>
          <w:noProof/>
          <w:sz w:val="18"/>
          <w:szCs w:val="18"/>
        </w:rPr>
      </w:pPr>
    </w:p>
    <w:p>
      <w:pPr>
        <w:pStyle w:val="Heading3"/>
        <w:ind w:left="0" w:firstLine="708"/>
        <w:rPr>
          <w:noProof/>
          <w:color w:val="auto"/>
        </w:rPr>
      </w:pPr>
      <w:bookmarkStart w:id="14" w:name="_Toc17984036"/>
      <w:r>
        <w:rPr>
          <w:noProof/>
        </w:rPr>
        <w:t>2.4.1. Обобщение на отчетените през 2017 и 2018 г. резултати</w:t>
      </w:r>
      <w:bookmarkEnd w:id="14"/>
    </w:p>
    <w:p>
      <w:pPr>
        <w:jc w:val="both"/>
        <w:rPr>
          <w:rFonts w:ascii="Times New Roman" w:hAnsi="Times New Roman" w:cs="Times New Roman"/>
          <w:noProof/>
        </w:rPr>
      </w:pPr>
      <w:r>
        <w:rPr>
          <w:rFonts w:ascii="Times New Roman" w:hAnsi="Times New Roman"/>
          <w:noProof/>
        </w:rPr>
        <w:t xml:space="preserve">През 2017 и 2018 г. Комисията получи 23 окончателни доклада за съфинансирани от ЕФПГ мерки за подпомагане, които са били изпълнени от осем държави членки от ноември 2013 г. до март 2018 г. (вж. таблица 4). Тези доклади показаха, че 12 723 работници (60 % от работниците, на които е оказана помощ) и 288 NEET, т.е. 56 % от 23 030-те бенефициери по ЕФПГ, са намерили нова работа до края на периода на изпълнение на ЕФПГ (12 561 като заети лица, 450 като самостоятелно заети лица). Приблизително 2 % от бенефициерите все още са били в процес на учене или обучение, 38 % са били безработни или неангажирани с трудова дейност поради различни причини, а за трудово-правния статус на 3 % от тях не са намерени данни. </w:t>
      </w:r>
    </w:p>
    <w:p>
      <w:pPr>
        <w:jc w:val="both"/>
        <w:rPr>
          <w:rFonts w:ascii="Times New Roman" w:hAnsi="Times New Roman" w:cs="Times New Roman"/>
          <w:noProof/>
        </w:rPr>
      </w:pPr>
      <w:r>
        <w:rPr>
          <w:rFonts w:ascii="Times New Roman" w:hAnsi="Times New Roman"/>
          <w:noProof/>
        </w:rPr>
        <w:t>Двадесет и една от 23-те мерки, по отношение на които окончателни доклади са били представени през референтния период, бяха предмет на средносрочна оценка и бяха анализирани в ранната им фаза на изпълнение</w:t>
      </w:r>
      <w:r>
        <w:rPr>
          <w:rStyle w:val="FootnoteReference"/>
          <w:rFonts w:ascii="Times New Roman" w:hAnsi="Times New Roman" w:cs="Times New Roman"/>
          <w:noProof/>
        </w:rPr>
        <w:footnoteReference w:id="10"/>
      </w:r>
      <w:r>
        <w:rPr>
          <w:rFonts w:ascii="Times New Roman" w:hAnsi="Times New Roman"/>
          <w:noProof/>
        </w:rPr>
        <w:t xml:space="preserve">. </w:t>
      </w:r>
    </w:p>
    <w:p>
      <w:pPr>
        <w:jc w:val="both"/>
        <w:rPr>
          <w:rFonts w:ascii="Times New Roman" w:hAnsi="Times New Roman" w:cs="Times New Roman"/>
          <w:noProof/>
          <w:color w:val="000000" w:themeColor="text1"/>
        </w:rPr>
      </w:pPr>
      <w:r>
        <w:rPr>
          <w:rFonts w:ascii="Times New Roman" w:hAnsi="Times New Roman"/>
          <w:noProof/>
        </w:rPr>
        <w:t xml:space="preserve">В окончателните доклади на държавите членки се потвърждава, че ЕФПГ добавя стойност към онова, което държавите членки биха могли да направят самостоятелно, за да помогнат на бенефициерите от целевата група да намерят нова работа и да намерят отново място на пазара на труда. ЕФПГ дава възможност на държавите членки да увеличат броя, разнообразието и интензивността на предлаганите услуги за по-голям брой бенефициери от целевата група и за по-дълъг период от време, отколкото би било възможно без финансиране по линия на ЕФПГ. </w:t>
      </w:r>
    </w:p>
    <w:p>
      <w:pPr>
        <w:pStyle w:val="Heading3"/>
        <w:rPr>
          <w:noProof/>
        </w:rPr>
      </w:pPr>
      <w:bookmarkStart w:id="15" w:name="_Toc17984037"/>
      <w:r>
        <w:rPr>
          <w:noProof/>
        </w:rPr>
        <w:t>2.4.2. Процент на реинтеграция на подпомаганите бенефициери по държави членки</w:t>
      </w:r>
      <w:bookmarkEnd w:id="15"/>
    </w:p>
    <w:p>
      <w:pPr>
        <w:pStyle w:val="PSParagraphText"/>
        <w:spacing w:line="276" w:lineRule="auto"/>
        <w:rPr>
          <w:rFonts w:eastAsiaTheme="minorHAnsi"/>
          <w:noProof/>
          <w:color w:val="000000" w:themeColor="text1"/>
          <w:sz w:val="22"/>
          <w:szCs w:val="22"/>
        </w:rPr>
      </w:pPr>
      <w:r>
        <w:rPr>
          <w:noProof/>
          <w:sz w:val="22"/>
          <w:szCs w:val="22"/>
        </w:rPr>
        <w:t xml:space="preserve">Въз основа на окончателните доклади, получени през 2017 и 2018 г., процентът на реинтеграция на подпомаганите бенефициери по държави членки варира от 79 % (в Швеция) до 28 % (в Гърция). </w:t>
      </w:r>
    </w:p>
    <w:p>
      <w:pPr>
        <w:pStyle w:val="PSParagraphText"/>
        <w:spacing w:line="276" w:lineRule="auto"/>
        <w:rPr>
          <w:rFonts w:eastAsiaTheme="minorHAnsi"/>
          <w:noProof/>
          <w:color w:val="000000" w:themeColor="text1"/>
          <w:sz w:val="22"/>
          <w:szCs w:val="22"/>
        </w:rPr>
      </w:pPr>
      <w:r>
        <w:rPr>
          <w:noProof/>
          <w:sz w:val="22"/>
          <w:szCs w:val="22"/>
        </w:rPr>
        <w:t xml:space="preserve">Резултатите от гледна точка на връщането на работа са повлияни от капацитета на местните и регионалните пазари на труда да приемат нови работници вследствие на световната икономическа и финансова криза. Следователно процентът на реинтеграция може да се различава значително в зависимост от икономическия сектор и съответната област. Освен това процентът на реинтеграция се регистрира в края на срока за изпълнение и следователно дава моментна представа за състоянието на заетостта на бенефициерите към момента на събиране на данните. Според предоставената от няколко държави членки информация процентът на реинтеграция нараства през месеците след края на мерките и тази тенденция се засилва в средносрочен план. </w:t>
      </w:r>
    </w:p>
    <w:p>
      <w:pPr>
        <w:jc w:val="both"/>
        <w:rPr>
          <w:rFonts w:ascii="Times New Roman" w:hAnsi="Times New Roman" w:cs="Times New Roman"/>
          <w:noProof/>
        </w:rPr>
      </w:pPr>
      <w:r>
        <w:rPr>
          <w:rFonts w:ascii="Times New Roman" w:hAnsi="Times New Roman"/>
          <w:noProof/>
        </w:rPr>
        <w:t xml:space="preserve">Институционалният капацитет и опитът на държавите членки за оказване на съдействие в случаи на преструктуриране са ключ към продължаването на успеха на ЕФПГ. Друг важен фактор е степента, в която бенефициерите или техните представители са включени от самото начало в разработването и прилагането на помощта от ЕФПГ. Струва си да се подчертае, че работниците, получили помощ по линия на мерките по ЕФПГ, обикновено са сред тези, които изпитват най-големи затруднения на пазара на труда. Следователно средният процент от 60 % от подпомогнатите работници, реинтегрирани в края на периода на изпълнение, в сравнение с 47 % през предходния период на докладване, е окуражаващ резултат. Следва обаче да се признае, че цялостното подобряване на икономическото положение в държавите членки улеснява реинтеграцията на работниците на пазара на труда. </w:t>
      </w:r>
    </w:p>
    <w:p>
      <w:pPr>
        <w:jc w:val="both"/>
        <w:rPr>
          <w:rFonts w:ascii="Times New Roman" w:hAnsi="Times New Roman" w:cs="Times New Roman"/>
          <w:noProof/>
        </w:rPr>
      </w:pPr>
    </w:p>
    <w:p>
      <w:pPr>
        <w:spacing w:after="0"/>
        <w:jc w:val="both"/>
        <w:rPr>
          <w:rFonts w:ascii="Times New Roman" w:hAnsi="Times New Roman"/>
          <w:b/>
          <w:i/>
          <w:noProof/>
        </w:rPr>
      </w:pPr>
      <w:r>
        <w:rPr>
          <w:rFonts w:ascii="Times New Roman" w:hAnsi="Times New Roman"/>
          <w:b/>
          <w:i/>
          <w:noProof/>
        </w:rPr>
        <w:t>Графика 8: Процент на реинтеграция на подпомаганите бенефициери по държави членки</w:t>
      </w:r>
    </w:p>
    <w:p>
      <w:pPr>
        <w:spacing w:after="0"/>
        <w:jc w:val="both"/>
        <w:rPr>
          <w:rFonts w:ascii="Times New Roman" w:hAnsi="Times New Roman"/>
          <w:b/>
          <w:i/>
          <w:noProof/>
        </w:rPr>
      </w:pPr>
    </w:p>
    <w:p>
      <w:pPr>
        <w:spacing w:after="0"/>
        <w:jc w:val="both"/>
        <w:rPr>
          <w:rFonts w:ascii="Times New Roman" w:hAnsi="Times New Roman"/>
          <w:b/>
          <w:i/>
          <w:noProof/>
        </w:rPr>
      </w:pPr>
      <w:r>
        <w:rPr>
          <w:noProof/>
          <w:lang w:val="en-GB" w:eastAsia="en-GB"/>
        </w:rPr>
        <w:drawing>
          <wp:inline distT="0" distB="0" distL="0" distR="0">
            <wp:extent cx="5760720" cy="319756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3197565"/>
                    </a:xfrm>
                    <a:prstGeom prst="rect">
                      <a:avLst/>
                    </a:prstGeom>
                    <a:noFill/>
                    <a:ln>
                      <a:noFill/>
                    </a:ln>
                  </pic:spPr>
                </pic:pic>
              </a:graphicData>
            </a:graphic>
          </wp:inline>
        </w:drawing>
      </w:r>
    </w:p>
    <w:p>
      <w:pPr>
        <w:spacing w:after="0"/>
        <w:jc w:val="both"/>
        <w:rPr>
          <w:rFonts w:ascii="Times New Roman" w:hAnsi="Times New Roman"/>
          <w:b/>
          <w:i/>
          <w:noProof/>
        </w:rPr>
      </w:pPr>
      <w:r>
        <w:rPr>
          <w:rFonts w:ascii="Times New Roman" w:hAnsi="Times New Roman"/>
          <w:i/>
          <w:noProof/>
        </w:rPr>
        <w:t>Броят на мерките по ЕФПГ е посочен в скоби</w:t>
      </w:r>
    </w:p>
    <w:p>
      <w:pPr>
        <w:pStyle w:val="Heading3"/>
        <w:rPr>
          <w:noProof/>
          <w:spacing w:val="-4"/>
        </w:rPr>
      </w:pPr>
      <w:bookmarkStart w:id="16" w:name="_Toc17984038"/>
      <w:r>
        <w:rPr>
          <w:noProof/>
          <w:spacing w:val="-4"/>
        </w:rPr>
        <w:t>2.4.3. Качествена оценка на окончателните доклади, подадени през 2017 и 2018 г.</w:t>
      </w:r>
      <w:bookmarkEnd w:id="16"/>
    </w:p>
    <w:p>
      <w:pPr>
        <w:jc w:val="both"/>
        <w:rPr>
          <w:rFonts w:ascii="Times New Roman" w:hAnsi="Times New Roman" w:cs="Times New Roman"/>
          <w:noProof/>
          <w:color w:val="000000" w:themeColor="text1"/>
        </w:rPr>
      </w:pPr>
      <w:r>
        <w:rPr>
          <w:rFonts w:ascii="Times New Roman" w:hAnsi="Times New Roman"/>
          <w:noProof/>
        </w:rPr>
        <w:t xml:space="preserve">Пакетите от мерки за помощ, предоставени от осемте държави членки на бенефициерите от целевата група, включват широк кръг от персонализирани мерки за търсене на работа, професионално преориентиране и (пре)квалификация. Най-големи суми бяха изразходвани за три категории мерки: </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noProof/>
        </w:rPr>
        <w:t>Индивидуална помощ при търсене на работа, съдействие според конкретния случай и услуги по предоставяне на информация</w:t>
      </w:r>
      <w:r>
        <w:rPr>
          <w:rFonts w:ascii="Times New Roman" w:hAnsi="Times New Roman"/>
          <w:noProof/>
        </w:rPr>
        <w:t>: 30,9 милиона евро (44 % от персонализираните услуги общо)</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noProof/>
        </w:rPr>
        <w:t>Обучение и преквалификация</w:t>
      </w:r>
      <w:r>
        <w:rPr>
          <w:rFonts w:ascii="Times New Roman" w:hAnsi="Times New Roman"/>
          <w:noProof/>
        </w:rPr>
        <w:t>: 26,3 милиона евро (38 % от персонализираните услуги общо)</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noProof/>
        </w:rPr>
        <w:t>Парични помощи за търсене на работа</w:t>
      </w:r>
      <w:r>
        <w:rPr>
          <w:rFonts w:ascii="Times New Roman" w:hAnsi="Times New Roman" w:cs="Times New Roman"/>
          <w:noProof/>
          <w:vertAlign w:val="superscript"/>
        </w:rPr>
        <w:footnoteReference w:id="11"/>
      </w:r>
      <w:r>
        <w:rPr>
          <w:rFonts w:ascii="Times New Roman" w:hAnsi="Times New Roman"/>
          <w:noProof/>
        </w:rPr>
        <w:t>: 4,4 милиона евро (6 % от персонализираните услуги общо)</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Програмите за квалификация и обучение бяха максимално съобразени с нуждите и желанията на бенефициерите от целевата група, като същевременно се вземаха под внимание, доколкото е възможно, изискванията на местните или регионалните пазари на труда, както и секторите с потенциал за създаване на работни места. </w:t>
      </w:r>
    </w:p>
    <w:p>
      <w:pPr>
        <w:jc w:val="both"/>
        <w:rPr>
          <w:rFonts w:ascii="Times New Roman" w:hAnsi="Times New Roman" w:cs="Times New Roman"/>
          <w:noProof/>
        </w:rPr>
      </w:pPr>
      <w:r>
        <w:rPr>
          <w:rFonts w:ascii="Times New Roman" w:hAnsi="Times New Roman"/>
          <w:noProof/>
        </w:rPr>
        <w:t>Помощта от ЕФПГ помага на бенефициерите (съкратени работници или NEET) да придобият самочувствие не само чрез интензивно насочващо консултиране, но и чрез адаптирани към техните потребности мерки за обучение. ЕФПГ често дава възможност на бенефициерите да участват в тези мерки, като оказва подкрепа под формата на помощи за мобилност или чрез подпомагане на грижите за деца.</w:t>
      </w:r>
    </w:p>
    <w:p>
      <w:pPr>
        <w:pStyle w:val="PSParagraphText"/>
        <w:spacing w:line="276" w:lineRule="auto"/>
        <w:rPr>
          <w:rFonts w:eastAsiaTheme="minorHAnsi" w:cstheme="minorBidi"/>
          <w:noProof/>
          <w:sz w:val="22"/>
          <w:szCs w:val="22"/>
        </w:rPr>
      </w:pPr>
      <w:r>
        <w:rPr>
          <w:noProof/>
          <w:sz w:val="22"/>
          <w:szCs w:val="22"/>
        </w:rPr>
        <w:t>Що се отнася до оперативната ефективност и ефикасност, мерките по линия на ЕФПГ във Финландия (Rauma, Broadcom, Computer programming, Microsoft) могат да се разглеждат като много успешни примери и примери за най-добри практики. В края на периода на изпълнение до 84 % от работниците са намерили нова работа. Броят на подпомогнатите работници е бил дори по-голям от този на целевата група в заявленията. Степента на усвояване</w:t>
      </w:r>
      <w:r>
        <w:rPr>
          <w:rStyle w:val="FootnoteReference"/>
          <w:rFonts w:eastAsiaTheme="minorHAnsi" w:cstheme="minorBidi"/>
          <w:noProof/>
          <w:sz w:val="22"/>
          <w:szCs w:val="22"/>
        </w:rPr>
        <w:footnoteReference w:id="12"/>
      </w:r>
      <w:r>
        <w:rPr>
          <w:noProof/>
          <w:sz w:val="22"/>
          <w:szCs w:val="22"/>
        </w:rPr>
        <w:t xml:space="preserve"> също е доста висока: бяха използвани около 80 % от средствата по ЕФПГ. Основните елементи, изиграли важна роля за осигуряването на тези добри резултати, включват: 1) широко допитване във връзка с подготовката и прилагането на мерките по ЕФПГ, включващо представители на съкратените работници, профсъюзите, работодателите, регионалните и националните органи и местното управление; 2) опитна регионална мрежа на службите по заетостта и службите за регионално развитие, която заедно с Министерството на икономиката и заетостта е много ефективна при определянето на бенефициерите, планирането и прилагането на мерките по линия на ЕФПГ; 3) доставчици на услуги с опит в областта на ЕФПГ; 4) много бързо реагиране на съкращенията. </w:t>
      </w:r>
    </w:p>
    <w:p>
      <w:pPr>
        <w:spacing w:after="0"/>
        <w:jc w:val="both"/>
        <w:rPr>
          <w:rFonts w:ascii="Times New Roman" w:hAnsi="Times New Roman"/>
          <w:noProof/>
        </w:rPr>
      </w:pPr>
      <w:r>
        <w:rPr>
          <w:rFonts w:ascii="Times New Roman" w:hAnsi="Times New Roman"/>
          <w:noProof/>
        </w:rPr>
        <w:t xml:space="preserve">Двата ирландски случая на мерки за подпомагане (Lufthansa Technik, PWA International) могат да се считат за успешни примери и примери за най-добри практики. В края на периода на изпълнение съответно 73 % и 79 % от подпомогнатите работници са намерили работа, а една година по-късно дори повече от тях са били отново наети на работа, като в резултат на това процентът на реинтегриране се е увеличил до 83 %. Степента на усвояване е висока: 71 % в първия случай и 100 % във втория. Някои от основните причини за получаването на такива добри резултати бяха: 1) ранно започване на изпълнението на мерките със собствено национално финансиране, преди мобилизирането на средства от Съюза; 2) мерки, които са адаптирани към нуждите на съкратените работници и които са разработени вследствие на попълването на въпросник и извършването на проучване за предпочитанията на работниците; 3) създаване на национално координационно звено на ЕФПГ, разположено в близост до съкратените работници, така че да може да се изгради връзка с тях; 4) гъвкавост при избора на специално адаптирано обучение, програми за обучение в областта на средното и висшето образование.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Франция предостави пример за взаимно допълване, когато националните органи решиха да удължат подкрепата за бившите работници на Mory Global, които са били все още безработни, за допълнителен период от 12 месеца след намесата на ЕФПГ.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Мрежата, изградена от италианските институции и социалните партньори, изпълнителните органи и бюрата по труда във връзка със случая Alitalia, вероятно ще продължи да се развива, за да се справи с бъдещи преструктурирания. </w:t>
      </w:r>
    </w:p>
    <w:p>
      <w:pPr>
        <w:spacing w:before="240"/>
        <w:jc w:val="both"/>
        <w:rPr>
          <w:noProof/>
        </w:rPr>
      </w:pPr>
      <w:r>
        <w:rPr>
          <w:rFonts w:ascii="Times New Roman" w:hAnsi="Times New Roman"/>
          <w:noProof/>
        </w:rPr>
        <w:t xml:space="preserve">Случаят Volvo Trucks в Швеция е добър пример за подкрепа от ЕФПГ на всички съкратени работници, включително на временно наети работници, които биха били извън националните програми. Бързото и своевременно реагиране на съкращенията беше основен приоритет и доведе до висок процент на реинтеграция (84 %). Различните заинтересовани страни си сътрудничиха добре. Имаше ясно взаимно допълване с националните мерки на пазара на труда и ЕСФ. Швеция преразпредели бюджета между мерките с цел адаптиране към променящите се нужди по време на периода на изпълнение, което оптимизира използването на наличните средства. </w:t>
      </w:r>
    </w:p>
    <w:p>
      <w:pPr>
        <w:spacing w:before="240"/>
        <w:jc w:val="both"/>
        <w:rPr>
          <w:rFonts w:ascii="Times New Roman" w:hAnsi="Times New Roman"/>
          <w:noProof/>
        </w:rPr>
      </w:pPr>
      <w:r>
        <w:rPr>
          <w:rFonts w:ascii="Times New Roman" w:hAnsi="Times New Roman"/>
          <w:noProof/>
        </w:rPr>
        <w:t>Случаят Ford Genk в Белгия е пример за това, че намесата на ЕФПГ е част от по-широка политическа рамка, целяща свеждане до минимум на последиците от масови съкращения в даден регион. След затварянето на завода на Ford беше изготвен стратегически план за действие за региона Лимбург, наречен „SALK“ (Strategisch Actieplan voor Limburg in het Kwadraat). От различните последици от това събитие, ЕФПГ се фокусира върху краткосрочните последици (въздействие върху заетостта). Дългосрочните действия, насочени към подобряване на условията за икономически растеж, бяха подкрепени от националното финансиране. Поуките, извлечени от този всеобхватен подход, се споделят с други региони в Белгия, които също разглеждат сходни пакети от мерки за всеобхватна подкрепа.</w:t>
      </w:r>
    </w:p>
    <w:p>
      <w:pPr>
        <w:spacing w:before="240"/>
        <w:jc w:val="both"/>
        <w:rPr>
          <w:rFonts w:ascii="Times New Roman" w:hAnsi="Times New Roman"/>
          <w:noProof/>
        </w:rPr>
      </w:pPr>
      <w:r>
        <w:rPr>
          <w:rFonts w:ascii="Times New Roman" w:hAnsi="Times New Roman"/>
          <w:noProof/>
        </w:rPr>
        <w:t>Мерките по ЕФПГ в Германия са подпомогнали иновациите в областта на участието на работодателите. Предоставянето на специализирани услуги (помощници за намиране на работа) на работодателите е било интегрирано в подкрепата по линия на ЕФПГ. Тези услуги са били много ефективни при набавянето на информация за свободните работни места и значително са намалили разходите на бенефициер при случая Aleo Solar. В случая Adam Opel беше счетено, че събитията от типа „бързи срещи“, събиращи по неформален начин търсещи работа лица и работодатели с открити позиции, са били изключително успешни и не биха били достъпни чрез национални механизми за финансиране.</w:t>
      </w:r>
    </w:p>
    <w:p>
      <w:pPr>
        <w:spacing w:before="240"/>
        <w:jc w:val="both"/>
        <w:rPr>
          <w:rFonts w:ascii="Times New Roman" w:hAnsi="Times New Roman"/>
          <w:noProof/>
        </w:rPr>
      </w:pPr>
      <w:r>
        <w:rPr>
          <w:rFonts w:ascii="Times New Roman" w:hAnsi="Times New Roman"/>
          <w:noProof/>
        </w:rPr>
        <w:t>В случаите на мерки за подпомагане, които се прилагат в Белгия (Hainaut Namur Glass, Hainaut Machinery), Гърция (Sprider Stores, Odyssefs Fokas, Supermarket Larissa) и Ирландия (Lufthansa Technik, PWA International), на млади хора, които не работят и не са ангажирани в никаква форма на образование или обучение, бе даден приоритет за участие в мерките по ЕФПГ, заедно със съкратените работници. Доказателствата сочат, че особено в Ирландия и в Гърция предлаганата помощ е била използвана до голяма степен от младите хора от целевата група и че им е предоставила подкрепа, която те не биха получили чрез основните национални услуги. Въпреки това едно от основните предизвикателства при предоставянето на подкрепа на NEET беше ангажирането и активирането им чрез различни информационни дейности, които отнеха значително време и ресурси.</w:t>
      </w:r>
    </w:p>
    <w:p>
      <w:pPr>
        <w:pStyle w:val="Heading2"/>
        <w:rPr>
          <w:i/>
          <w:noProof/>
          <w:sz w:val="18"/>
          <w:szCs w:val="18"/>
        </w:rPr>
      </w:pPr>
      <w:bookmarkStart w:id="17" w:name="_Toc17984039"/>
      <w:r>
        <w:rPr>
          <w:noProof/>
        </w:rPr>
        <w:t>2.5. Финансово изпълнение</w:t>
      </w:r>
      <w:bookmarkEnd w:id="17"/>
    </w:p>
    <w:p>
      <w:pPr>
        <w:pStyle w:val="Heading3"/>
        <w:spacing w:before="360"/>
        <w:ind w:left="0" w:firstLine="708"/>
        <w:rPr>
          <w:noProof/>
        </w:rPr>
      </w:pPr>
      <w:bookmarkStart w:id="18" w:name="_Toc17984040"/>
      <w:r>
        <w:rPr>
          <w:noProof/>
        </w:rPr>
        <w:t>2.5.1. Финансово участие на ЕФПГ</w:t>
      </w:r>
      <w:bookmarkEnd w:id="18"/>
      <w:r>
        <w:rPr>
          <w:noProof/>
        </w:rPr>
        <w:t xml:space="preserve"> </w:t>
      </w:r>
    </w:p>
    <w:p>
      <w:pPr>
        <w:jc w:val="both"/>
        <w:rPr>
          <w:rFonts w:ascii="Times New Roman" w:hAnsi="Times New Roman" w:cs="Times New Roman"/>
          <w:noProof/>
          <w:color w:val="000000" w:themeColor="text1"/>
        </w:rPr>
      </w:pPr>
      <w:r>
        <w:rPr>
          <w:rFonts w:ascii="Times New Roman" w:hAnsi="Times New Roman"/>
          <w:noProof/>
        </w:rPr>
        <w:t>През 2017 и 2018 г. бюджетният орган одобри 15 финансови участия на ЕФПГ на обща стойност 45 467 387 EUR</w:t>
      </w:r>
      <w:r>
        <w:rPr>
          <w:rStyle w:val="FootnoteReference"/>
          <w:rFonts w:ascii="Times New Roman" w:hAnsi="Times New Roman" w:cs="Times New Roman"/>
          <w:noProof/>
        </w:rPr>
        <w:footnoteReference w:id="13"/>
      </w:r>
      <w:r>
        <w:rPr>
          <w:rFonts w:ascii="Times New Roman" w:hAnsi="Times New Roman"/>
          <w:noProof/>
        </w:rPr>
        <w:t xml:space="preserve"> (вж. таблица 2), от които 17 778 774 EUR бяха мобилизирани през 2017 г. и 27 688 613 EUR – през 2018 г. </w:t>
      </w:r>
    </w:p>
    <w:p>
      <w:pPr>
        <w:jc w:val="both"/>
        <w:rPr>
          <w:rFonts w:ascii="Times New Roman" w:hAnsi="Times New Roman" w:cs="Times New Roman"/>
          <w:noProof/>
          <w:color w:val="000000" w:themeColor="text1"/>
        </w:rPr>
      </w:pPr>
      <w:r>
        <w:rPr>
          <w:rFonts w:ascii="Times New Roman" w:hAnsi="Times New Roman"/>
          <w:noProof/>
        </w:rPr>
        <w:t>За периода 2014—2020 г. максималният годишен финансов таван за ЕФПГ е 150 милиона евро (по цени от 2011 г.)</w:t>
      </w:r>
      <w:r>
        <w:rPr>
          <w:rStyle w:val="FootnoteReference"/>
          <w:rFonts w:ascii="Times New Roman" w:hAnsi="Times New Roman" w:cs="Times New Roman"/>
          <w:noProof/>
        </w:rPr>
        <w:footnoteReference w:id="14"/>
      </w:r>
      <w:r>
        <w:rPr>
          <w:rFonts w:ascii="Times New Roman" w:hAnsi="Times New Roman"/>
          <w:noProof/>
        </w:rPr>
        <w:t>. Това означава, че през 2017 г. за ЕФПГ са предоставени бюджетни кредити за поети задължения в размер на 168 924 000 EUR, а през 2018 г. — 172 302 000 EUR</w:t>
      </w:r>
    </w:p>
    <w:p>
      <w:pPr>
        <w:jc w:val="both"/>
        <w:rPr>
          <w:rFonts w:ascii="Times New Roman" w:hAnsi="Times New Roman" w:cs="Times New Roman"/>
          <w:noProof/>
          <w:color w:val="000000" w:themeColor="text1"/>
        </w:rPr>
      </w:pPr>
      <w:r>
        <w:rPr>
          <w:rFonts w:ascii="Times New Roman" w:hAnsi="Times New Roman"/>
          <w:noProof/>
        </w:rPr>
        <w:t>Що се отнася до бюджетните кредити за плащания, през 2017 и 2018 г. към бюджетния ред за ЕФПГ беше кредитирана обща сума в размер на 45 467 387 EUR. Плащанията по предварителното финансиране</w:t>
      </w:r>
      <w:r>
        <w:rPr>
          <w:rStyle w:val="FootnoteReference"/>
          <w:rFonts w:ascii="Times New Roman" w:hAnsi="Times New Roman" w:cs="Times New Roman"/>
          <w:noProof/>
        </w:rPr>
        <w:footnoteReference w:id="15"/>
      </w:r>
      <w:r>
        <w:rPr>
          <w:rFonts w:ascii="Times New Roman" w:hAnsi="Times New Roman"/>
          <w:noProof/>
        </w:rPr>
        <w:t xml:space="preserve"> бяха в размер на 17 778 774 EUR през 2017 г. и на 27 688 613 EUR през 2018 г. </w:t>
      </w:r>
    </w:p>
    <w:p>
      <w:pPr>
        <w:pStyle w:val="Heading3"/>
        <w:rPr>
          <w:noProof/>
        </w:rPr>
      </w:pPr>
      <w:bookmarkStart w:id="19" w:name="_Toc17984041"/>
      <w:r>
        <w:rPr>
          <w:noProof/>
        </w:rPr>
        <w:t>2.5.2. Разходи за техническа помощ</w:t>
      </w:r>
      <w:bookmarkEnd w:id="19"/>
    </w:p>
    <w:p>
      <w:pPr>
        <w:jc w:val="both"/>
        <w:rPr>
          <w:rFonts w:ascii="Times New Roman" w:hAnsi="Times New Roman" w:cs="Times New Roman"/>
          <w:noProof/>
          <w:color w:val="000000" w:themeColor="text1"/>
        </w:rPr>
      </w:pPr>
      <w:r>
        <w:rPr>
          <w:rFonts w:ascii="Times New Roman" w:hAnsi="Times New Roman"/>
          <w:noProof/>
        </w:rPr>
        <w:t xml:space="preserve">Съгласно член 11, параграф 1 от Регламент (ЕС) № 1309/2013 до 0,5 % от финансовите ресурси на ЕФПГ, налични за годината (844 622 EUR през 2017 г. и 861 514 EUR през 2018 г.), могат да бъдат използвани за техническа помощ по инициатива на Комисията. Тази сума следва да се използва за финансиране на дейности, необходими за прилагането на регламента, като например подготовка, мониторинг, събиране на данни, изграждане на база от знания, административна и техническа подкрепа, информационни и комуникационни дейности, както и одит, контрол и оценка. </w:t>
      </w:r>
    </w:p>
    <w:p>
      <w:pPr>
        <w:jc w:val="both"/>
        <w:rPr>
          <w:rFonts w:ascii="Times New Roman" w:hAnsi="Times New Roman" w:cs="Times New Roman"/>
          <w:noProof/>
          <w:color w:val="000000" w:themeColor="text1"/>
        </w:rPr>
      </w:pPr>
      <w:r>
        <w:rPr>
          <w:rFonts w:ascii="Times New Roman" w:hAnsi="Times New Roman"/>
          <w:noProof/>
        </w:rPr>
        <w:t>Бюджетният орган отпусна 310 000 EUR и 345 000 EUR съответно за 2017 и 2018 г. за техническа помощ за финансиране на посочените по-горе дейности.</w:t>
      </w:r>
    </w:p>
    <w:p>
      <w:pPr>
        <w:jc w:val="both"/>
        <w:rPr>
          <w:rFonts w:ascii="Times New Roman" w:hAnsi="Times New Roman" w:cs="Times New Roman"/>
          <w:noProof/>
          <w:color w:val="000000" w:themeColor="text1"/>
        </w:rPr>
      </w:pPr>
    </w:p>
    <w:p>
      <w:pPr>
        <w:keepNext/>
        <w:jc w:val="center"/>
        <w:rPr>
          <w:rFonts w:ascii="Times New Roman" w:hAnsi="Times New Roman" w:cs="Times New Roman"/>
          <w:b/>
          <w:i/>
          <w:noProof/>
          <w:sz w:val="28"/>
          <w:szCs w:val="28"/>
        </w:rPr>
      </w:pPr>
      <w:r>
        <w:rPr>
          <w:rFonts w:ascii="Times New Roman" w:hAnsi="Times New Roman"/>
          <w:b/>
          <w:i/>
          <w:noProof/>
          <w:sz w:val="28"/>
          <w:szCs w:val="28"/>
        </w:rPr>
        <w:t>Таблица 5.1: Разходи за техническа помощ през 2017 г.</w:t>
      </w:r>
    </w:p>
    <w:p>
      <w:pPr>
        <w:jc w:val="center"/>
        <w:rPr>
          <w:rFonts w:ascii="Times New Roman" w:hAnsi="Times New Roman" w:cs="Times New Roman"/>
          <w:b/>
          <w:i/>
          <w:noProof/>
          <w:sz w:val="28"/>
          <w:szCs w:val="28"/>
        </w:rPr>
      </w:pPr>
      <w:r>
        <w:rPr>
          <w:noProof/>
          <w:lang w:val="en-GB" w:eastAsia="en-GB"/>
        </w:rPr>
        <w:drawing>
          <wp:inline distT="0" distB="0" distL="0" distR="0">
            <wp:extent cx="5760720" cy="3450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760720" cy="3450552"/>
                    </a:xfrm>
                    <a:prstGeom prst="rect">
                      <a:avLst/>
                    </a:prstGeom>
                  </pic:spPr>
                </pic:pic>
              </a:graphicData>
            </a:graphic>
          </wp:inline>
        </w:drawing>
      </w:r>
    </w:p>
    <w:p>
      <w:pPr>
        <w:jc w:val="center"/>
        <w:rPr>
          <w:rFonts w:ascii="Times New Roman" w:hAnsi="Times New Roman" w:cs="Times New Roman"/>
          <w:b/>
          <w:i/>
          <w:noProof/>
          <w:sz w:val="28"/>
          <w:szCs w:val="28"/>
        </w:rPr>
      </w:pPr>
      <w:r>
        <w:rPr>
          <w:rFonts w:ascii="Times New Roman" w:hAnsi="Times New Roman"/>
          <w:b/>
          <w:i/>
          <w:noProof/>
          <w:sz w:val="28"/>
          <w:szCs w:val="28"/>
        </w:rPr>
        <w:t>Таблица 5.2: Разходи за техническа помощ през 2018 г.</w:t>
      </w:r>
    </w:p>
    <w:p>
      <w:pPr>
        <w:jc w:val="center"/>
        <w:rPr>
          <w:noProof/>
        </w:rPr>
      </w:pPr>
      <w:r>
        <w:rPr>
          <w:noProof/>
          <w:lang w:val="en-GB" w:eastAsia="en-GB"/>
        </w:rPr>
        <w:drawing>
          <wp:inline distT="0" distB="0" distL="0" distR="0">
            <wp:extent cx="5760720" cy="2955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760720" cy="2955079"/>
                    </a:xfrm>
                    <a:prstGeom prst="rect">
                      <a:avLst/>
                    </a:prstGeom>
                  </pic:spPr>
                </pic:pic>
              </a:graphicData>
            </a:graphic>
          </wp:inline>
        </w:drawing>
      </w:r>
    </w:p>
    <w:p>
      <w:pPr>
        <w:pStyle w:val="Heading3"/>
        <w:rPr>
          <w:noProof/>
        </w:rPr>
      </w:pPr>
      <w:bookmarkStart w:id="20" w:name="_Toc17984042"/>
      <w:r>
        <w:rPr>
          <w:noProof/>
        </w:rPr>
        <w:t>2.5.3. Докладвани нередности</w:t>
      </w:r>
      <w:bookmarkEnd w:id="20"/>
    </w:p>
    <w:p>
      <w:pPr>
        <w:jc w:val="both"/>
        <w:rPr>
          <w:rFonts w:ascii="Times New Roman" w:hAnsi="Times New Roman"/>
          <w:noProof/>
        </w:rPr>
      </w:pPr>
      <w:r>
        <w:rPr>
          <w:rFonts w:ascii="Times New Roman" w:hAnsi="Times New Roman"/>
          <w:noProof/>
        </w:rPr>
        <w:t>През 2017 и 2018 г. на Комисията не са докладвани нередности по отношение на Регламент (ЕО) № 1927/2006</w:t>
      </w:r>
      <w:r>
        <w:rPr>
          <w:rStyle w:val="FootnoteReference"/>
          <w:rFonts w:ascii="Times New Roman" w:hAnsi="Times New Roman"/>
          <w:noProof/>
        </w:rPr>
        <w:footnoteReference w:id="16"/>
      </w:r>
      <w:r>
        <w:rPr>
          <w:rFonts w:ascii="Times New Roman" w:hAnsi="Times New Roman"/>
          <w:noProof/>
        </w:rPr>
        <w:t xml:space="preserve"> или на Регламент (ЕС) № 1309/2013.</w:t>
      </w:r>
    </w:p>
    <w:p>
      <w:pPr>
        <w:pStyle w:val="Heading3"/>
        <w:spacing w:before="360"/>
        <w:rPr>
          <w:noProof/>
        </w:rPr>
      </w:pPr>
      <w:bookmarkStart w:id="21" w:name="_Toc17984043"/>
      <w:r>
        <w:rPr>
          <w:noProof/>
        </w:rPr>
        <w:t>2.5.4. Прекратяване на финансово участие от страна на ЕФПГ</w:t>
      </w:r>
      <w:bookmarkEnd w:id="21"/>
      <w:r>
        <w:rPr>
          <w:noProof/>
        </w:rPr>
        <w:t xml:space="preserve"> </w:t>
      </w:r>
    </w:p>
    <w:p>
      <w:pPr>
        <w:spacing w:after="160"/>
        <w:jc w:val="both"/>
        <w:rPr>
          <w:rFonts w:ascii="Times New Roman" w:hAnsi="Times New Roman"/>
          <w:noProof/>
          <w:color w:val="000000" w:themeColor="text1"/>
        </w:rPr>
      </w:pPr>
      <w:r>
        <w:rPr>
          <w:rFonts w:ascii="Times New Roman" w:hAnsi="Times New Roman"/>
          <w:noProof/>
        </w:rPr>
        <w:t xml:space="preserve">Процедурите за прекратяване на финансовото участие на ЕФПГ са уредени в член 18 от Регламент (ЕС) № 1309/2013. </w:t>
      </w:r>
      <w:r>
        <w:rPr>
          <w:noProof/>
        </w:rPr>
        <w:t>Двадесет и девет случая на мерки за подпомагане, осъществени между 2011 и 2018 г., бяха прекратени през 2017 и 2018 г.</w:t>
      </w:r>
      <w:r>
        <w:rPr>
          <w:rFonts w:ascii="Times New Roman" w:hAnsi="Times New Roman"/>
          <w:noProof/>
        </w:rPr>
        <w:t xml:space="preserve"> Подробна информация относно тези случаи е представена в таблица 6. </w:t>
      </w:r>
    </w:p>
    <w:p>
      <w:pPr>
        <w:spacing w:after="160"/>
        <w:jc w:val="both"/>
        <w:rPr>
          <w:rFonts w:ascii="Times New Roman" w:hAnsi="Times New Roman"/>
          <w:noProof/>
          <w:color w:val="000000" w:themeColor="text1"/>
        </w:rPr>
      </w:pPr>
      <w:r>
        <w:rPr>
          <w:rFonts w:ascii="Times New Roman" w:hAnsi="Times New Roman"/>
          <w:noProof/>
        </w:rPr>
        <w:t xml:space="preserve">Случаите на мерки за подпомагане по линията на ЕФПГ се прекратяват, когато на Комисията е изпратен окончателният доклад с цялата необходима информация, всички дължими възстановявания на суми са извършени и не е необходимо да се предприемат никакви допълнителни действия от страна на държавите членки или Комисията, с изключение на задължението всички разходооправдателни документи да бъдат държани на разположение на Комисията или Сметната палата за срок от три години (член 21, параграф 5 от Регламент (ЕС) № 1309/2013). </w:t>
      </w:r>
    </w:p>
    <w:p>
      <w:pPr>
        <w:spacing w:after="160"/>
        <w:jc w:val="both"/>
        <w:rPr>
          <w:rFonts w:ascii="Times New Roman" w:hAnsi="Times New Roman"/>
          <w:noProof/>
          <w:color w:val="000000" w:themeColor="text1"/>
        </w:rPr>
      </w:pPr>
      <w:r>
        <w:rPr>
          <w:rFonts w:ascii="Times New Roman" w:hAnsi="Times New Roman"/>
          <w:noProof/>
        </w:rPr>
        <w:t>Средният процент на усвояване</w:t>
      </w:r>
      <w:r>
        <w:rPr>
          <w:rStyle w:val="FootnoteReference"/>
          <w:rFonts w:ascii="Times New Roman" w:hAnsi="Times New Roman"/>
          <w:noProof/>
        </w:rPr>
        <w:footnoteReference w:id="17"/>
      </w:r>
      <w:r>
        <w:rPr>
          <w:rFonts w:ascii="Times New Roman" w:hAnsi="Times New Roman"/>
          <w:noProof/>
        </w:rPr>
        <w:t xml:space="preserve"> на прекратените случаи беше 68,2 % и варираше между 1,66 %</w:t>
      </w:r>
      <w:r>
        <w:rPr>
          <w:rStyle w:val="FootnoteReference"/>
          <w:rFonts w:ascii="Times New Roman" w:hAnsi="Times New Roman"/>
          <w:noProof/>
        </w:rPr>
        <w:footnoteReference w:id="18"/>
      </w:r>
      <w:r>
        <w:rPr>
          <w:rFonts w:ascii="Times New Roman" w:hAnsi="Times New Roman"/>
          <w:noProof/>
        </w:rPr>
        <w:t xml:space="preserve"> и 100 %. Общата стойност на възстановените на Комисията неусвоени средства беше 36 671 426 EUR, което представлява 31,8 % от финансовото участие на ЕФПГ, отпуснато за тези 29 случая. Този процент на възстановяване представлява положително развитие в сравнение с констатациите от последващата оценка на ЕФПГ за периода 2007—2013 г.</w:t>
      </w:r>
      <w:r>
        <w:rPr>
          <w:rStyle w:val="FootnoteReference"/>
          <w:rFonts w:ascii="Times New Roman" w:hAnsi="Times New Roman"/>
          <w:noProof/>
        </w:rPr>
        <w:footnoteReference w:id="19"/>
      </w:r>
      <w:r>
        <w:rPr>
          <w:rFonts w:ascii="Times New Roman" w:hAnsi="Times New Roman"/>
          <w:noProof/>
        </w:rPr>
        <w:t xml:space="preserve">, която показа, че средно 45 % от отпуснатите средства са били неусвоени от държавите членки. </w:t>
      </w:r>
    </w:p>
    <w:p>
      <w:pPr>
        <w:spacing w:after="160"/>
        <w:jc w:val="both"/>
        <w:rPr>
          <w:rFonts w:ascii="Times New Roman" w:hAnsi="Times New Roman"/>
          <w:noProof/>
        </w:rPr>
      </w:pPr>
      <w:r>
        <w:rPr>
          <w:rFonts w:ascii="Times New Roman" w:hAnsi="Times New Roman"/>
          <w:noProof/>
        </w:rPr>
        <w:t xml:space="preserve">Държавите членки не са усвоили отпуснатите им суми в пълен размер поради различни причини. Макар че държавите членки се насърчават да изготвят реалистични бюджетни разчети за съгласувания пакет персонализирани услуги, е възможно при планирането да има неточности и недобра информираност. Те също така са склонни да включват голям предпазен марж в първоначалните си изчисления. На етапа на планирането броят на работниците, желаещи да участват в предлаганите мерки, обикновено се надценява. Някои работници са предпочели по-евтини мерки или мерки в краткосрочен план пред такива, които са по-скъпоструващи или с по-дълъг срок на действие, или пък са намерили нова работа по-бързо от първоначалните предвиждания. Други причини за по-ниските разходи са закъснения при въвеждането на мерките и недостатъчно използване на възможностите за гъвкаво преразпределяне на средства между различни бюджетни позиции в хода на прилагането на пакета персонализирани услуги. </w:t>
      </w:r>
    </w:p>
    <w:p>
      <w:pPr>
        <w:spacing w:after="160"/>
        <w:jc w:val="both"/>
        <w:rPr>
          <w:rFonts w:ascii="Times New Roman" w:hAnsi="Times New Roman"/>
          <w:noProof/>
          <w:color w:val="000000" w:themeColor="text1"/>
        </w:rPr>
      </w:pPr>
      <w:r>
        <w:rPr>
          <w:rFonts w:ascii="Times New Roman" w:hAnsi="Times New Roman"/>
          <w:noProof/>
        </w:rPr>
        <w:t xml:space="preserve">Комисията продължава да предлага насоки на държавите членки за насърчаване на оптималното управление на средствата и подобряване на процента на изпълнение още на етапа на кандидатстване. </w:t>
      </w:r>
    </w:p>
    <w:p>
      <w:pPr>
        <w:spacing w:after="160"/>
        <w:jc w:val="both"/>
        <w:rPr>
          <w:rFonts w:ascii="Times New Roman" w:hAnsi="Times New Roman"/>
          <w:noProof/>
        </w:rPr>
        <w:sectPr>
          <w:headerReference w:type="even" r:id="rId62"/>
          <w:headerReference w:type="default" r:id="rId63"/>
          <w:footerReference w:type="even" r:id="rId64"/>
          <w:footerReference w:type="default" r:id="rId65"/>
          <w:headerReference w:type="first" r:id="rId66"/>
          <w:footerReference w:type="first" r:id="rId67"/>
          <w:pgSz w:w="11906" w:h="16838"/>
          <w:pgMar w:top="1417" w:right="1417" w:bottom="1417" w:left="1417" w:header="708" w:footer="708" w:gutter="0"/>
          <w:cols w:space="708"/>
          <w:docGrid w:linePitch="360"/>
        </w:sectPr>
      </w:pPr>
      <w:r>
        <w:rPr>
          <w:rFonts w:ascii="Times New Roman" w:hAnsi="Times New Roman"/>
          <w:noProof/>
        </w:rPr>
        <w:t xml:space="preserve">Очаква се, че с натрупването на опит бюджетирането на мерките и прогнозирането на участието на работниците през 24-месечния срок ще се подобрят. Също така Комисията наблюдава подобряване на планирането на момента на получаване на средствата от ЕФПГ в засегнатата област, на капацитета на различните координиращи и изпълнителни структури и на качеството на комуникацията между националното и регионалното/местното равнище. Държавите членки се възползват по-успешно от възможността да преразглеждат бюджетите си и да пренасочват разходи между различните мерки и/или изпълнението на разходите. </w:t>
      </w:r>
      <w:r>
        <w:rPr>
          <w:rFonts w:ascii="Times New Roman" w:hAnsi="Times New Roman"/>
          <w:noProof/>
        </w:rPr>
        <w:tab/>
      </w:r>
    </w:p>
    <w:p>
      <w:pPr>
        <w:jc w:val="center"/>
        <w:rPr>
          <w:rFonts w:ascii="Times New Roman" w:hAnsi="Times New Roman" w:cs="Times New Roman"/>
          <w:b/>
          <w:i/>
          <w:noProof/>
          <w:sz w:val="28"/>
          <w:szCs w:val="28"/>
        </w:rPr>
      </w:pPr>
      <w:r>
        <w:rPr>
          <w:rFonts w:ascii="Times New Roman" w:hAnsi="Times New Roman"/>
          <w:b/>
          <w:i/>
          <w:noProof/>
          <w:sz w:val="28"/>
          <w:szCs w:val="28"/>
        </w:rPr>
        <w:t>Таблица 6: Случаи на мерки за подпомагане, прекратени през 2017 и 2018 г.</w:t>
      </w:r>
    </w:p>
    <w:p>
      <w:pPr>
        <w:jc w:val="center"/>
        <w:rPr>
          <w:noProof/>
        </w:rPr>
      </w:pPr>
      <w:r>
        <w:rPr>
          <w:noProof/>
          <w:lang w:val="en-GB" w:eastAsia="en-GB"/>
        </w:rPr>
        <w:drawing>
          <wp:inline distT="0" distB="0" distL="0" distR="0">
            <wp:extent cx="7270898" cy="5020573"/>
            <wp:effectExtent l="0" t="0" r="635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270898" cy="5020573"/>
                    </a:xfrm>
                    <a:prstGeom prst="rect">
                      <a:avLst/>
                    </a:prstGeom>
                    <a:noFill/>
                    <a:ln>
                      <a:noFill/>
                    </a:ln>
                  </pic:spPr>
                </pic:pic>
              </a:graphicData>
            </a:graphic>
          </wp:inline>
        </w:drawing>
      </w:r>
    </w:p>
    <w:p>
      <w:pPr>
        <w:jc w:val="center"/>
        <w:rPr>
          <w:noProof/>
        </w:rPr>
      </w:pPr>
      <w:r>
        <w:rPr>
          <w:noProof/>
          <w:lang w:val="en-GB" w:eastAsia="en-GB"/>
        </w:rPr>
        <w:drawing>
          <wp:inline distT="0" distB="0" distL="0" distR="0">
            <wp:extent cx="8488391" cy="5357004"/>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04531" cy="5367190"/>
                    </a:xfrm>
                    <a:prstGeom prst="rect">
                      <a:avLst/>
                    </a:prstGeom>
                    <a:noFill/>
                    <a:ln>
                      <a:noFill/>
                    </a:ln>
                  </pic:spPr>
                </pic:pic>
              </a:graphicData>
            </a:graphic>
          </wp:inline>
        </w:drawing>
      </w:r>
    </w:p>
    <w:p>
      <w:pPr>
        <w:jc w:val="center"/>
        <w:rPr>
          <w:noProof/>
        </w:rPr>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1418" w:right="1418" w:bottom="1418" w:left="1418" w:header="709" w:footer="709" w:gutter="0"/>
          <w:cols w:space="708"/>
          <w:docGrid w:linePitch="360"/>
        </w:sectPr>
      </w:pPr>
      <w:r>
        <w:rPr>
          <w:noProof/>
          <w:lang w:val="en-GB" w:eastAsia="en-GB"/>
        </w:rPr>
        <w:drawing>
          <wp:inline distT="0" distB="0" distL="0" distR="0">
            <wp:extent cx="8384875" cy="537425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90881" cy="5378107"/>
                    </a:xfrm>
                    <a:prstGeom prst="rect">
                      <a:avLst/>
                    </a:prstGeom>
                    <a:noFill/>
                    <a:ln>
                      <a:noFill/>
                    </a:ln>
                  </pic:spPr>
                </pic:pic>
              </a:graphicData>
            </a:graphic>
          </wp:inline>
        </w:drawing>
      </w:r>
    </w:p>
    <w:p>
      <w:pPr>
        <w:pStyle w:val="Heading2"/>
        <w:rPr>
          <w:noProof/>
        </w:rPr>
      </w:pPr>
      <w:bookmarkStart w:id="22" w:name="_Toc17984044"/>
      <w:r>
        <w:rPr>
          <w:noProof/>
        </w:rPr>
        <w:t>2.6. Дейности по предоставяне на техническа помощ, предприети от Комисията</w:t>
      </w:r>
      <w:bookmarkEnd w:id="22"/>
    </w:p>
    <w:p>
      <w:pPr>
        <w:pStyle w:val="Heading3"/>
        <w:rPr>
          <w:noProof/>
        </w:rPr>
      </w:pPr>
      <w:bookmarkStart w:id="23" w:name="_Toc17984045"/>
      <w:r>
        <w:rPr>
          <w:noProof/>
        </w:rPr>
        <w:t>2.6.1. Информация и публичност: Интернет сайт</w:t>
      </w:r>
      <w:bookmarkEnd w:id="23"/>
    </w:p>
    <w:p>
      <w:pPr>
        <w:jc w:val="both"/>
        <w:rPr>
          <w:rFonts w:ascii="Times New Roman" w:hAnsi="Times New Roman"/>
          <w:noProof/>
        </w:rPr>
      </w:pPr>
      <w:r>
        <w:rPr>
          <w:rFonts w:ascii="Times New Roman" w:hAnsi="Times New Roman"/>
          <w:noProof/>
        </w:rPr>
        <w:t xml:space="preserve">Съгласно член 12, параграф 2 от Регламент (ЕО) № 1309/2013 от Комисията се изисква да създаде, поддържа и актуализира интернет сайт, достъпен на всички езици на ЕС, за да предоставя информация за ЕФПГ, указания за подаването на заявления, както и актуална информация за приетите и отказани заявления и относно ролята на бюджетния орган. </w:t>
      </w:r>
    </w:p>
    <w:p>
      <w:pPr>
        <w:jc w:val="both"/>
        <w:rPr>
          <w:rFonts w:ascii="Times New Roman" w:hAnsi="Times New Roman"/>
          <w:noProof/>
        </w:rPr>
      </w:pPr>
      <w:r>
        <w:rPr>
          <w:rFonts w:ascii="Times New Roman" w:hAnsi="Times New Roman"/>
          <w:noProof/>
        </w:rPr>
        <w:t>През 2017 и 2018 г. създаденият от Комисията интернет сайт на ЕФПГ</w:t>
      </w:r>
      <w:r>
        <w:rPr>
          <w:rFonts w:ascii="Times New Roman" w:hAnsi="Times New Roman"/>
          <w:noProof/>
          <w:vertAlign w:val="superscript"/>
        </w:rPr>
        <w:footnoteReference w:id="20"/>
      </w:r>
      <w:r>
        <w:rPr>
          <w:rFonts w:ascii="Times New Roman" w:hAnsi="Times New Roman"/>
          <w:noProof/>
        </w:rPr>
        <w:t xml:space="preserve"> беше обновяван редовно със съответната информация. </w:t>
      </w:r>
    </w:p>
    <w:p>
      <w:pPr>
        <w:pStyle w:val="Heading3"/>
        <w:rPr>
          <w:noProof/>
        </w:rPr>
      </w:pPr>
      <w:bookmarkStart w:id="24" w:name="_Toc17984046"/>
      <w:r>
        <w:rPr>
          <w:noProof/>
        </w:rPr>
        <w:t>2.6.2. Срещи с националните органи и заинтересовани страни във връзка с прилагането на ЕФПГ</w:t>
      </w:r>
      <w:bookmarkEnd w:id="24"/>
    </w:p>
    <w:p>
      <w:pPr>
        <w:jc w:val="both"/>
        <w:rPr>
          <w:rFonts w:ascii="Times New Roman" w:hAnsi="Times New Roman"/>
          <w:noProof/>
        </w:rPr>
      </w:pPr>
      <w:r>
        <w:rPr>
          <w:rFonts w:ascii="Times New Roman" w:hAnsi="Times New Roman"/>
          <w:noProof/>
        </w:rPr>
        <w:t xml:space="preserve">Деветнадесетата, двадесетата, двадесет и първата и двадесет и втората среща на лицата за контакт на ЕФПГ, които са кореспондентите на ЕФПГ в държавите членки, бяха проведени през март и октомври 2017 и 2018 г. Част от всяко заседание беше посветена на текущите и планираните заявления до ЕФПГ, на системата за управление на фондовете в Европейския съюз (SFC2014), на средносрочната оценка на ЕФПГ за периода 2014—2020 г., на правни и одиторски въпроси, на регламента „Омнибус“ и на предложението на Комисията за регламента за периода след 2020 г., както и на редица други свързани въпроси. </w:t>
      </w:r>
    </w:p>
    <w:p>
      <w:pPr>
        <w:jc w:val="both"/>
        <w:rPr>
          <w:rFonts w:ascii="Times New Roman" w:hAnsi="Times New Roman"/>
          <w:noProof/>
        </w:rPr>
      </w:pPr>
      <w:r>
        <w:rPr>
          <w:rFonts w:ascii="Times New Roman" w:hAnsi="Times New Roman"/>
          <w:noProof/>
        </w:rPr>
        <w:t>Освен това през януари 2018 г. беше организирана извънредна работна група на лицата за контакт на ЕФПГ, за да се обсъдят възможните сценарии за ЕФПГ за периода след 2020 г.</w:t>
      </w:r>
    </w:p>
    <w:p>
      <w:pPr>
        <w:jc w:val="both"/>
        <w:rPr>
          <w:rFonts w:ascii="Times New Roman" w:hAnsi="Times New Roman"/>
          <w:noProof/>
        </w:rPr>
      </w:pPr>
      <w:r>
        <w:rPr>
          <w:rFonts w:ascii="Times New Roman" w:hAnsi="Times New Roman"/>
          <w:noProof/>
        </w:rPr>
        <w:t>През 2017 и 2018 г. бяха организирани четири семинара на ЕФПГ за създаване на контакти. Бяха разгледани следните теми:</w:t>
      </w:r>
    </w:p>
    <w:p>
      <w:pPr>
        <w:pStyle w:val="ListParagraph"/>
        <w:numPr>
          <w:ilvl w:val="0"/>
          <w:numId w:val="14"/>
        </w:numPr>
        <w:jc w:val="both"/>
        <w:rPr>
          <w:noProof/>
        </w:rPr>
      </w:pPr>
      <w:r>
        <w:rPr>
          <w:noProof/>
        </w:rPr>
        <w:t xml:space="preserve">Ролята и представянето на бенефициерите при разработването и изпълнението на мерките по ЕФПГ. </w:t>
      </w:r>
    </w:p>
    <w:p>
      <w:pPr>
        <w:pStyle w:val="ListParagraph"/>
        <w:numPr>
          <w:ilvl w:val="0"/>
          <w:numId w:val="14"/>
        </w:numPr>
        <w:jc w:val="both"/>
        <w:rPr>
          <w:noProof/>
        </w:rPr>
      </w:pPr>
      <w:r>
        <w:rPr>
          <w:noProof/>
        </w:rPr>
        <w:t xml:space="preserve">ЕФПГ във Финландия: Експертен опит в подкрепа на растежа на предприятията. </w:t>
      </w:r>
    </w:p>
    <w:p>
      <w:pPr>
        <w:pStyle w:val="ListParagraph"/>
        <w:numPr>
          <w:ilvl w:val="0"/>
          <w:numId w:val="14"/>
        </w:numPr>
        <w:jc w:val="both"/>
        <w:rPr>
          <w:noProof/>
        </w:rPr>
      </w:pPr>
      <w:r>
        <w:rPr>
          <w:noProof/>
        </w:rPr>
        <w:t xml:space="preserve">Полезни взаимодействия и взаимно допълване между ЕФПГ и други фондове на ЕС. </w:t>
      </w:r>
    </w:p>
    <w:p>
      <w:pPr>
        <w:pStyle w:val="ListParagraph"/>
        <w:numPr>
          <w:ilvl w:val="0"/>
          <w:numId w:val="14"/>
        </w:numPr>
        <w:jc w:val="both"/>
        <w:rPr>
          <w:rFonts w:cs="Times New Roman"/>
          <w:noProof/>
        </w:rPr>
      </w:pPr>
      <w:r>
        <w:rPr>
          <w:noProof/>
        </w:rPr>
        <w:t xml:space="preserve">Как може ЕФПГ да постигне резултати по Европейския стълб на социалните права? </w:t>
      </w:r>
    </w:p>
    <w:p>
      <w:pPr>
        <w:jc w:val="both"/>
        <w:rPr>
          <w:rFonts w:ascii="Times New Roman" w:hAnsi="Times New Roman" w:cs="Times New Roman"/>
          <w:noProof/>
        </w:rPr>
      </w:pPr>
      <w:r>
        <w:rPr>
          <w:rFonts w:ascii="Times New Roman" w:hAnsi="Times New Roman"/>
          <w:noProof/>
        </w:rPr>
        <w:t xml:space="preserve">Освен това семинарите бяха допълнени с посещения във връзка с проекти, които създадоха възможности за обмен на опит между партньорите и за срещи с бенефициерите. И на четирите семинара беше отчетена добра посещаемост от страна на представителите на държавите членки, заинтересованите страни и изпълнителните органи на ЕФПГ. </w:t>
      </w:r>
    </w:p>
    <w:p>
      <w:pPr>
        <w:pStyle w:val="Heading3"/>
        <w:rPr>
          <w:noProof/>
        </w:rPr>
      </w:pPr>
      <w:bookmarkStart w:id="25" w:name="_Toc17984047"/>
      <w:r>
        <w:rPr>
          <w:noProof/>
        </w:rPr>
        <w:t>2.6.3. Електронна система за обмен на данни (SFC2014)</w:t>
      </w:r>
      <w:bookmarkEnd w:id="25"/>
      <w:r>
        <w:rPr>
          <w:noProof/>
        </w:rPr>
        <w:t xml:space="preserve"> </w:t>
      </w:r>
    </w:p>
    <w:p>
      <w:pPr>
        <w:spacing w:before="240"/>
        <w:jc w:val="both"/>
        <w:rPr>
          <w:rFonts w:ascii="Times New Roman" w:hAnsi="Times New Roman"/>
          <w:noProof/>
        </w:rPr>
      </w:pPr>
      <w:r>
        <w:rPr>
          <w:rFonts w:ascii="Times New Roman" w:hAnsi="Times New Roman"/>
          <w:noProof/>
        </w:rPr>
        <w:t xml:space="preserve">През 2014 г. Комисията положи усилия за допълнително опростяване на процедурите чрез включване на ЕФПГ в електронната система за обмен на данни с държавите членки – системата за управление на фондовете в Европейския съюз (SFC2014). От април 2015 г. насам държавите членки подават онлайн заявления до ЕФПГ чрез контролиран процес на подаване на заявления, а от август 2016 г. насам те също така подават окончателните доклади до ЕФПГ чрез SFC2014. Използването на системата за управление на фондовете в Европейския съюз за ЕФПГ доведе до подаването на по-точни и пълни заявления, тъй като платформата предоставя възможност на държавите членки да обменят данни с Комисията преди официалното подаване на заявление. По този начин събирането и обработката на данните се улесни, а отчитането на резултатите от ЕФПГ се ускори. Кандидатстването за помощ по линия на ЕФПГ чрез системата за управление на фондовете в Европейския съюз допринесе за съкращаване на времето между подаването на заявление от държава членка и приемането на внесеното от Комисията предложение от Европейския парламент и Съвета. </w:t>
      </w:r>
    </w:p>
    <w:p>
      <w:pPr>
        <w:jc w:val="both"/>
        <w:rPr>
          <w:rFonts w:ascii="Times New Roman" w:hAnsi="Times New Roman"/>
          <w:noProof/>
        </w:rPr>
      </w:pPr>
      <w:r>
        <w:rPr>
          <w:rFonts w:ascii="Times New Roman" w:hAnsi="Times New Roman"/>
          <w:noProof/>
        </w:rPr>
        <w:t>Допълнителните подобрения в системата за управление на фондовете в Европейския съюз през 2017 и 2018 г. включваха съхраняване на всички данни по линия на ЕФПГ на централно дисково устройство, превод на модула за окончателни доклади за ЕФПГ на всички официални езици на Европейския съюз, разработване на модул за докладване на състоянието на заетостта 12 месеца след представянето на окончателния доклад и възможност Комисията да генерира доклад с резултатите по отношение на заетостта, като се използва инструментът за докладване, наречен LaunchPad.</w:t>
      </w:r>
    </w:p>
    <w:p>
      <w:pPr>
        <w:pStyle w:val="Heading3"/>
        <w:rPr>
          <w:strike/>
          <w:noProof/>
        </w:rPr>
      </w:pPr>
      <w:bookmarkStart w:id="26" w:name="_Toc17984048"/>
      <w:r>
        <w:rPr>
          <w:noProof/>
        </w:rPr>
        <w:t>2.6.4. Средносрочна оценка на ЕФПГ</w:t>
      </w:r>
      <w:r>
        <w:rPr>
          <w:rStyle w:val="FootnoteReference"/>
          <w:noProof/>
        </w:rPr>
        <w:footnoteReference w:id="21"/>
      </w:r>
      <w:r>
        <w:rPr>
          <w:noProof/>
        </w:rPr>
        <w:t xml:space="preserve"> за периода 2014—2020 г.</w:t>
      </w:r>
      <w:bookmarkEnd w:id="26"/>
      <w:r>
        <w:rPr>
          <w:noProof/>
        </w:rPr>
        <w:t xml:space="preserve"> </w:t>
      </w:r>
    </w:p>
    <w:p>
      <w:pPr>
        <w:jc w:val="both"/>
        <w:rPr>
          <w:rFonts w:ascii="Times New Roman" w:hAnsi="Times New Roman"/>
          <w:noProof/>
        </w:rPr>
      </w:pPr>
      <w:r>
        <w:rPr>
          <w:rFonts w:ascii="Times New Roman" w:hAnsi="Times New Roman"/>
          <w:noProof/>
        </w:rPr>
        <w:t>В съответствие с член 20 от Регламент (ЕС) № 1309/2013 Комисията извърши средносрочна оценка на ЕФПГ по своя инициатива. Целта на оценката беше да се разгледат ефективността, устойчивостта, ефикасността, съгласуваността, значимостта и добавената стойност от ЕС на ЕФПГ. Средносрочната оценка се представя под формата на работен документ на службите на Комисията,</w:t>
      </w:r>
      <w:r>
        <w:rPr>
          <w:rStyle w:val="FootnoteReference"/>
          <w:rFonts w:ascii="Times New Roman" w:hAnsi="Times New Roman"/>
          <w:noProof/>
        </w:rPr>
        <w:footnoteReference w:id="22"/>
      </w:r>
      <w:r>
        <w:rPr>
          <w:rFonts w:ascii="Times New Roman" w:hAnsi="Times New Roman"/>
          <w:noProof/>
        </w:rPr>
        <w:t xml:space="preserve"> който се основава на проучване за оценка на външен изпълнител,</w:t>
      </w:r>
      <w:r>
        <w:rPr>
          <w:rStyle w:val="FootnoteReference"/>
          <w:rFonts w:ascii="Times New Roman" w:hAnsi="Times New Roman"/>
          <w:noProof/>
        </w:rPr>
        <w:footnoteReference w:id="23"/>
      </w:r>
      <w:r>
        <w:rPr>
          <w:rFonts w:ascii="Times New Roman" w:hAnsi="Times New Roman"/>
          <w:noProof/>
        </w:rPr>
        <w:t xml:space="preserve"> проведено през 2016 г. и включено в бюджета за техническа помощ. Резултатите и препоръките на оценителите бяха представени на заинтересованите страни във връзка с прилагането на ЕФПГ по време на срещата на лицата за контакт в Талин на 19 октомври 2017 г. В окончателния доклад са представени различни качествени и количествени данни. </w:t>
      </w:r>
    </w:p>
    <w:p>
      <w:pPr>
        <w:jc w:val="both"/>
        <w:rPr>
          <w:rFonts w:ascii="Times New Roman" w:hAnsi="Times New Roman"/>
          <w:noProof/>
        </w:rPr>
      </w:pPr>
      <w:r>
        <w:rPr>
          <w:rFonts w:ascii="Times New Roman" w:hAnsi="Times New Roman"/>
          <w:noProof/>
        </w:rPr>
        <w:t>Основните резултати от средносрочната оценка бяха обобщени в доклада на Комисията</w:t>
      </w:r>
      <w:r>
        <w:rPr>
          <w:rStyle w:val="FootnoteReference"/>
          <w:rFonts w:ascii="Times New Roman" w:hAnsi="Times New Roman" w:cs="Times New Roman"/>
          <w:noProof/>
        </w:rPr>
        <w:footnoteReference w:id="24"/>
      </w:r>
      <w:r>
        <w:rPr>
          <w:rFonts w:ascii="Times New Roman" w:hAnsi="Times New Roman"/>
          <w:noProof/>
        </w:rPr>
        <w:t xml:space="preserve"> и бяха отразени в предложението за регламент на Европейския парламент и на Съвета относно Европейския фонд за приспособяване към глобализацията, публикувано на 30 май 2018 г</w:t>
      </w:r>
      <w:r>
        <w:rPr>
          <w:rStyle w:val="FootnoteReference"/>
          <w:rFonts w:ascii="Times New Roman" w:hAnsi="Times New Roman"/>
          <w:noProof/>
        </w:rPr>
        <w:footnoteReference w:id="2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В средносрочната оценка на Комисията се стигна до заключението, че ЕФПГ е създал истинска добавена стойност от ЕС чрез увеличаване на броя и разнообразието на услугите, предлагани на съкратените работници, както и тяхната степен на интензивност. Предоставената подкрепа спомогна за повишаване на самочувствието на бенефициерите, които след това възприеха по-проактивен подход при търсенето на работа. ЕФПГ също доказа своята ефективност. В сравнение с предходния период на финансиране, процентът на реинтеграция на съкратените работници на пазара на труда се е подобрил от 49 % на 56 %. </w:t>
      </w:r>
    </w:p>
    <w:p>
      <w:pPr>
        <w:jc w:val="both"/>
        <w:rPr>
          <w:rFonts w:ascii="Times New Roman" w:hAnsi="Times New Roman" w:cs="Times New Roman"/>
          <w:noProof/>
        </w:rPr>
      </w:pPr>
      <w:r>
        <w:rPr>
          <w:rFonts w:ascii="Times New Roman" w:hAnsi="Times New Roman"/>
          <w:noProof/>
        </w:rPr>
        <w:t xml:space="preserve">Според средносрочната оценка е необходимо допълнително подобрение по отношение на продължителността на процеса на вземане на решения и на документацията, която трябва да бъде представена заедно с дадено заявление. Понятията „глобализация“ и „икономическа криза“ не са ясно определени и държавите членки не са сигурни как да обосноват заявленията си. В резултат на начина, по който се развива глобализацията, затруднявайки посочването на един конкретен фактор, който е довел до събитие по преструктуриране, в оценката се поставя въпросът дали мобилизирането на помощта от ЕФПГ следва да зависи от причините за съкращенията. Като се има предвид, че много работни места се губят поради други фактори, като например технологични промени, изглежда че разширяването на обхвата също би било по-приобщаващо. </w:t>
      </w:r>
    </w:p>
    <w:p>
      <w:pPr>
        <w:pStyle w:val="Heading1"/>
        <w:spacing w:after="100" w:afterAutospacing="1"/>
        <w:rPr>
          <w:noProof/>
        </w:rPr>
      </w:pPr>
      <w:bookmarkStart w:id="27" w:name="_Toc17984049"/>
      <w:r>
        <w:rPr>
          <w:noProof/>
        </w:rPr>
        <w:t>3. Разработване на политики по отношение на ЕФПГ</w:t>
      </w:r>
      <w:bookmarkEnd w:id="27"/>
    </w:p>
    <w:p>
      <w:pPr>
        <w:pStyle w:val="Heading2"/>
        <w:rPr>
          <w:noProof/>
          <w:color w:val="auto"/>
        </w:rPr>
      </w:pPr>
      <w:bookmarkStart w:id="28" w:name="_Toc17984050"/>
      <w:r>
        <w:rPr>
          <w:noProof/>
        </w:rPr>
        <w:t>3.1. Изменение на Регламент (ЕС) № 1309/2013 като част от Регламент (ЕС) 2018/1046</w:t>
      </w:r>
      <w:r>
        <w:rPr>
          <w:rStyle w:val="FootnoteReference"/>
          <w:noProof/>
          <w:sz w:val="22"/>
          <w:szCs w:val="22"/>
        </w:rPr>
        <w:footnoteReference w:id="26"/>
      </w:r>
      <w:bookmarkEnd w:id="28"/>
      <w:r>
        <w:rPr>
          <w:noProof/>
        </w:rPr>
        <w:t xml:space="preserve"> </w:t>
      </w:r>
    </w:p>
    <w:p>
      <w:pPr>
        <w:pStyle w:val="FootnoteText"/>
        <w:spacing w:line="276" w:lineRule="auto"/>
        <w:jc w:val="both"/>
        <w:rPr>
          <w:rFonts w:cs="Times New Roman"/>
          <w:noProof/>
          <w:sz w:val="22"/>
          <w:szCs w:val="22"/>
        </w:rPr>
      </w:pPr>
      <w:r>
        <w:rPr>
          <w:noProof/>
        </w:rPr>
        <w:t>Като част от по-широко изменение на финансовите правила на ЕС,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(ЕС) № 283/2014 и на Решение № 541/2014/ЕС и за отмяна на Регламент (ЕС, Евратом) № 966/2012, някои разпоредби на Регламента за ЕФПГ (Регламент (ЕС) 1309/2013) също бяха преразгледани.</w:t>
      </w:r>
    </w:p>
    <w:p>
      <w:pPr>
        <w:pStyle w:val="Default"/>
        <w:jc w:val="both"/>
        <w:rPr>
          <w:rFonts w:ascii="Times New Roman" w:hAnsi="Times New Roman" w:cs="Times New Roman"/>
          <w:noProof/>
          <w:color w:val="auto"/>
        </w:rPr>
      </w:pPr>
    </w:p>
    <w:p>
      <w:pPr>
        <w:jc w:val="both"/>
        <w:rPr>
          <w:rFonts w:ascii="Times New Roman" w:hAnsi="Times New Roman" w:cs="Times New Roman"/>
          <w:noProof/>
        </w:rPr>
      </w:pPr>
      <w:r>
        <w:rPr>
          <w:rFonts w:ascii="Times New Roman" w:hAnsi="Times New Roman"/>
          <w:noProof/>
        </w:rPr>
        <w:t>В първоначалния Регламент за ЕФПГ беше предвидена дерогация за подкрепа на NEET до края на 2017 г. С изменения Регламент за ЕФПГ</w:t>
      </w:r>
      <w:r>
        <w:rPr>
          <w:rStyle w:val="FootnoteReference"/>
          <w:rFonts w:ascii="Times New Roman" w:hAnsi="Times New Roman" w:cs="Times New Roman"/>
          <w:noProof/>
        </w:rPr>
        <w:footnoteReference w:id="27"/>
      </w:r>
      <w:r>
        <w:rPr>
          <w:rFonts w:ascii="Times New Roman" w:hAnsi="Times New Roman"/>
          <w:noProof/>
        </w:rPr>
        <w:t xml:space="preserve"> се продължава помощта за NEET до края на 2020 г. в региони, където процентът на младежката безработица е над 20 %. В него се предвижда също така разширена подкрепа за региони, които са засегнати от голям брой съкращения и в които малките и средните предприятия са основните или единствените видове предприятия.</w:t>
      </w:r>
    </w:p>
    <w:p>
      <w:pPr>
        <w:pStyle w:val="Heading2"/>
        <w:rPr>
          <w:strike/>
          <w:noProof/>
        </w:rPr>
      </w:pPr>
      <w:bookmarkStart w:id="29" w:name="_Toc17984051"/>
      <w:r>
        <w:rPr>
          <w:noProof/>
        </w:rPr>
        <w:t>3.2. Законодателно предложение за ЕФПГ след 2020 г.</w:t>
      </w:r>
      <w:r>
        <w:rPr>
          <w:rStyle w:val="FootnoteReference"/>
          <w:noProof/>
        </w:rPr>
        <w:footnoteReference w:id="28"/>
      </w:r>
      <w:bookmarkEnd w:id="29"/>
    </w:p>
    <w:p>
      <w:pPr>
        <w:jc w:val="both"/>
        <w:rPr>
          <w:rFonts w:ascii="Times New Roman" w:hAnsi="Times New Roman" w:cs="Times New Roman"/>
          <w:noProof/>
          <w:color w:val="000000" w:themeColor="text1"/>
        </w:rPr>
      </w:pPr>
      <w:r>
        <w:rPr>
          <w:rFonts w:ascii="Times New Roman" w:hAnsi="Times New Roman"/>
          <w:noProof/>
        </w:rPr>
        <w:t>Въз основа на резултатите от средносрочната оценка на ЕФПГ Комисията представи законодателно предложение за ЕФПГ за периода след 2020 г., което беше предшествано от оценка на въздействието</w:t>
      </w:r>
      <w:r>
        <w:rPr>
          <w:noProof/>
          <w:vertAlign w:val="superscript"/>
        </w:rPr>
        <w:footnoteReference w:id="29"/>
      </w:r>
      <w:r>
        <w:rPr>
          <w:noProof/>
        </w:rPr>
        <w:t>.</w:t>
      </w:r>
      <w:r>
        <w:rPr>
          <w:rFonts w:ascii="Times New Roman" w:hAnsi="Times New Roman"/>
          <w:noProof/>
        </w:rPr>
        <w:t xml:space="preserve"> Комисията извърши тази оценка на въздействието, която обхваща всички фондове от значение в областта на заетостта и социалните въпроси. Тези фондове са от ключово значение за постигането на резултати по Европейския стълб на социалните права и по отношение на приоритетите в социалната област и заетостта, подкрепяни от процеса на европейско икономическо управление:</w:t>
      </w:r>
    </w:p>
    <w:p>
      <w:pPr>
        <w:pStyle w:val="ListParagraph"/>
        <w:numPr>
          <w:ilvl w:val="0"/>
          <w:numId w:val="27"/>
        </w:numPr>
        <w:jc w:val="both"/>
        <w:rPr>
          <w:rFonts w:cs="Times New Roman"/>
          <w:noProof/>
        </w:rPr>
      </w:pPr>
      <w:r>
        <w:rPr>
          <w:noProof/>
        </w:rPr>
        <w:t xml:space="preserve">Европейският социален фонд (ЕСФ); </w:t>
      </w:r>
    </w:p>
    <w:p>
      <w:pPr>
        <w:pStyle w:val="ListParagraph"/>
        <w:numPr>
          <w:ilvl w:val="0"/>
          <w:numId w:val="27"/>
        </w:numPr>
        <w:jc w:val="both"/>
        <w:rPr>
          <w:rFonts w:cs="Times New Roman"/>
          <w:noProof/>
        </w:rPr>
      </w:pPr>
      <w:r>
        <w:rPr>
          <w:noProof/>
        </w:rPr>
        <w:t xml:space="preserve">Инициативата за младежка заетост (ИМЗ); </w:t>
      </w:r>
    </w:p>
    <w:p>
      <w:pPr>
        <w:pStyle w:val="ListParagraph"/>
        <w:numPr>
          <w:ilvl w:val="0"/>
          <w:numId w:val="27"/>
        </w:numPr>
        <w:jc w:val="both"/>
        <w:rPr>
          <w:rFonts w:cs="Times New Roman"/>
          <w:noProof/>
        </w:rPr>
      </w:pPr>
      <w:r>
        <w:rPr>
          <w:noProof/>
        </w:rPr>
        <w:t>Фондът за европейско подпомагане на най-нуждаещите се лица (FEAD);</w:t>
      </w:r>
    </w:p>
    <w:p>
      <w:pPr>
        <w:pStyle w:val="ListParagraph"/>
        <w:numPr>
          <w:ilvl w:val="0"/>
          <w:numId w:val="27"/>
        </w:numPr>
        <w:jc w:val="both"/>
        <w:rPr>
          <w:rFonts w:cs="Times New Roman"/>
          <w:noProof/>
        </w:rPr>
      </w:pPr>
      <w:r>
        <w:rPr>
          <w:noProof/>
        </w:rPr>
        <w:t>Европейският фонд за приспособяване към глобализацията (ЕФПГ);</w:t>
      </w:r>
    </w:p>
    <w:p>
      <w:pPr>
        <w:pStyle w:val="ListParagraph"/>
        <w:numPr>
          <w:ilvl w:val="0"/>
          <w:numId w:val="27"/>
        </w:numPr>
        <w:jc w:val="both"/>
        <w:rPr>
          <w:rFonts w:cs="Times New Roman"/>
          <w:noProof/>
        </w:rPr>
      </w:pPr>
      <w:r>
        <w:rPr>
          <w:noProof/>
        </w:rPr>
        <w:t xml:space="preserve">Здравната програма на ЕС; както и </w:t>
      </w:r>
    </w:p>
    <w:p>
      <w:pPr>
        <w:pStyle w:val="ListParagraph"/>
        <w:numPr>
          <w:ilvl w:val="0"/>
          <w:numId w:val="27"/>
        </w:numPr>
        <w:jc w:val="both"/>
        <w:rPr>
          <w:rFonts w:cs="Times New Roman"/>
          <w:noProof/>
        </w:rPr>
      </w:pPr>
      <w:r>
        <w:rPr>
          <w:noProof/>
        </w:rPr>
        <w:t>Програмата на Европейския съюз за заетост и социални иновации (EaSI).</w:t>
      </w:r>
    </w:p>
    <w:p>
      <w:pPr>
        <w:jc w:val="both"/>
        <w:rPr>
          <w:rFonts w:ascii="Times New Roman" w:hAnsi="Times New Roman" w:cs="Times New Roman"/>
          <w:noProof/>
        </w:rPr>
      </w:pPr>
      <w:r>
        <w:rPr>
          <w:rFonts w:ascii="Times New Roman" w:hAnsi="Times New Roman"/>
          <w:noProof/>
        </w:rPr>
        <w:t xml:space="preserve">Тъй като фондовете взаимно се допълват, като допринасят за една и съща цел на политиката, оценката на въздействието ги обхваща съвместно или според техните специфични характеристики, както е целесъобразно. </w:t>
      </w:r>
    </w:p>
    <w:p>
      <w:pPr>
        <w:pStyle w:val="ListParagraph"/>
        <w:ind w:left="0"/>
        <w:jc w:val="both"/>
        <w:rPr>
          <w:rFonts w:cs="Times New Roman"/>
          <w:noProof/>
        </w:rPr>
      </w:pPr>
      <w:r>
        <w:rPr>
          <w:noProof/>
        </w:rPr>
        <w:t xml:space="preserve">В оценката на въздействието се проучва възможността за сливане на ЕФПГ с други фондове, но за да се запази видимостта на фонда, в проучването се предлага ЕФПГ да се запази като отделен фонд. </w:t>
      </w:r>
    </w:p>
    <w:p>
      <w:pPr>
        <w:pStyle w:val="ListParagraph"/>
        <w:ind w:left="0"/>
        <w:jc w:val="both"/>
        <w:rPr>
          <w:rFonts w:cs="Times New Roman"/>
          <w:noProof/>
        </w:rPr>
      </w:pPr>
    </w:p>
    <w:p>
      <w:pPr>
        <w:pStyle w:val="ListParagraph"/>
        <w:ind w:left="0"/>
        <w:jc w:val="both"/>
        <w:rPr>
          <w:rFonts w:cs="Times New Roman"/>
          <w:noProof/>
        </w:rPr>
      </w:pPr>
      <w:r>
        <w:rPr>
          <w:noProof/>
        </w:rPr>
        <w:t>Комисията взе предвид основните резултати от оценката на въздействието в предложението си за регламент за периода след 2020 г.</w:t>
      </w:r>
    </w:p>
    <w:p>
      <w:pPr>
        <w:jc w:val="both"/>
        <w:rPr>
          <w:rFonts w:ascii="Times New Roman" w:hAnsi="Times New Roman" w:cs="Times New Roman"/>
          <w:noProof/>
        </w:rPr>
      </w:pPr>
      <w:r>
        <w:rPr>
          <w:rFonts w:ascii="Times New Roman" w:hAnsi="Times New Roman"/>
          <w:noProof/>
        </w:rPr>
        <w:t>Като се има предвид, че основната цел на ЕФПГ е да предоставя бързо финансова подкрепа в спешни ситуации и при определени непредвидени обстоятелства, Комисията предложи фондът да се запази като гъвкав и специален инструмент извън бюджетните тавани в многогодишната финансова рамка. Следователно ЕФПГ няма годишен бюджет, който се очаква да бъде изразходван, но при необходимост може да бъде мобилизирано финансиране в рамките на максимален годишен таван. Комисията предложи максималната сума, която би могла да бъде използвана от ЕФПГ за периода 2021—2027 г., да бъде 1,578 милиарда евро (по текущи цени) със средно 225 милиона евро (по текущи цени) годишно.</w:t>
      </w:r>
    </w:p>
    <w:p>
      <w:pPr>
        <w:jc w:val="both"/>
        <w:rPr>
          <w:rFonts w:ascii="Times New Roman" w:hAnsi="Times New Roman" w:cs="Times New Roman"/>
          <w:noProof/>
        </w:rPr>
      </w:pPr>
      <w:r>
        <w:rPr>
          <w:rFonts w:ascii="Times New Roman" w:hAnsi="Times New Roman"/>
          <w:noProof/>
        </w:rPr>
        <w:t xml:space="preserve">Предложението на Комисията съдържа максимална сума на разположение на ЕФПГ за периода 2021—2027 г. Комисията обаче предлага регламент за ЕФПГ с неопределена продължителност, който не е ограничен до срока на многогодишната финансова рамка. Това ще опрости законодателния процес и ще даде възможност за гъвкавост при договарянето на максималната сума за бъдещия програмен период в съответствие с нуждите на постоянно променящите се условия на пазара на труда. </w:t>
      </w:r>
    </w:p>
    <w:p>
      <w:pPr>
        <w:jc w:val="both"/>
        <w:rPr>
          <w:rFonts w:ascii="Times New Roman" w:hAnsi="Times New Roman" w:cs="Times New Roman"/>
          <w:noProof/>
        </w:rPr>
      </w:pPr>
      <w:r>
        <w:rPr>
          <w:rFonts w:ascii="Times New Roman" w:hAnsi="Times New Roman"/>
          <w:noProof/>
        </w:rPr>
        <w:t xml:space="preserve">За да се гарантира, че ЕФПГ продължава да е подходящ за целта да се реагира на промените на пазара на труда и икономическите предизвикателства, Комисията предлага следните подобрения: </w:t>
      </w:r>
    </w:p>
    <w:p>
      <w:pPr>
        <w:pStyle w:val="Briefingtext"/>
        <w:numPr>
          <w:ilvl w:val="0"/>
          <w:numId w:val="23"/>
        </w:numPr>
        <w:rPr>
          <w:rFonts w:ascii="Times New Roman" w:hAnsi="Times New Roman" w:cs="Times New Roman"/>
          <w:noProof/>
        </w:rPr>
      </w:pPr>
      <w:r>
        <w:rPr>
          <w:rFonts w:ascii="Times New Roman" w:hAnsi="Times New Roman"/>
          <w:noProof/>
        </w:rPr>
        <w:t xml:space="preserve">По-широк обхват — работници, съкратени поради неочаквани големи преструктурирания, причинени не само от предизвикателства, свързани с глобализацията, или от финансова или икономическа криза, но и от прехода към нисковъглеродна икономика, цифровизация или автоматизация. </w:t>
      </w:r>
    </w:p>
    <w:p>
      <w:pPr>
        <w:pStyle w:val="Briefingtext"/>
        <w:numPr>
          <w:ilvl w:val="0"/>
          <w:numId w:val="23"/>
        </w:numPr>
        <w:rPr>
          <w:rFonts w:ascii="Times New Roman" w:hAnsi="Times New Roman" w:cs="Times New Roman"/>
          <w:noProof/>
        </w:rPr>
      </w:pPr>
      <w:r>
        <w:rPr>
          <w:rFonts w:ascii="Times New Roman" w:hAnsi="Times New Roman"/>
          <w:noProof/>
        </w:rPr>
        <w:t>Намаляване на прага на съкратените работници (от 500 на 250), което отразява по-добре средния размер на днешните предприятия, където в много държави членки повечето работници са наети от малки и средни предприятия. Съкращението на 250 работници оказва значително въздействие върху пазара на труда в повечето региони.</w:t>
      </w:r>
    </w:p>
    <w:p>
      <w:pPr>
        <w:pStyle w:val="ListParagraph"/>
        <w:numPr>
          <w:ilvl w:val="0"/>
          <w:numId w:val="23"/>
        </w:numPr>
        <w:jc w:val="both"/>
        <w:rPr>
          <w:rFonts w:cs="Times New Roman"/>
          <w:noProof/>
        </w:rPr>
      </w:pPr>
      <w:r>
        <w:rPr>
          <w:noProof/>
        </w:rPr>
        <w:t xml:space="preserve">Изравняването на процента на съфинансиране по ЕФПГ (който понастоящем е 60 %) с най-високия процент на съфинансиране по ЕСФ+ за дадената държава членка ще насърчи държавите да кандидатстват за финансиране по най-ефикасния начин. </w:t>
      </w:r>
    </w:p>
    <w:p>
      <w:pPr>
        <w:pStyle w:val="ListParagraph"/>
        <w:ind w:left="360"/>
        <w:jc w:val="both"/>
        <w:rPr>
          <w:rFonts w:cs="Times New Roman"/>
          <w:noProof/>
        </w:rPr>
      </w:pPr>
    </w:p>
    <w:p>
      <w:pPr>
        <w:pStyle w:val="ListParagraph"/>
        <w:numPr>
          <w:ilvl w:val="0"/>
          <w:numId w:val="15"/>
        </w:numPr>
        <w:jc w:val="both"/>
        <w:rPr>
          <w:rFonts w:cs="Times New Roman"/>
          <w:noProof/>
        </w:rPr>
      </w:pPr>
      <w:r>
        <w:rPr>
          <w:noProof/>
        </w:rPr>
        <w:t>По-ускорен процес на подаване на заявления и процедура за мобилизиране, които се очаква да намалят административната тежест, свързана с подробното обосноваване на заявленията, изисквано от държавите членки, както и по-бърз процес на вземане на решения.</w:t>
      </w:r>
    </w:p>
    <w:p>
      <w:pPr>
        <w:pStyle w:val="ListParagraph"/>
        <w:ind w:left="360"/>
        <w:jc w:val="both"/>
        <w:rPr>
          <w:rFonts w:cs="Times New Roman"/>
          <w:noProof/>
        </w:rPr>
      </w:pPr>
    </w:p>
    <w:p>
      <w:pPr>
        <w:pStyle w:val="ListParagraph"/>
        <w:ind w:left="0"/>
        <w:jc w:val="both"/>
        <w:rPr>
          <w:rFonts w:cs="Times New Roman"/>
          <w:noProof/>
        </w:rPr>
      </w:pPr>
      <w:r>
        <w:rPr>
          <w:noProof/>
        </w:rPr>
        <w:t>За да се анализира по-добре ефективността на ЕФПГ, Комисията предложи да се разшири броят на общите показатели и показателите за резултатите, за да се съберат по-подробни данни от мониторинга, особено за категорията работници (професионален опит и образование), техния трудов статус и вида на намерената работа.</w:t>
      </w:r>
    </w:p>
    <w:p>
      <w:pPr>
        <w:pStyle w:val="ListParagraph"/>
        <w:ind w:left="360"/>
        <w:jc w:val="both"/>
        <w:rPr>
          <w:rFonts w:cs="Times New Roman"/>
          <w:noProof/>
        </w:rPr>
      </w:pPr>
    </w:p>
    <w:p>
      <w:pPr>
        <w:pStyle w:val="ListParagraph"/>
        <w:ind w:left="0"/>
        <w:rPr>
          <w:rFonts w:cs="Times New Roman"/>
          <w:noProof/>
        </w:rPr>
      </w:pPr>
    </w:p>
    <w:sectPr>
      <w:headerReference w:type="even" r:id="rId77"/>
      <w:headerReference w:type="default" r:id="rId78"/>
      <w:footerReference w:type="even" r:id="rId79"/>
      <w:footerReference w:type="default" r:id="rId80"/>
      <w:headerReference w:type="first" r:id="rId81"/>
      <w:footerReference w:type="first" r:id="rId8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2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50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32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01922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fldChar w:fldCharType="end"/>
        </w:r>
      </w:p>
    </w:sdtContent>
  </w:sdt>
  <w:p>
    <w:pPr>
      <w:pStyle w:val="Footer"/>
      <w:jc w:val="center"/>
      <w:rPr>
        <w:lang w:val="fr-BE"/>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066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29</w:t>
        </w:r>
        <w:r>
          <w:fldChar w:fldCharType="end"/>
        </w:r>
      </w:p>
    </w:sdtContent>
  </w:sdt>
  <w:p>
    <w:pPr>
      <w:pStyle w:val="Footer"/>
      <w:jc w:val="center"/>
      <w:rPr>
        <w:lang w:val="fr-BE"/>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24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fldChar w:fldCharType="end"/>
        </w:r>
      </w:p>
    </w:sdtContent>
  </w:sdt>
  <w:p>
    <w:pPr>
      <w:pStyle w:val="Footer"/>
      <w:jc w:val="center"/>
      <w:rPr>
        <w:lang w:val="fr-BE"/>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92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rPr>
        <w:footnoteRef/>
      </w:r>
      <w:r>
        <w:t xml:space="preserve"> </w:t>
      </w:r>
      <w:r>
        <w:rPr>
          <w:sz w:val="18"/>
          <w:szCs w:val="18"/>
        </w:rPr>
        <w:t>Включително две заявления, подадени през 2016 г.</w:t>
      </w:r>
    </w:p>
  </w:footnote>
  <w:footnote w:id="2">
    <w:p>
      <w:pPr>
        <w:pStyle w:val="EndnoteText"/>
        <w:rPr>
          <w:sz w:val="18"/>
          <w:szCs w:val="18"/>
        </w:rPr>
      </w:pPr>
      <w:r>
        <w:rPr>
          <w:rStyle w:val="FootnoteReference"/>
        </w:rPr>
        <w:footnoteRef/>
      </w:r>
      <w:r>
        <w:t xml:space="preserve"> </w:t>
      </w:r>
      <w:r>
        <w:rPr>
          <w:sz w:val="18"/>
          <w:szCs w:val="18"/>
        </w:rPr>
        <w:t xml:space="preserve">Съобщение: „Модерен бюджет за Съюз, който закриля, предоставя възможности и защитава“, COM(2018) 321, достъпно на адрес: </w:t>
      </w:r>
      <w:hyperlink r:id="rId1" w:history="1">
        <w:r>
          <w:rPr>
            <w:rStyle w:val="Hyperlink"/>
            <w:sz w:val="18"/>
            <w:szCs w:val="18"/>
          </w:rPr>
          <w:t>https://eur-lex.europa.eu/legal-content/BG/TXT/HTML/?uri=CELEX:52018DC0321&amp;from=EN</w:t>
        </w:r>
      </w:hyperlink>
    </w:p>
    <w:p>
      <w:pPr>
        <w:pStyle w:val="FootnoteText"/>
      </w:pPr>
    </w:p>
  </w:footnote>
  <w:footnote w:id="3">
    <w:p>
      <w:pPr>
        <w:pStyle w:val="FootnoteText"/>
        <w:jc w:val="both"/>
        <w:rPr>
          <w:sz w:val="18"/>
          <w:szCs w:val="18"/>
        </w:rPr>
      </w:pPr>
      <w:r>
        <w:rPr>
          <w:rStyle w:val="FootnoteReference"/>
        </w:rPr>
        <w:footnoteRef/>
      </w:r>
      <w:r>
        <w:rPr>
          <w:sz w:val="18"/>
          <w:szCs w:val="18"/>
        </w:rPr>
        <w:t>Учреден с Регламент (ЕО) № 1927/2006 на Европейския парламент и на Съвета от 20 декември 2006 г. за създаване на Европейски фонд за приспособяване към глобализацията, изменен с Регламент (ЕО) № 546/2009 на Европейския парламент и на Съвета от 18 юни 2006 г. и в съответствие с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p>
  </w:footnote>
  <w:footnote w:id="4">
    <w:p>
      <w:pPr>
        <w:pStyle w:val="FootnoteText"/>
        <w:jc w:val="both"/>
        <w:rPr>
          <w:sz w:val="18"/>
          <w:szCs w:val="18"/>
        </w:rPr>
      </w:pPr>
      <w:r>
        <w:rPr>
          <w:rStyle w:val="FootnoteReference"/>
        </w:rPr>
        <w:footnoteRef/>
      </w:r>
      <w:r>
        <w:t xml:space="preserve"> </w:t>
      </w:r>
      <w:r>
        <w:rPr>
          <w:sz w:val="18"/>
          <w:szCs w:val="18"/>
        </w:rPr>
        <w:t>В член 4, параграф 1, буква б) от Регламента за ЕФПГ се изисква да са съкратени най-малко 500 работници за референтен период от девет месеца в предприятия, извършващи дейност в същия икономически сектор, определен на равнището на разделенията на NACE Revision 2, и разположени в един или в два съседни региона, определени на ниво 2 по NUTS в дадена държава членка. Спрямо две от подадените заявления има дерогация от тези критерии. В съответствие с член 4, параграф 2 от Регламента за ЕФПГ това е оправдано поради изключителни обстоятелства и тъй като случаят е възникнал на малък пазар на труда.</w:t>
      </w:r>
    </w:p>
  </w:footnote>
  <w:footnote w:id="5">
    <w:p>
      <w:pPr>
        <w:pStyle w:val="FootnoteText"/>
        <w:jc w:val="both"/>
      </w:pPr>
      <w:r>
        <w:rPr>
          <w:rStyle w:val="FootnoteReference"/>
        </w:rPr>
        <w:footnoteRef/>
      </w:r>
      <w:r>
        <w:t xml:space="preserve"> </w:t>
      </w:r>
      <w:r>
        <w:rPr>
          <w:sz w:val="18"/>
          <w:szCs w:val="18"/>
        </w:rPr>
        <w:t>Вж. бележка под линия 4.</w:t>
      </w:r>
    </w:p>
  </w:footnote>
  <w:footnote w:id="6">
    <w:p>
      <w:pPr>
        <w:pStyle w:val="FootnoteText"/>
        <w:rPr>
          <w:sz w:val="18"/>
          <w:szCs w:val="18"/>
        </w:rPr>
      </w:pPr>
      <w:r>
        <w:rPr>
          <w:rStyle w:val="FootnoteReference"/>
        </w:rPr>
        <w:footnoteRef/>
      </w:r>
      <w:r>
        <w:t xml:space="preserve"> </w:t>
      </w:r>
      <w:r>
        <w:rPr>
          <w:sz w:val="18"/>
          <w:szCs w:val="18"/>
        </w:rPr>
        <w:t xml:space="preserve">NACE Rev.2 — Статистическа класификация на икономическите дейности в Европейската общност: </w:t>
      </w:r>
      <w:hyperlink r:id="rId2" w:history="1">
        <w:r>
          <w:rPr>
            <w:rStyle w:val="Hyperlink"/>
            <w:sz w:val="18"/>
            <w:szCs w:val="18"/>
          </w:rPr>
          <w:t>https://ec.europa.eu/eurostat/web/products-manuals-and-guidelines/-/KS-RA-07-015</w:t>
        </w:r>
      </w:hyperlink>
    </w:p>
    <w:p>
      <w:pPr>
        <w:pStyle w:val="FootnoteText"/>
        <w:rPr>
          <w:sz w:val="18"/>
          <w:szCs w:val="18"/>
        </w:rPr>
      </w:pPr>
    </w:p>
  </w:footnote>
  <w:footnote w:id="7">
    <w:p>
      <w:pPr>
        <w:pStyle w:val="FootnoteText"/>
        <w:jc w:val="both"/>
        <w:rPr>
          <w:sz w:val="18"/>
          <w:szCs w:val="18"/>
        </w:rPr>
      </w:pPr>
      <w:r>
        <w:rPr>
          <w:rStyle w:val="FootnoteReference"/>
          <w:sz w:val="18"/>
          <w:szCs w:val="18"/>
        </w:rPr>
        <w:footnoteRef/>
      </w:r>
      <w:r>
        <w:rPr>
          <w:sz w:val="18"/>
          <w:szCs w:val="18"/>
        </w:rPr>
        <w:t>Два от тези случаи бяха насочени към всички съкратени работници, наброяващи обаче по-малко от 500 души, тъй като заявленията бяха подадени съгласно член 4, параграф 2 от Регламент (ЕС) № 1309/2013.</w:t>
      </w:r>
    </w:p>
  </w:footnote>
  <w:footnote w:id="8">
    <w:p>
      <w:pPr>
        <w:pStyle w:val="FootnoteText"/>
        <w:rPr>
          <w:sz w:val="18"/>
          <w:szCs w:val="18"/>
        </w:rPr>
      </w:pPr>
      <w:r>
        <w:rPr>
          <w:rStyle w:val="FootnoteReference"/>
        </w:rPr>
        <w:footnoteRef/>
      </w:r>
      <w:r>
        <w:t xml:space="preserve"> </w:t>
      </w:r>
      <w:r>
        <w:rPr>
          <w:sz w:val="18"/>
          <w:szCs w:val="18"/>
        </w:rPr>
        <w:t xml:space="preserve">Заявленията не съдържат информация за профила на NEET, поради което те не могат да бъдат разграничени по пол, гражданство, възраст или увреждания. </w:t>
      </w:r>
    </w:p>
  </w:footnote>
  <w:footnote w:id="9">
    <w:p>
      <w:pPr>
        <w:pStyle w:val="FootnoteText"/>
        <w:rPr>
          <w:rStyle w:val="FootnoteReference"/>
          <w:sz w:val="18"/>
          <w:szCs w:val="18"/>
        </w:rPr>
      </w:pPr>
      <w:r>
        <w:rPr>
          <w:rStyle w:val="FootnoteReference"/>
          <w:sz w:val="18"/>
          <w:szCs w:val="18"/>
        </w:rPr>
        <w:footnoteRef/>
      </w:r>
      <w:r>
        <w:rPr>
          <w:rStyle w:val="FootnoteReference"/>
        </w:rPr>
        <w:t xml:space="preserve"> </w:t>
      </w:r>
      <w:r>
        <w:rPr>
          <w:sz w:val="18"/>
          <w:szCs w:val="18"/>
        </w:rPr>
        <w:t>Вж. раздел 2.7.4 относно средносрочната оценка за периода 2014—2020 г.</w:t>
      </w:r>
    </w:p>
    <w:p>
      <w:pPr>
        <w:pStyle w:val="FootnoteText"/>
        <w:rPr>
          <w:sz w:val="18"/>
          <w:szCs w:val="18"/>
        </w:rPr>
      </w:pPr>
    </w:p>
    <w:p>
      <w:pPr>
        <w:pStyle w:val="FootnoteText"/>
      </w:pPr>
    </w:p>
  </w:footnote>
  <w:footnote w:id="10">
    <w:p>
      <w:pPr>
        <w:pStyle w:val="FootnoteText"/>
      </w:pPr>
      <w:r>
        <w:rPr>
          <w:rStyle w:val="FootnoteReference"/>
          <w:sz w:val="18"/>
          <w:szCs w:val="18"/>
        </w:rPr>
        <w:footnoteRef/>
      </w:r>
      <w:r>
        <w:t xml:space="preserve"> </w:t>
      </w:r>
      <w:r>
        <w:rPr>
          <w:sz w:val="18"/>
          <w:szCs w:val="18"/>
        </w:rPr>
        <w:t>Вж. раздел 2.7.4 относно средносрочната оценка за периода 2014—2020 г</w:t>
      </w:r>
      <w:r>
        <w:t>.</w:t>
      </w:r>
    </w:p>
  </w:footnote>
  <w:footnote w:id="11">
    <w:p>
      <w:pPr>
        <w:pStyle w:val="FootnoteText"/>
        <w:jc w:val="both"/>
        <w:rPr>
          <w:sz w:val="18"/>
          <w:szCs w:val="18"/>
        </w:rPr>
      </w:pPr>
      <w:r>
        <w:rPr>
          <w:rStyle w:val="FootnoteReference"/>
          <w:rFonts w:cs="Times New Roman"/>
          <w:sz w:val="18"/>
          <w:szCs w:val="18"/>
        </w:rPr>
        <w:footnoteRef/>
      </w:r>
      <w:r>
        <w:rPr>
          <w:rStyle w:val="FootnoteReference"/>
          <w:sz w:val="18"/>
          <w:szCs w:val="18"/>
        </w:rPr>
        <w:t xml:space="preserve"> </w:t>
      </w:r>
      <w:r>
        <w:rPr>
          <w:sz w:val="18"/>
          <w:szCs w:val="18"/>
        </w:rPr>
        <w:t xml:space="preserve">В Регламент (ЕС) № 1309/2013 се определя, че максималният размер на обезщетенията ще бъде 35 % от общата стойност на персонализираните услуги. </w:t>
      </w:r>
    </w:p>
  </w:footnote>
  <w:footnote w:id="12">
    <w:p>
      <w:pPr>
        <w:pStyle w:val="FootnoteText"/>
      </w:pPr>
      <w:r>
        <w:rPr>
          <w:rStyle w:val="FootnoteReference"/>
          <w:sz w:val="18"/>
          <w:szCs w:val="18"/>
        </w:rPr>
        <w:footnoteRef/>
      </w:r>
      <w:r>
        <w:t xml:space="preserve"> </w:t>
      </w:r>
      <w:r>
        <w:rPr>
          <w:sz w:val="18"/>
          <w:szCs w:val="18"/>
        </w:rPr>
        <w:t>Степента на усвояване е процентът от финансовото участие от ЕФПГ, изразходван от държавата членка в рамките на 24-месечния срок, посочен в заявлението</w:t>
      </w:r>
      <w:r>
        <w:t>.</w:t>
      </w:r>
    </w:p>
  </w:footnote>
  <w:footnote w:id="13">
    <w:p>
      <w:pPr>
        <w:pStyle w:val="FootnoteText"/>
        <w:jc w:val="both"/>
        <w:rPr>
          <w:sz w:val="18"/>
          <w:szCs w:val="18"/>
        </w:rPr>
      </w:pPr>
      <w:r>
        <w:rPr>
          <w:rStyle w:val="FootnoteReference"/>
          <w:sz w:val="18"/>
          <w:szCs w:val="18"/>
        </w:rPr>
        <w:footnoteRef/>
      </w:r>
      <w:r>
        <w:rPr>
          <w:sz w:val="18"/>
          <w:szCs w:val="18"/>
        </w:rPr>
        <w:t xml:space="preserve"> Тази сума не включва решения за техническа помощ по инициатива на Европейската комисия.</w:t>
      </w:r>
    </w:p>
  </w:footnote>
  <w:footnote w:id="14">
    <w:p>
      <w:pPr>
        <w:pStyle w:val="FootnoteText"/>
        <w:jc w:val="both"/>
        <w:rPr>
          <w:sz w:val="18"/>
          <w:szCs w:val="18"/>
        </w:rPr>
      </w:pPr>
      <w:r>
        <w:rPr>
          <w:rStyle w:val="FootnoteReference"/>
          <w:rFonts w:cs="Times New Roman"/>
          <w:sz w:val="18"/>
          <w:szCs w:val="18"/>
        </w:rPr>
        <w:footnoteRef/>
      </w:r>
      <w:r>
        <w:rPr>
          <w:sz w:val="18"/>
          <w:szCs w:val="18"/>
        </w:rPr>
        <w:t xml:space="preserve"> Член 12 от Регламент (EC, Евратом) № 1311/2013 на Съвета от 2 декември 2013 г. за определяне на многогодишната финансова рамка за годините 2014—2020. </w:t>
      </w:r>
    </w:p>
  </w:footnote>
  <w:footnote w:id="15">
    <w:p>
      <w:pPr>
        <w:pStyle w:val="CommentText"/>
        <w:spacing w:after="0"/>
        <w:jc w:val="both"/>
        <w:rPr>
          <w:sz w:val="18"/>
          <w:szCs w:val="18"/>
        </w:rPr>
      </w:pPr>
      <w:r>
        <w:rPr>
          <w:rStyle w:val="FootnoteReference"/>
          <w:sz w:val="18"/>
          <w:szCs w:val="18"/>
        </w:rPr>
        <w:footnoteRef/>
      </w:r>
      <w:r>
        <w:rPr>
          <w:rStyle w:val="FootnoteReference"/>
          <w:sz w:val="18"/>
          <w:szCs w:val="18"/>
        </w:rPr>
        <w:t xml:space="preserve"> </w:t>
      </w:r>
      <w:r>
        <w:rPr>
          <w:sz w:val="18"/>
          <w:szCs w:val="18"/>
        </w:rPr>
        <w:t>Финансовото участие от ЕФПГ се изплаща на държавите членки на един транш под формата на 100-процентово авансово финансиране в срок от 15 дни след одобрението на решението за мобилизиране на ЕФПГ от страна бюджетния орган.</w:t>
      </w:r>
    </w:p>
  </w:footnote>
  <w:footnote w:id="16">
    <w:p>
      <w:pPr>
        <w:pStyle w:val="FootnoteText"/>
        <w:rPr>
          <w:sz w:val="18"/>
          <w:szCs w:val="18"/>
        </w:rPr>
      </w:pPr>
      <w:r>
        <w:rPr>
          <w:rStyle w:val="FootnoteReference"/>
          <w:sz w:val="18"/>
          <w:szCs w:val="18"/>
        </w:rPr>
        <w:footnoteRef/>
      </w:r>
      <w:r>
        <w:rPr>
          <w:sz w:val="18"/>
          <w:szCs w:val="18"/>
        </w:rPr>
        <w:t xml:space="preserve"> Тринадесет заявления, приключени през 2017 и 2018 г., бяха подадени съгласно Регламент (EО) № 1927/2006.</w:t>
      </w:r>
    </w:p>
  </w:footnote>
  <w:footnote w:id="17">
    <w:p>
      <w:pPr>
        <w:pStyle w:val="FootnoteText"/>
        <w:jc w:val="both"/>
      </w:pPr>
      <w:r>
        <w:rPr>
          <w:rStyle w:val="FootnoteReference"/>
          <w:sz w:val="18"/>
          <w:szCs w:val="18"/>
        </w:rPr>
        <w:footnoteRef/>
      </w:r>
      <w:r>
        <w:t xml:space="preserve"> </w:t>
      </w:r>
      <w:r>
        <w:rPr>
          <w:sz w:val="18"/>
          <w:szCs w:val="18"/>
        </w:rPr>
        <w:t>Вж. определението в бележка под линия 12.</w:t>
      </w:r>
    </w:p>
  </w:footnote>
  <w:footnote w:id="18">
    <w:p>
      <w:pPr>
        <w:pStyle w:val="FootnoteText"/>
        <w:rPr>
          <w:sz w:val="18"/>
          <w:szCs w:val="18"/>
        </w:rPr>
      </w:pPr>
      <w:r>
        <w:rPr>
          <w:rStyle w:val="FootnoteReference"/>
          <w:sz w:val="18"/>
          <w:szCs w:val="18"/>
        </w:rPr>
        <w:footnoteRef/>
      </w:r>
      <w:r>
        <w:t xml:space="preserve"> </w:t>
      </w:r>
      <w:r>
        <w:rPr>
          <w:sz w:val="18"/>
          <w:szCs w:val="18"/>
        </w:rPr>
        <w:t xml:space="preserve">В случая Alitalia известен брой работници са отказали да участват в активното подпомагане на търсенето на работа, най-вече защото вече са си намерили работа. По отношение на две мерки изпълнителните органи не са поискали подкрепа от ЕФПГ за предоставената услуга. </w:t>
      </w:r>
    </w:p>
  </w:footnote>
  <w:footnote w:id="19">
    <w:p>
      <w:pPr>
        <w:pStyle w:val="NormalWeb"/>
        <w:spacing w:before="0" w:beforeAutospacing="0" w:after="0" w:afterAutospacing="0"/>
        <w:rPr>
          <w:rFonts w:ascii="Arial" w:hAnsi="Arial" w:cs="Arial"/>
        </w:rPr>
      </w:pPr>
      <w:r>
        <w:rPr>
          <w:rStyle w:val="FootnoteReference"/>
          <w:sz w:val="18"/>
          <w:szCs w:val="18"/>
        </w:rPr>
        <w:footnoteRef/>
      </w:r>
      <w:r>
        <w:rPr>
          <w:sz w:val="18"/>
          <w:szCs w:val="18"/>
        </w:rPr>
        <w:t xml:space="preserve"> Достъпен на адрес: </w:t>
      </w:r>
      <w:hyperlink r:id="rId3" w:history="1">
        <w:r>
          <w:rPr>
            <w:rStyle w:val="Hyperlink"/>
            <w:sz w:val="18"/>
            <w:szCs w:val="18"/>
          </w:rPr>
          <w:t>https://publications.europa.eu/en/publication-detail/-/publication/8c4ba2de-ce2f-11e5-a4b5-01aa75ed71a1/language-en</w:t>
        </w:r>
      </w:hyperlink>
      <w:r>
        <w:rPr>
          <w:rFonts w:ascii="Arial" w:hAnsi="Arial"/>
        </w:rPr>
        <w:t xml:space="preserve"> </w:t>
      </w:r>
    </w:p>
    <w:p>
      <w:pPr>
        <w:pStyle w:val="FootnoteText"/>
        <w:rPr>
          <w:rFonts w:ascii="Arial" w:hAnsi="Arial" w:cs="Arial"/>
        </w:rPr>
      </w:pPr>
    </w:p>
  </w:footnote>
  <w:footnote w:id="20">
    <w:p>
      <w:pPr>
        <w:pStyle w:val="FootnoteText"/>
        <w:rPr>
          <w:sz w:val="18"/>
          <w:szCs w:val="18"/>
        </w:rPr>
      </w:pPr>
      <w:r>
        <w:rPr>
          <w:rStyle w:val="FootnoteReference"/>
          <w:rFonts w:cs="Times New Roman"/>
          <w:sz w:val="18"/>
          <w:szCs w:val="18"/>
        </w:rPr>
        <w:footnoteRef/>
      </w:r>
      <w:r>
        <w:rPr>
          <w:sz w:val="18"/>
          <w:szCs w:val="18"/>
        </w:rPr>
        <w:t xml:space="preserve"> Наличен на 24-те езика на ЕС на адрес: </w:t>
      </w:r>
      <w:hyperlink r:id="rId4" w:history="1">
        <w:r>
          <w:rPr>
            <w:rStyle w:val="Hyperlink"/>
            <w:sz w:val="18"/>
            <w:szCs w:val="18"/>
          </w:rPr>
          <w:t>https://ec.europa.eu/social/main.jsp?catId=326&amp;langId=en</w:t>
        </w:r>
      </w:hyperlink>
    </w:p>
    <w:p>
      <w:pPr>
        <w:pStyle w:val="FootnoteText"/>
        <w:rPr>
          <w:sz w:val="18"/>
          <w:szCs w:val="18"/>
        </w:rPr>
      </w:pPr>
    </w:p>
    <w:p>
      <w:pPr>
        <w:pStyle w:val="FootnoteText"/>
      </w:pPr>
    </w:p>
  </w:footnote>
  <w:footnote w:id="21">
    <w:p>
      <w:pPr>
        <w:pStyle w:val="NormalIndent1"/>
        <w:spacing w:before="0" w:after="0"/>
        <w:ind w:left="0"/>
        <w:rPr>
          <w:rFonts w:ascii="Times New Roman" w:hAnsi="Times New Roman"/>
          <w:color w:val="auto"/>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Средносрочната оценка обхваща 29 финансирани заявления в 10 държави, които са били получени през 2014 и 2015 г.</w:t>
      </w:r>
    </w:p>
  </w:footnote>
  <w:footnote w:id="22">
    <w:p>
      <w:pPr>
        <w:pStyle w:val="FootnoteText"/>
        <w:rPr>
          <w:rFonts w:cs="Times New Roman"/>
          <w:sz w:val="18"/>
          <w:szCs w:val="18"/>
        </w:rPr>
      </w:pPr>
      <w:r>
        <w:rPr>
          <w:rStyle w:val="FootnoteReference"/>
          <w:sz w:val="18"/>
          <w:szCs w:val="18"/>
        </w:rPr>
        <w:footnoteRef/>
      </w:r>
      <w:r>
        <w:t xml:space="preserve"> </w:t>
      </w:r>
      <w:r>
        <w:rPr>
          <w:sz w:val="18"/>
          <w:szCs w:val="18"/>
        </w:rPr>
        <w:t xml:space="preserve">Документ SWD(2018) 192 </w:t>
      </w:r>
      <w:r>
        <w:t>, д</w:t>
      </w:r>
      <w:r>
        <w:rPr>
          <w:sz w:val="18"/>
          <w:szCs w:val="18"/>
        </w:rPr>
        <w:t>остъпен на адрес :</w:t>
      </w:r>
      <w:r>
        <w:t xml:space="preserve"> </w:t>
      </w:r>
      <w:hyperlink r:id="rId5" w:history="1">
        <w:r>
          <w:rPr>
            <w:rStyle w:val="Hyperlink"/>
            <w:sz w:val="18"/>
            <w:szCs w:val="18"/>
          </w:rPr>
          <w:t>https://eur-lex.europa.eu/legal-content/BG/TXT/?qid=1562591970533&amp;uri=CELEX:52018SC0192</w:t>
        </w:r>
      </w:hyperlink>
    </w:p>
  </w:footnote>
  <w:footnote w:id="23">
    <w:p>
      <w:pPr>
        <w:pStyle w:val="FootnoteText"/>
        <w:rPr>
          <w:rFonts w:cs="Times New Roman"/>
          <w:sz w:val="18"/>
          <w:szCs w:val="18"/>
        </w:rPr>
      </w:pPr>
      <w:r>
        <w:rPr>
          <w:rStyle w:val="FootnoteReference"/>
          <w:sz w:val="18"/>
          <w:szCs w:val="18"/>
        </w:rPr>
        <w:footnoteRef/>
      </w:r>
      <w:r>
        <w:rPr>
          <w:rStyle w:val="FootnoteReference"/>
          <w:sz w:val="18"/>
          <w:szCs w:val="18"/>
        </w:rPr>
        <w:t xml:space="preserve"> </w:t>
      </w:r>
      <w:r>
        <w:rPr>
          <w:sz w:val="18"/>
          <w:szCs w:val="18"/>
        </w:rPr>
        <w:t xml:space="preserve">Достъпно на адрес: </w:t>
      </w:r>
      <w:hyperlink r:id="rId6" w:history="1">
        <w:r>
          <w:rPr>
            <w:rStyle w:val="Hyperlink"/>
            <w:sz w:val="18"/>
            <w:szCs w:val="18"/>
          </w:rPr>
          <w:t>https://publications.europa.eu/en/publication-detail/-/publication/57273012-b7cb-11e8-99ee-01aa75ed71a1/language-en</w:t>
        </w:r>
      </w:hyperlink>
    </w:p>
  </w:footnote>
  <w:footnote w:id="24">
    <w:p>
      <w:pPr>
        <w:pStyle w:val="FootnoteText"/>
      </w:pPr>
      <w:r>
        <w:rPr>
          <w:rStyle w:val="FootnoteReference"/>
          <w:sz w:val="18"/>
          <w:szCs w:val="18"/>
        </w:rPr>
        <w:footnoteRef/>
      </w:r>
      <w:r>
        <w:rPr>
          <w:sz w:val="18"/>
          <w:szCs w:val="18"/>
        </w:rPr>
        <w:t xml:space="preserve"> Документ COM(2018)297, достъпен на адрес: </w:t>
      </w:r>
      <w:hyperlink r:id="rId7" w:history="1">
        <w:r>
          <w:rPr>
            <w:rStyle w:val="Hyperlink"/>
            <w:sz w:val="18"/>
            <w:szCs w:val="18"/>
          </w:rPr>
          <w:t>https://eur-lex.europa.eu/legal-content/EN/TXT/PDF/?uri=CELEX:52018DC0297&amp;qid=1538573624938&amp;from=EN</w:t>
        </w:r>
      </w:hyperlink>
    </w:p>
  </w:footnote>
  <w:footnote w:id="25">
    <w:p>
      <w:pPr>
        <w:rPr>
          <w:sz w:val="26"/>
          <w:szCs w:val="26"/>
        </w:rPr>
      </w:pPr>
      <w:r>
        <w:rPr>
          <w:rStyle w:val="FootnoteReference"/>
          <w:rFonts w:ascii="Times New Roman" w:hAnsi="Times New Roman" w:cs="Times New Roman"/>
          <w:sz w:val="18"/>
          <w:szCs w:val="18"/>
        </w:rPr>
        <w:footnoteRef/>
      </w:r>
      <w:r>
        <w:rPr>
          <w:sz w:val="18"/>
          <w:szCs w:val="18"/>
        </w:rPr>
        <w:t xml:space="preserve"> </w:t>
      </w:r>
      <w:r>
        <w:rPr>
          <w:rFonts w:ascii="Times New Roman" w:hAnsi="Times New Roman"/>
          <w:sz w:val="18"/>
          <w:szCs w:val="18"/>
        </w:rPr>
        <w:t>Документ COM(2018) 380 final,</w:t>
      </w:r>
      <w:r>
        <w:rPr>
          <w:rFonts w:ascii="Times New Roman" w:hAnsi="Times New Roman"/>
        </w:rPr>
        <w:t xml:space="preserve"> </w:t>
      </w:r>
      <w:r>
        <w:rPr>
          <w:rFonts w:ascii="Times New Roman" w:hAnsi="Times New Roman"/>
          <w:sz w:val="18"/>
          <w:szCs w:val="18"/>
        </w:rPr>
        <w:t>достъпен на адрес:</w:t>
      </w:r>
      <w:r>
        <w:rPr>
          <w:sz w:val="18"/>
          <w:szCs w:val="18"/>
        </w:rPr>
        <w:t xml:space="preserve"> </w:t>
      </w:r>
      <w:hyperlink r:id="rId8" w:history="1">
        <w:r>
          <w:rPr>
            <w:rStyle w:val="Hyperlink"/>
            <w:rFonts w:ascii="Times New Roman" w:hAnsi="Times New Roman"/>
            <w:sz w:val="18"/>
            <w:szCs w:val="18"/>
          </w:rPr>
          <w:t>https://eur-lex.europa.eu/legal-content/EN/TXT/?uri=COM%3A2018%3A380%3AFIN</w:t>
        </w:r>
      </w:hyperlink>
      <w:r>
        <w:rPr>
          <w:rStyle w:val="Hyperlink"/>
          <w:rFonts w:ascii="Times New Roman" w:hAnsi="Times New Roman"/>
          <w:sz w:val="18"/>
          <w:szCs w:val="18"/>
        </w:rPr>
        <w:t>)</w:t>
      </w:r>
    </w:p>
    <w:p>
      <w:pPr>
        <w:pStyle w:val="FootnoteText"/>
        <w:rPr>
          <w:sz w:val="18"/>
          <w:szCs w:val="18"/>
        </w:rPr>
      </w:pPr>
      <w:r>
        <w:rPr>
          <w:sz w:val="18"/>
          <w:szCs w:val="18"/>
        </w:rPr>
        <w:t xml:space="preserve"> </w:t>
      </w:r>
    </w:p>
  </w:footnote>
  <w:footnote w:id="26">
    <w:p>
      <w:pPr>
        <w:pStyle w:val="FootnoteText"/>
        <w:jc w:val="both"/>
        <w:rPr>
          <w:sz w:val="18"/>
          <w:szCs w:val="18"/>
        </w:rPr>
      </w:pPr>
      <w:r>
        <w:rPr>
          <w:rStyle w:val="FootnoteReference"/>
          <w:rFonts w:cs="Times New Roman"/>
          <w:sz w:val="18"/>
          <w:szCs w:val="18"/>
        </w:rPr>
        <w:footnoteRef/>
      </w:r>
      <w:r>
        <w:rPr>
          <w:sz w:val="18"/>
          <w:szCs w:val="18"/>
        </w:rPr>
        <w:t xml:space="preserve"> Достъпен на адрес: </w:t>
      </w:r>
      <w:hyperlink r:id="rId9" w:history="1">
        <w:r>
          <w:rPr>
            <w:rStyle w:val="Hyperlink"/>
            <w:sz w:val="18"/>
            <w:szCs w:val="18"/>
          </w:rPr>
          <w:t>https://eur-lex.europa.eu/legal-content/EN/TXT/?uri=CELEX%3A32018R1046</w:t>
        </w:r>
      </w:hyperlink>
    </w:p>
  </w:footnote>
  <w:footnote w:id="27">
    <w:p>
      <w:pPr>
        <w:pStyle w:val="FootnoteText"/>
      </w:pPr>
      <w:r>
        <w:rPr>
          <w:rStyle w:val="FootnoteReference"/>
          <w:rFonts w:cs="Times New Roman"/>
          <w:sz w:val="18"/>
          <w:szCs w:val="18"/>
        </w:rPr>
        <w:footnoteRef/>
      </w:r>
      <w:r>
        <w:t xml:space="preserve"> </w:t>
      </w:r>
      <w:r>
        <w:rPr>
          <w:sz w:val="18"/>
          <w:szCs w:val="18"/>
        </w:rPr>
        <w:t>Вж. бележка под линия 25,</w:t>
      </w:r>
      <w:r>
        <w:t xml:space="preserve"> </w:t>
      </w:r>
      <w:r>
        <w:rPr>
          <w:sz w:val="18"/>
          <w:szCs w:val="18"/>
        </w:rPr>
        <w:t>член 274 от Регламент (EС, Евратом) 2018/1046</w:t>
      </w:r>
      <w:r>
        <w:t>.</w:t>
      </w:r>
    </w:p>
  </w:footnote>
  <w:footnote w:id="28">
    <w:p>
      <w:pPr>
        <w:pStyle w:val="FootnoteText"/>
      </w:pPr>
      <w:r>
        <w:rPr>
          <w:rStyle w:val="FootnoteReference"/>
          <w:sz w:val="18"/>
          <w:szCs w:val="18"/>
        </w:rPr>
        <w:footnoteRef/>
      </w:r>
      <w:r>
        <w:t xml:space="preserve"> </w:t>
      </w:r>
      <w:r>
        <w:rPr>
          <w:sz w:val="18"/>
          <w:szCs w:val="18"/>
        </w:rPr>
        <w:t>Вж. бележка под линия 24.</w:t>
      </w:r>
    </w:p>
  </w:footnote>
  <w:footnote w:id="29">
    <w:p>
      <w:pPr>
        <w:pStyle w:val="Default"/>
        <w:rPr>
          <w:rFonts w:ascii="Times New Roman" w:hAnsi="Times New Roman" w:cs="Times New Roman"/>
          <w:color w:val="auto"/>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rPr>
        <w:t xml:space="preserve"> </w:t>
      </w:r>
      <w:r>
        <w:rPr>
          <w:rFonts w:ascii="Times New Roman" w:hAnsi="Times New Roman" w:cs="Times New Roman"/>
          <w:sz w:val="18"/>
          <w:szCs w:val="18"/>
        </w:rPr>
        <w:t xml:space="preserve">Документ SWD(2018) 289, достъпен на адрес: </w:t>
      </w:r>
      <w:hyperlink r:id="rId10" w:history="1">
        <w:r>
          <w:rPr>
            <w:rStyle w:val="Hyperlink"/>
            <w:rFonts w:ascii="Times New Roman" w:hAnsi="Times New Roman"/>
            <w:sz w:val="18"/>
            <w:szCs w:val="18"/>
          </w:rPr>
          <w:t>https://ec.europa.eu/transparency/regdoc/rep/10102/2018/EN/SWD-2018-289-F1-EN-MAIN-PART-1.PDF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5E6"/>
    <w:multiLevelType w:val="hybridMultilevel"/>
    <w:tmpl w:val="36C8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C4F7E"/>
    <w:multiLevelType w:val="hybridMultilevel"/>
    <w:tmpl w:val="B1546D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099415E0"/>
    <w:multiLevelType w:val="hybridMultilevel"/>
    <w:tmpl w:val="E39A4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5703C"/>
    <w:multiLevelType w:val="hybridMultilevel"/>
    <w:tmpl w:val="184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B51E3"/>
    <w:multiLevelType w:val="hybridMultilevel"/>
    <w:tmpl w:val="6E1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5F142C"/>
    <w:multiLevelType w:val="hybridMultilevel"/>
    <w:tmpl w:val="69AEA3BE"/>
    <w:lvl w:ilvl="0" w:tplc="21F04226">
      <w:numFmt w:val="bullet"/>
      <w:lvlText w:val="-"/>
      <w:lvlJc w:val="left"/>
      <w:pPr>
        <w:ind w:left="1440" w:hanging="360"/>
      </w:pPr>
      <w:rPr>
        <w:rFonts w:ascii="Times New Roman" w:eastAsia="Times New Roman" w:hAnsi="Times New Roman" w:cs="Times New Roman" w:hint="default"/>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2F3743"/>
    <w:multiLevelType w:val="hybridMultilevel"/>
    <w:tmpl w:val="6DF0FA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D92A4E"/>
    <w:multiLevelType w:val="hybridMultilevel"/>
    <w:tmpl w:val="7D8E0CB8"/>
    <w:lvl w:ilvl="0" w:tplc="00C4B2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27FF0E03"/>
    <w:multiLevelType w:val="hybridMultilevel"/>
    <w:tmpl w:val="1220A7C6"/>
    <w:lvl w:ilvl="0" w:tplc="A058B834">
      <w:start w:val="4"/>
      <w:numFmt w:val="bullet"/>
      <w:lvlText w:val="-"/>
      <w:lvlJc w:val="left"/>
      <w:pPr>
        <w:ind w:left="1173" w:hanging="360"/>
      </w:pPr>
      <w:rPr>
        <w:rFonts w:ascii="Calibri" w:eastAsiaTheme="minorHAnsi" w:hAnsi="Calibri" w:cs="Calibri" w:hint="default"/>
        <w:color w:val="auto"/>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9">
    <w:nsid w:val="280F0E50"/>
    <w:multiLevelType w:val="hybridMultilevel"/>
    <w:tmpl w:val="8E24A272"/>
    <w:lvl w:ilvl="0" w:tplc="21F04226">
      <w:numFmt w:val="bullet"/>
      <w:lvlText w:val="-"/>
      <w:lvlJc w:val="left"/>
      <w:pPr>
        <w:ind w:left="1068" w:hanging="360"/>
      </w:pPr>
      <w:rPr>
        <w:rFonts w:ascii="Times New Roman" w:eastAsia="Times New Roman" w:hAnsi="Times New Roman" w:cs="Times New Roman" w:hint="default"/>
        <w:u w:val="none"/>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nsid w:val="33EE6237"/>
    <w:multiLevelType w:val="hybridMultilevel"/>
    <w:tmpl w:val="5B8E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1925D2"/>
    <w:multiLevelType w:val="hybridMultilevel"/>
    <w:tmpl w:val="3F4A4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8204E"/>
    <w:multiLevelType w:val="hybridMultilevel"/>
    <w:tmpl w:val="0F1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E2667D"/>
    <w:multiLevelType w:val="hybridMultilevel"/>
    <w:tmpl w:val="10EC88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3A608C1"/>
    <w:multiLevelType w:val="hybridMultilevel"/>
    <w:tmpl w:val="2EBC6C30"/>
    <w:lvl w:ilvl="0" w:tplc="24EAA270">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48B5AA0"/>
    <w:multiLevelType w:val="hybridMultilevel"/>
    <w:tmpl w:val="E4424604"/>
    <w:lvl w:ilvl="0" w:tplc="21F0422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B1991"/>
    <w:multiLevelType w:val="hybridMultilevel"/>
    <w:tmpl w:val="BF9C4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4475EE"/>
    <w:multiLevelType w:val="hybridMultilevel"/>
    <w:tmpl w:val="02F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F9021B"/>
    <w:multiLevelType w:val="hybridMultilevel"/>
    <w:tmpl w:val="0DE68E32"/>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cs="Times New Roman" w:hint="default"/>
      </w:rPr>
    </w:lvl>
    <w:lvl w:ilvl="2" w:tplc="08090005">
      <w:start w:val="1"/>
      <w:numFmt w:val="bullet"/>
      <w:lvlText w:val=""/>
      <w:lvlJc w:val="left"/>
      <w:pPr>
        <w:ind w:left="2352" w:hanging="360"/>
      </w:pPr>
      <w:rPr>
        <w:rFonts w:ascii="Wingdings" w:hAnsi="Wingdings" w:hint="default"/>
      </w:rPr>
    </w:lvl>
    <w:lvl w:ilvl="3" w:tplc="08090001">
      <w:start w:val="1"/>
      <w:numFmt w:val="bullet"/>
      <w:lvlText w:val=""/>
      <w:lvlJc w:val="left"/>
      <w:pPr>
        <w:ind w:left="3072" w:hanging="360"/>
      </w:pPr>
      <w:rPr>
        <w:rFonts w:ascii="Symbol" w:hAnsi="Symbol" w:hint="default"/>
      </w:rPr>
    </w:lvl>
    <w:lvl w:ilvl="4" w:tplc="08090003">
      <w:start w:val="1"/>
      <w:numFmt w:val="bullet"/>
      <w:lvlText w:val="o"/>
      <w:lvlJc w:val="left"/>
      <w:pPr>
        <w:ind w:left="3792" w:hanging="360"/>
      </w:pPr>
      <w:rPr>
        <w:rFonts w:ascii="Courier New" w:hAnsi="Courier New" w:cs="Times New Roman" w:hint="default"/>
      </w:rPr>
    </w:lvl>
    <w:lvl w:ilvl="5" w:tplc="08090005">
      <w:start w:val="1"/>
      <w:numFmt w:val="bullet"/>
      <w:lvlText w:val=""/>
      <w:lvlJc w:val="left"/>
      <w:pPr>
        <w:ind w:left="4512" w:hanging="360"/>
      </w:pPr>
      <w:rPr>
        <w:rFonts w:ascii="Wingdings" w:hAnsi="Wingdings" w:hint="default"/>
      </w:rPr>
    </w:lvl>
    <w:lvl w:ilvl="6" w:tplc="08090001">
      <w:start w:val="1"/>
      <w:numFmt w:val="bullet"/>
      <w:lvlText w:val=""/>
      <w:lvlJc w:val="left"/>
      <w:pPr>
        <w:ind w:left="5232" w:hanging="360"/>
      </w:pPr>
      <w:rPr>
        <w:rFonts w:ascii="Symbol" w:hAnsi="Symbol" w:hint="default"/>
      </w:rPr>
    </w:lvl>
    <w:lvl w:ilvl="7" w:tplc="08090003">
      <w:start w:val="1"/>
      <w:numFmt w:val="bullet"/>
      <w:lvlText w:val="o"/>
      <w:lvlJc w:val="left"/>
      <w:pPr>
        <w:ind w:left="5952" w:hanging="360"/>
      </w:pPr>
      <w:rPr>
        <w:rFonts w:ascii="Courier New" w:hAnsi="Courier New" w:cs="Times New Roman" w:hint="default"/>
      </w:rPr>
    </w:lvl>
    <w:lvl w:ilvl="8" w:tplc="08090005">
      <w:start w:val="1"/>
      <w:numFmt w:val="bullet"/>
      <w:lvlText w:val=""/>
      <w:lvlJc w:val="left"/>
      <w:pPr>
        <w:ind w:left="6672" w:hanging="360"/>
      </w:pPr>
      <w:rPr>
        <w:rFonts w:ascii="Wingdings" w:hAnsi="Wingdings" w:hint="default"/>
      </w:rPr>
    </w:lvl>
  </w:abstractNum>
  <w:abstractNum w:abstractNumId="19">
    <w:nsid w:val="592813D6"/>
    <w:multiLevelType w:val="hybridMultilevel"/>
    <w:tmpl w:val="7DB29E3E"/>
    <w:lvl w:ilvl="0" w:tplc="08090005">
      <w:start w:val="1"/>
      <w:numFmt w:val="bullet"/>
      <w:lvlText w:val=""/>
      <w:lvlJc w:val="left"/>
      <w:pPr>
        <w:ind w:left="360" w:hanging="360"/>
      </w:pPr>
      <w:rPr>
        <w:rFonts w:ascii="Wingdings" w:hAnsi="Wingdings"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FA808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49339D3"/>
    <w:multiLevelType w:val="hybridMultilevel"/>
    <w:tmpl w:val="1E6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DE6650"/>
    <w:multiLevelType w:val="hybridMultilevel"/>
    <w:tmpl w:val="4894B9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8F6D62"/>
    <w:multiLevelType w:val="hybridMultilevel"/>
    <w:tmpl w:val="2B967E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66139F"/>
    <w:multiLevelType w:val="hybridMultilevel"/>
    <w:tmpl w:val="F5A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66A71"/>
    <w:multiLevelType w:val="hybridMultilevel"/>
    <w:tmpl w:val="A30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0067F4"/>
    <w:multiLevelType w:val="hybridMultilevel"/>
    <w:tmpl w:val="A84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24025D"/>
    <w:multiLevelType w:val="hybridMultilevel"/>
    <w:tmpl w:val="9528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74005A"/>
    <w:multiLevelType w:val="hybridMultilevel"/>
    <w:tmpl w:val="5F5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9A10EC"/>
    <w:multiLevelType w:val="hybridMultilevel"/>
    <w:tmpl w:val="DDF6D7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B92992"/>
    <w:multiLevelType w:val="hybridMultilevel"/>
    <w:tmpl w:val="FA3086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7"/>
  </w:num>
  <w:num w:numId="3">
    <w:abstractNumId w:val="28"/>
  </w:num>
  <w:num w:numId="4">
    <w:abstractNumId w:val="4"/>
  </w:num>
  <w:num w:numId="5">
    <w:abstractNumId w:val="3"/>
  </w:num>
  <w:num w:numId="6">
    <w:abstractNumId w:val="12"/>
  </w:num>
  <w:num w:numId="7">
    <w:abstractNumId w:val="26"/>
  </w:num>
  <w:num w:numId="8">
    <w:abstractNumId w:val="24"/>
  </w:num>
  <w:num w:numId="9">
    <w:abstractNumId w:val="18"/>
  </w:num>
  <w:num w:numId="10">
    <w:abstractNumId w:val="0"/>
  </w:num>
  <w:num w:numId="11">
    <w:abstractNumId w:val="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7"/>
  </w:num>
  <w:num w:numId="17">
    <w:abstractNumId w:val="21"/>
  </w:num>
  <w:num w:numId="18">
    <w:abstractNumId w:val="10"/>
  </w:num>
  <w:num w:numId="19">
    <w:abstractNumId w:val="13"/>
  </w:num>
  <w:num w:numId="20">
    <w:abstractNumId w:val="16"/>
  </w:num>
  <w:num w:numId="21">
    <w:abstractNumId w:val="5"/>
  </w:num>
  <w:num w:numId="22">
    <w:abstractNumId w:val="14"/>
  </w:num>
  <w:num w:numId="23">
    <w:abstractNumId w:val="23"/>
  </w:num>
  <w:num w:numId="24">
    <w:abstractNumId w:val="22"/>
  </w:num>
  <w:num w:numId="25">
    <w:abstractNumId w:val="27"/>
  </w:num>
  <w:num w:numId="26">
    <w:abstractNumId w:val="15"/>
  </w:num>
  <w:num w:numId="27">
    <w:abstractNumId w:val="11"/>
  </w:num>
  <w:num w:numId="28">
    <w:abstractNumId w:val="8"/>
  </w:num>
  <w:num w:numId="29">
    <w:abstractNumId w:val="9"/>
  </w:num>
  <w:num w:numId="30">
    <w:abstractNumId w:val="30"/>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revisionView w:markup="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CAD10271-A504-4352-BB6F-2E3C80DDDDDC"/>
    <w:docVar w:name="LW_COVERPAGE_TYPE" w:val="1"/>
    <w:docVar w:name="LW_CROSSREFERENCE" w:val="&lt;UNUSED&gt;"/>
    <w:docVar w:name="LW_DocType" w:val="NORMAL"/>
    <w:docVar w:name="LW_EMISSION" w:val="16.9.2019"/>
    <w:docVar w:name="LW_EMISSION_ISODATE" w:val="2019-09-1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76?\u1077?\u1081?\u1085?\u1086?\u1089?\u1090?\u1080?\u1090?\u1077? \u1085?\u1072? \u1045?\u1074?\u1088?\u1086?\u1087?\u1077?\u1081?\u1089?\u1082?\u1080?\u1103? \u1092?\u1086?\u1085?\u1076? \u1079?\u1072? \u1087?\u1088?\u1080?\u1089?\u1087?\u1086?\u1089?\u1086?\u1073?\u1103?\u1074?\u1072?\u1085?\u1077? \u1082?\u1098?\u1084? \u1075?\u1083?\u1086?\u1073?\u1072?\u1083?\u1080?\u1079?\u1072?\u1094?\u1080?\u1103?\u1090?\u1072? \u1087?\u1088?\u1077?\u1079? 2017 \u1075?. \u1080? 2018 \u1075?.  &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bg-BG"/>
    </w:rPr>
  </w:style>
  <w:style w:type="character" w:customStyle="1" w:styleId="FooterCoverPageChar">
    <w:name w:val="Footer Cover Page Char"/>
    <w:basedOn w:val="Typedudocument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bg-BG"/>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eastAsia="ja-JP"/>
    </w:rPr>
  </w:style>
  <w:style w:type="paragraph" w:styleId="TOC3">
    <w:name w:val="toc 3"/>
    <w:basedOn w:val="Normal"/>
    <w:next w:val="Normal"/>
    <w:autoRedefine/>
    <w:uiPriority w:val="39"/>
    <w:unhideWhenUsed/>
    <w:qFormat/>
    <w:pPr>
      <w:spacing w:after="100"/>
      <w:ind w:left="720"/>
    </w:pPr>
    <w:rPr>
      <w:rFonts w:ascii="Times New Roman" w:eastAsiaTheme="minorEastAsia" w:hAnsi="Times New Roman"/>
      <w:lang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bg-BG"/>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bg-BG"/>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bg-BG"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bg-BG"/>
    </w:rPr>
  </w:style>
  <w:style w:type="character" w:customStyle="1" w:styleId="FooterCoverPageChar">
    <w:name w:val="Footer Cover Page Char"/>
    <w:basedOn w:val="Typedudocument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bg-BG"/>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bg-BG"/>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bg-BG"/>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bg-BG"/>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eastAsia="ja-JP"/>
    </w:rPr>
  </w:style>
  <w:style w:type="paragraph" w:styleId="TOC3">
    <w:name w:val="toc 3"/>
    <w:basedOn w:val="Normal"/>
    <w:next w:val="Normal"/>
    <w:autoRedefine/>
    <w:uiPriority w:val="39"/>
    <w:unhideWhenUsed/>
    <w:qFormat/>
    <w:pPr>
      <w:spacing w:after="100"/>
      <w:ind w:left="720"/>
    </w:pPr>
    <w:rPr>
      <w:rFonts w:ascii="Times New Roman" w:eastAsiaTheme="minorEastAsia" w:hAnsi="Times New Roman"/>
      <w:lang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bg-BG"/>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bg-BG"/>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bg-BG"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bg-BG"/>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794">
      <w:bodyDiv w:val="1"/>
      <w:marLeft w:val="0"/>
      <w:marRight w:val="0"/>
      <w:marTop w:val="0"/>
      <w:marBottom w:val="0"/>
      <w:divBdr>
        <w:top w:val="none" w:sz="0" w:space="0" w:color="auto"/>
        <w:left w:val="none" w:sz="0" w:space="0" w:color="auto"/>
        <w:bottom w:val="none" w:sz="0" w:space="0" w:color="auto"/>
        <w:right w:val="none" w:sz="0" w:space="0" w:color="auto"/>
      </w:divBdr>
    </w:div>
    <w:div w:id="118382616">
      <w:bodyDiv w:val="1"/>
      <w:marLeft w:val="0"/>
      <w:marRight w:val="0"/>
      <w:marTop w:val="0"/>
      <w:marBottom w:val="0"/>
      <w:divBdr>
        <w:top w:val="none" w:sz="0" w:space="0" w:color="auto"/>
        <w:left w:val="none" w:sz="0" w:space="0" w:color="auto"/>
        <w:bottom w:val="none" w:sz="0" w:space="0" w:color="auto"/>
        <w:right w:val="none" w:sz="0" w:space="0" w:color="auto"/>
      </w:divBdr>
    </w:div>
    <w:div w:id="120998081">
      <w:bodyDiv w:val="1"/>
      <w:marLeft w:val="0"/>
      <w:marRight w:val="0"/>
      <w:marTop w:val="0"/>
      <w:marBottom w:val="0"/>
      <w:divBdr>
        <w:top w:val="none" w:sz="0" w:space="0" w:color="auto"/>
        <w:left w:val="none" w:sz="0" w:space="0" w:color="auto"/>
        <w:bottom w:val="none" w:sz="0" w:space="0" w:color="auto"/>
        <w:right w:val="none" w:sz="0" w:space="0" w:color="auto"/>
      </w:divBdr>
    </w:div>
    <w:div w:id="132334785">
      <w:bodyDiv w:val="1"/>
      <w:marLeft w:val="0"/>
      <w:marRight w:val="0"/>
      <w:marTop w:val="0"/>
      <w:marBottom w:val="0"/>
      <w:divBdr>
        <w:top w:val="none" w:sz="0" w:space="0" w:color="auto"/>
        <w:left w:val="none" w:sz="0" w:space="0" w:color="auto"/>
        <w:bottom w:val="none" w:sz="0" w:space="0" w:color="auto"/>
        <w:right w:val="none" w:sz="0" w:space="0" w:color="auto"/>
      </w:divBdr>
    </w:div>
    <w:div w:id="134683378">
      <w:bodyDiv w:val="1"/>
      <w:marLeft w:val="0"/>
      <w:marRight w:val="0"/>
      <w:marTop w:val="0"/>
      <w:marBottom w:val="0"/>
      <w:divBdr>
        <w:top w:val="none" w:sz="0" w:space="0" w:color="auto"/>
        <w:left w:val="none" w:sz="0" w:space="0" w:color="auto"/>
        <w:bottom w:val="none" w:sz="0" w:space="0" w:color="auto"/>
        <w:right w:val="none" w:sz="0" w:space="0" w:color="auto"/>
      </w:divBdr>
    </w:div>
    <w:div w:id="147670809">
      <w:bodyDiv w:val="1"/>
      <w:marLeft w:val="0"/>
      <w:marRight w:val="0"/>
      <w:marTop w:val="0"/>
      <w:marBottom w:val="0"/>
      <w:divBdr>
        <w:top w:val="none" w:sz="0" w:space="0" w:color="auto"/>
        <w:left w:val="none" w:sz="0" w:space="0" w:color="auto"/>
        <w:bottom w:val="none" w:sz="0" w:space="0" w:color="auto"/>
        <w:right w:val="none" w:sz="0" w:space="0" w:color="auto"/>
      </w:divBdr>
    </w:div>
    <w:div w:id="150408134">
      <w:bodyDiv w:val="1"/>
      <w:marLeft w:val="0"/>
      <w:marRight w:val="0"/>
      <w:marTop w:val="0"/>
      <w:marBottom w:val="0"/>
      <w:divBdr>
        <w:top w:val="none" w:sz="0" w:space="0" w:color="auto"/>
        <w:left w:val="none" w:sz="0" w:space="0" w:color="auto"/>
        <w:bottom w:val="none" w:sz="0" w:space="0" w:color="auto"/>
        <w:right w:val="none" w:sz="0" w:space="0" w:color="auto"/>
      </w:divBdr>
    </w:div>
    <w:div w:id="162353421">
      <w:bodyDiv w:val="1"/>
      <w:marLeft w:val="0"/>
      <w:marRight w:val="0"/>
      <w:marTop w:val="0"/>
      <w:marBottom w:val="0"/>
      <w:divBdr>
        <w:top w:val="none" w:sz="0" w:space="0" w:color="auto"/>
        <w:left w:val="none" w:sz="0" w:space="0" w:color="auto"/>
        <w:bottom w:val="none" w:sz="0" w:space="0" w:color="auto"/>
        <w:right w:val="none" w:sz="0" w:space="0" w:color="auto"/>
      </w:divBdr>
    </w:div>
    <w:div w:id="236062788">
      <w:bodyDiv w:val="1"/>
      <w:marLeft w:val="0"/>
      <w:marRight w:val="0"/>
      <w:marTop w:val="0"/>
      <w:marBottom w:val="0"/>
      <w:divBdr>
        <w:top w:val="none" w:sz="0" w:space="0" w:color="auto"/>
        <w:left w:val="none" w:sz="0" w:space="0" w:color="auto"/>
        <w:bottom w:val="none" w:sz="0" w:space="0" w:color="auto"/>
        <w:right w:val="none" w:sz="0" w:space="0" w:color="auto"/>
      </w:divBdr>
    </w:div>
    <w:div w:id="287668843">
      <w:bodyDiv w:val="1"/>
      <w:marLeft w:val="0"/>
      <w:marRight w:val="0"/>
      <w:marTop w:val="0"/>
      <w:marBottom w:val="0"/>
      <w:divBdr>
        <w:top w:val="none" w:sz="0" w:space="0" w:color="auto"/>
        <w:left w:val="none" w:sz="0" w:space="0" w:color="auto"/>
        <w:bottom w:val="none" w:sz="0" w:space="0" w:color="auto"/>
        <w:right w:val="none" w:sz="0" w:space="0" w:color="auto"/>
      </w:divBdr>
    </w:div>
    <w:div w:id="358050634">
      <w:bodyDiv w:val="1"/>
      <w:marLeft w:val="0"/>
      <w:marRight w:val="0"/>
      <w:marTop w:val="0"/>
      <w:marBottom w:val="0"/>
      <w:divBdr>
        <w:top w:val="none" w:sz="0" w:space="0" w:color="auto"/>
        <w:left w:val="none" w:sz="0" w:space="0" w:color="auto"/>
        <w:bottom w:val="none" w:sz="0" w:space="0" w:color="auto"/>
        <w:right w:val="none" w:sz="0" w:space="0" w:color="auto"/>
      </w:divBdr>
    </w:div>
    <w:div w:id="388891400">
      <w:bodyDiv w:val="1"/>
      <w:marLeft w:val="0"/>
      <w:marRight w:val="0"/>
      <w:marTop w:val="0"/>
      <w:marBottom w:val="0"/>
      <w:divBdr>
        <w:top w:val="none" w:sz="0" w:space="0" w:color="auto"/>
        <w:left w:val="none" w:sz="0" w:space="0" w:color="auto"/>
        <w:bottom w:val="none" w:sz="0" w:space="0" w:color="auto"/>
        <w:right w:val="none" w:sz="0" w:space="0" w:color="auto"/>
      </w:divBdr>
    </w:div>
    <w:div w:id="527111329">
      <w:bodyDiv w:val="1"/>
      <w:marLeft w:val="0"/>
      <w:marRight w:val="0"/>
      <w:marTop w:val="0"/>
      <w:marBottom w:val="0"/>
      <w:divBdr>
        <w:top w:val="none" w:sz="0" w:space="0" w:color="auto"/>
        <w:left w:val="none" w:sz="0" w:space="0" w:color="auto"/>
        <w:bottom w:val="none" w:sz="0" w:space="0" w:color="auto"/>
        <w:right w:val="none" w:sz="0" w:space="0" w:color="auto"/>
      </w:divBdr>
    </w:div>
    <w:div w:id="562565723">
      <w:bodyDiv w:val="1"/>
      <w:marLeft w:val="0"/>
      <w:marRight w:val="0"/>
      <w:marTop w:val="0"/>
      <w:marBottom w:val="0"/>
      <w:divBdr>
        <w:top w:val="none" w:sz="0" w:space="0" w:color="auto"/>
        <w:left w:val="none" w:sz="0" w:space="0" w:color="auto"/>
        <w:bottom w:val="none" w:sz="0" w:space="0" w:color="auto"/>
        <w:right w:val="none" w:sz="0" w:space="0" w:color="auto"/>
      </w:divBdr>
    </w:div>
    <w:div w:id="574239743">
      <w:bodyDiv w:val="1"/>
      <w:marLeft w:val="0"/>
      <w:marRight w:val="0"/>
      <w:marTop w:val="0"/>
      <w:marBottom w:val="0"/>
      <w:divBdr>
        <w:top w:val="none" w:sz="0" w:space="0" w:color="auto"/>
        <w:left w:val="none" w:sz="0" w:space="0" w:color="auto"/>
        <w:bottom w:val="none" w:sz="0" w:space="0" w:color="auto"/>
        <w:right w:val="none" w:sz="0" w:space="0" w:color="auto"/>
      </w:divBdr>
    </w:div>
    <w:div w:id="611592543">
      <w:bodyDiv w:val="1"/>
      <w:marLeft w:val="0"/>
      <w:marRight w:val="0"/>
      <w:marTop w:val="0"/>
      <w:marBottom w:val="0"/>
      <w:divBdr>
        <w:top w:val="none" w:sz="0" w:space="0" w:color="auto"/>
        <w:left w:val="none" w:sz="0" w:space="0" w:color="auto"/>
        <w:bottom w:val="none" w:sz="0" w:space="0" w:color="auto"/>
        <w:right w:val="none" w:sz="0" w:space="0" w:color="auto"/>
      </w:divBdr>
    </w:div>
    <w:div w:id="634455416">
      <w:bodyDiv w:val="1"/>
      <w:marLeft w:val="0"/>
      <w:marRight w:val="0"/>
      <w:marTop w:val="0"/>
      <w:marBottom w:val="0"/>
      <w:divBdr>
        <w:top w:val="none" w:sz="0" w:space="0" w:color="auto"/>
        <w:left w:val="none" w:sz="0" w:space="0" w:color="auto"/>
        <w:bottom w:val="none" w:sz="0" w:space="0" w:color="auto"/>
        <w:right w:val="none" w:sz="0" w:space="0" w:color="auto"/>
      </w:divBdr>
    </w:div>
    <w:div w:id="647898903">
      <w:bodyDiv w:val="1"/>
      <w:marLeft w:val="0"/>
      <w:marRight w:val="0"/>
      <w:marTop w:val="0"/>
      <w:marBottom w:val="0"/>
      <w:divBdr>
        <w:top w:val="none" w:sz="0" w:space="0" w:color="auto"/>
        <w:left w:val="none" w:sz="0" w:space="0" w:color="auto"/>
        <w:bottom w:val="none" w:sz="0" w:space="0" w:color="auto"/>
        <w:right w:val="none" w:sz="0" w:space="0" w:color="auto"/>
      </w:divBdr>
    </w:div>
    <w:div w:id="651567415">
      <w:bodyDiv w:val="1"/>
      <w:marLeft w:val="0"/>
      <w:marRight w:val="0"/>
      <w:marTop w:val="0"/>
      <w:marBottom w:val="0"/>
      <w:divBdr>
        <w:top w:val="none" w:sz="0" w:space="0" w:color="auto"/>
        <w:left w:val="none" w:sz="0" w:space="0" w:color="auto"/>
        <w:bottom w:val="none" w:sz="0" w:space="0" w:color="auto"/>
        <w:right w:val="none" w:sz="0" w:space="0" w:color="auto"/>
      </w:divBdr>
    </w:div>
    <w:div w:id="717902279">
      <w:bodyDiv w:val="1"/>
      <w:marLeft w:val="0"/>
      <w:marRight w:val="0"/>
      <w:marTop w:val="0"/>
      <w:marBottom w:val="0"/>
      <w:divBdr>
        <w:top w:val="none" w:sz="0" w:space="0" w:color="auto"/>
        <w:left w:val="none" w:sz="0" w:space="0" w:color="auto"/>
        <w:bottom w:val="none" w:sz="0" w:space="0" w:color="auto"/>
        <w:right w:val="none" w:sz="0" w:space="0" w:color="auto"/>
      </w:divBdr>
    </w:div>
    <w:div w:id="730688892">
      <w:bodyDiv w:val="1"/>
      <w:marLeft w:val="0"/>
      <w:marRight w:val="0"/>
      <w:marTop w:val="0"/>
      <w:marBottom w:val="0"/>
      <w:divBdr>
        <w:top w:val="none" w:sz="0" w:space="0" w:color="auto"/>
        <w:left w:val="none" w:sz="0" w:space="0" w:color="auto"/>
        <w:bottom w:val="none" w:sz="0" w:space="0" w:color="auto"/>
        <w:right w:val="none" w:sz="0" w:space="0" w:color="auto"/>
      </w:divBdr>
    </w:div>
    <w:div w:id="770392620">
      <w:bodyDiv w:val="1"/>
      <w:marLeft w:val="0"/>
      <w:marRight w:val="0"/>
      <w:marTop w:val="0"/>
      <w:marBottom w:val="0"/>
      <w:divBdr>
        <w:top w:val="none" w:sz="0" w:space="0" w:color="auto"/>
        <w:left w:val="none" w:sz="0" w:space="0" w:color="auto"/>
        <w:bottom w:val="none" w:sz="0" w:space="0" w:color="auto"/>
        <w:right w:val="none" w:sz="0" w:space="0" w:color="auto"/>
      </w:divBdr>
    </w:div>
    <w:div w:id="836725083">
      <w:bodyDiv w:val="1"/>
      <w:marLeft w:val="0"/>
      <w:marRight w:val="0"/>
      <w:marTop w:val="0"/>
      <w:marBottom w:val="0"/>
      <w:divBdr>
        <w:top w:val="none" w:sz="0" w:space="0" w:color="auto"/>
        <w:left w:val="none" w:sz="0" w:space="0" w:color="auto"/>
        <w:bottom w:val="none" w:sz="0" w:space="0" w:color="auto"/>
        <w:right w:val="none" w:sz="0" w:space="0" w:color="auto"/>
      </w:divBdr>
    </w:div>
    <w:div w:id="845940971">
      <w:bodyDiv w:val="1"/>
      <w:marLeft w:val="0"/>
      <w:marRight w:val="0"/>
      <w:marTop w:val="0"/>
      <w:marBottom w:val="0"/>
      <w:divBdr>
        <w:top w:val="none" w:sz="0" w:space="0" w:color="auto"/>
        <w:left w:val="none" w:sz="0" w:space="0" w:color="auto"/>
        <w:bottom w:val="none" w:sz="0" w:space="0" w:color="auto"/>
        <w:right w:val="none" w:sz="0" w:space="0" w:color="auto"/>
      </w:divBdr>
    </w:div>
    <w:div w:id="871914435">
      <w:bodyDiv w:val="1"/>
      <w:marLeft w:val="0"/>
      <w:marRight w:val="0"/>
      <w:marTop w:val="0"/>
      <w:marBottom w:val="0"/>
      <w:divBdr>
        <w:top w:val="none" w:sz="0" w:space="0" w:color="auto"/>
        <w:left w:val="none" w:sz="0" w:space="0" w:color="auto"/>
        <w:bottom w:val="none" w:sz="0" w:space="0" w:color="auto"/>
        <w:right w:val="none" w:sz="0" w:space="0" w:color="auto"/>
      </w:divBdr>
    </w:div>
    <w:div w:id="897478338">
      <w:bodyDiv w:val="1"/>
      <w:marLeft w:val="0"/>
      <w:marRight w:val="0"/>
      <w:marTop w:val="0"/>
      <w:marBottom w:val="0"/>
      <w:divBdr>
        <w:top w:val="none" w:sz="0" w:space="0" w:color="auto"/>
        <w:left w:val="none" w:sz="0" w:space="0" w:color="auto"/>
        <w:bottom w:val="none" w:sz="0" w:space="0" w:color="auto"/>
        <w:right w:val="none" w:sz="0" w:space="0" w:color="auto"/>
      </w:divBdr>
    </w:div>
    <w:div w:id="925531292">
      <w:bodyDiv w:val="1"/>
      <w:marLeft w:val="0"/>
      <w:marRight w:val="0"/>
      <w:marTop w:val="0"/>
      <w:marBottom w:val="0"/>
      <w:divBdr>
        <w:top w:val="none" w:sz="0" w:space="0" w:color="auto"/>
        <w:left w:val="none" w:sz="0" w:space="0" w:color="auto"/>
        <w:bottom w:val="none" w:sz="0" w:space="0" w:color="auto"/>
        <w:right w:val="none" w:sz="0" w:space="0" w:color="auto"/>
      </w:divBdr>
    </w:div>
    <w:div w:id="927081605">
      <w:bodyDiv w:val="1"/>
      <w:marLeft w:val="0"/>
      <w:marRight w:val="0"/>
      <w:marTop w:val="0"/>
      <w:marBottom w:val="0"/>
      <w:divBdr>
        <w:top w:val="none" w:sz="0" w:space="0" w:color="auto"/>
        <w:left w:val="none" w:sz="0" w:space="0" w:color="auto"/>
        <w:bottom w:val="none" w:sz="0" w:space="0" w:color="auto"/>
        <w:right w:val="none" w:sz="0" w:space="0" w:color="auto"/>
      </w:divBdr>
    </w:div>
    <w:div w:id="950866866">
      <w:bodyDiv w:val="1"/>
      <w:marLeft w:val="0"/>
      <w:marRight w:val="0"/>
      <w:marTop w:val="0"/>
      <w:marBottom w:val="0"/>
      <w:divBdr>
        <w:top w:val="none" w:sz="0" w:space="0" w:color="auto"/>
        <w:left w:val="none" w:sz="0" w:space="0" w:color="auto"/>
        <w:bottom w:val="none" w:sz="0" w:space="0" w:color="auto"/>
        <w:right w:val="none" w:sz="0" w:space="0" w:color="auto"/>
      </w:divBdr>
    </w:div>
    <w:div w:id="979462407">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1353710">
      <w:bodyDiv w:val="1"/>
      <w:marLeft w:val="0"/>
      <w:marRight w:val="0"/>
      <w:marTop w:val="0"/>
      <w:marBottom w:val="0"/>
      <w:divBdr>
        <w:top w:val="none" w:sz="0" w:space="0" w:color="auto"/>
        <w:left w:val="none" w:sz="0" w:space="0" w:color="auto"/>
        <w:bottom w:val="none" w:sz="0" w:space="0" w:color="auto"/>
        <w:right w:val="none" w:sz="0" w:space="0" w:color="auto"/>
      </w:divBdr>
    </w:div>
    <w:div w:id="1071662977">
      <w:bodyDiv w:val="1"/>
      <w:marLeft w:val="0"/>
      <w:marRight w:val="0"/>
      <w:marTop w:val="0"/>
      <w:marBottom w:val="0"/>
      <w:divBdr>
        <w:top w:val="none" w:sz="0" w:space="0" w:color="auto"/>
        <w:left w:val="none" w:sz="0" w:space="0" w:color="auto"/>
        <w:bottom w:val="none" w:sz="0" w:space="0" w:color="auto"/>
        <w:right w:val="none" w:sz="0" w:space="0" w:color="auto"/>
      </w:divBdr>
    </w:div>
    <w:div w:id="1094280798">
      <w:bodyDiv w:val="1"/>
      <w:marLeft w:val="0"/>
      <w:marRight w:val="0"/>
      <w:marTop w:val="0"/>
      <w:marBottom w:val="0"/>
      <w:divBdr>
        <w:top w:val="none" w:sz="0" w:space="0" w:color="auto"/>
        <w:left w:val="none" w:sz="0" w:space="0" w:color="auto"/>
        <w:bottom w:val="none" w:sz="0" w:space="0" w:color="auto"/>
        <w:right w:val="none" w:sz="0" w:space="0" w:color="auto"/>
      </w:divBdr>
    </w:div>
    <w:div w:id="1145002456">
      <w:bodyDiv w:val="1"/>
      <w:marLeft w:val="0"/>
      <w:marRight w:val="0"/>
      <w:marTop w:val="0"/>
      <w:marBottom w:val="0"/>
      <w:divBdr>
        <w:top w:val="none" w:sz="0" w:space="0" w:color="auto"/>
        <w:left w:val="none" w:sz="0" w:space="0" w:color="auto"/>
        <w:bottom w:val="none" w:sz="0" w:space="0" w:color="auto"/>
        <w:right w:val="none" w:sz="0" w:space="0" w:color="auto"/>
      </w:divBdr>
    </w:div>
    <w:div w:id="1154250501">
      <w:bodyDiv w:val="1"/>
      <w:marLeft w:val="0"/>
      <w:marRight w:val="0"/>
      <w:marTop w:val="0"/>
      <w:marBottom w:val="0"/>
      <w:divBdr>
        <w:top w:val="none" w:sz="0" w:space="0" w:color="auto"/>
        <w:left w:val="none" w:sz="0" w:space="0" w:color="auto"/>
        <w:bottom w:val="none" w:sz="0" w:space="0" w:color="auto"/>
        <w:right w:val="none" w:sz="0" w:space="0" w:color="auto"/>
      </w:divBdr>
    </w:div>
    <w:div w:id="1154443877">
      <w:bodyDiv w:val="1"/>
      <w:marLeft w:val="0"/>
      <w:marRight w:val="0"/>
      <w:marTop w:val="0"/>
      <w:marBottom w:val="0"/>
      <w:divBdr>
        <w:top w:val="none" w:sz="0" w:space="0" w:color="auto"/>
        <w:left w:val="none" w:sz="0" w:space="0" w:color="auto"/>
        <w:bottom w:val="none" w:sz="0" w:space="0" w:color="auto"/>
        <w:right w:val="none" w:sz="0" w:space="0" w:color="auto"/>
      </w:divBdr>
    </w:div>
    <w:div w:id="1164004477">
      <w:bodyDiv w:val="1"/>
      <w:marLeft w:val="0"/>
      <w:marRight w:val="0"/>
      <w:marTop w:val="0"/>
      <w:marBottom w:val="0"/>
      <w:divBdr>
        <w:top w:val="none" w:sz="0" w:space="0" w:color="auto"/>
        <w:left w:val="none" w:sz="0" w:space="0" w:color="auto"/>
        <w:bottom w:val="none" w:sz="0" w:space="0" w:color="auto"/>
        <w:right w:val="none" w:sz="0" w:space="0" w:color="auto"/>
      </w:divBdr>
    </w:div>
    <w:div w:id="1168130343">
      <w:bodyDiv w:val="1"/>
      <w:marLeft w:val="0"/>
      <w:marRight w:val="0"/>
      <w:marTop w:val="0"/>
      <w:marBottom w:val="0"/>
      <w:divBdr>
        <w:top w:val="none" w:sz="0" w:space="0" w:color="auto"/>
        <w:left w:val="none" w:sz="0" w:space="0" w:color="auto"/>
        <w:bottom w:val="none" w:sz="0" w:space="0" w:color="auto"/>
        <w:right w:val="none" w:sz="0" w:space="0" w:color="auto"/>
      </w:divBdr>
    </w:div>
    <w:div w:id="1176575850">
      <w:bodyDiv w:val="1"/>
      <w:marLeft w:val="0"/>
      <w:marRight w:val="0"/>
      <w:marTop w:val="0"/>
      <w:marBottom w:val="0"/>
      <w:divBdr>
        <w:top w:val="none" w:sz="0" w:space="0" w:color="auto"/>
        <w:left w:val="none" w:sz="0" w:space="0" w:color="auto"/>
        <w:bottom w:val="none" w:sz="0" w:space="0" w:color="auto"/>
        <w:right w:val="none" w:sz="0" w:space="0" w:color="auto"/>
      </w:divBdr>
    </w:div>
    <w:div w:id="1214536968">
      <w:bodyDiv w:val="1"/>
      <w:marLeft w:val="0"/>
      <w:marRight w:val="0"/>
      <w:marTop w:val="0"/>
      <w:marBottom w:val="0"/>
      <w:divBdr>
        <w:top w:val="none" w:sz="0" w:space="0" w:color="auto"/>
        <w:left w:val="none" w:sz="0" w:space="0" w:color="auto"/>
        <w:bottom w:val="none" w:sz="0" w:space="0" w:color="auto"/>
        <w:right w:val="none" w:sz="0" w:space="0" w:color="auto"/>
      </w:divBdr>
    </w:div>
    <w:div w:id="1241599514">
      <w:bodyDiv w:val="1"/>
      <w:marLeft w:val="0"/>
      <w:marRight w:val="0"/>
      <w:marTop w:val="0"/>
      <w:marBottom w:val="0"/>
      <w:divBdr>
        <w:top w:val="none" w:sz="0" w:space="0" w:color="auto"/>
        <w:left w:val="none" w:sz="0" w:space="0" w:color="auto"/>
        <w:bottom w:val="none" w:sz="0" w:space="0" w:color="auto"/>
        <w:right w:val="none" w:sz="0" w:space="0" w:color="auto"/>
      </w:divBdr>
    </w:div>
    <w:div w:id="1271158709">
      <w:bodyDiv w:val="1"/>
      <w:marLeft w:val="0"/>
      <w:marRight w:val="0"/>
      <w:marTop w:val="0"/>
      <w:marBottom w:val="0"/>
      <w:divBdr>
        <w:top w:val="none" w:sz="0" w:space="0" w:color="auto"/>
        <w:left w:val="none" w:sz="0" w:space="0" w:color="auto"/>
        <w:bottom w:val="none" w:sz="0" w:space="0" w:color="auto"/>
        <w:right w:val="none" w:sz="0" w:space="0" w:color="auto"/>
      </w:divBdr>
    </w:div>
    <w:div w:id="1336224989">
      <w:bodyDiv w:val="1"/>
      <w:marLeft w:val="0"/>
      <w:marRight w:val="0"/>
      <w:marTop w:val="0"/>
      <w:marBottom w:val="0"/>
      <w:divBdr>
        <w:top w:val="none" w:sz="0" w:space="0" w:color="auto"/>
        <w:left w:val="none" w:sz="0" w:space="0" w:color="auto"/>
        <w:bottom w:val="none" w:sz="0" w:space="0" w:color="auto"/>
        <w:right w:val="none" w:sz="0" w:space="0" w:color="auto"/>
      </w:divBdr>
    </w:div>
    <w:div w:id="1497380240">
      <w:bodyDiv w:val="1"/>
      <w:marLeft w:val="0"/>
      <w:marRight w:val="0"/>
      <w:marTop w:val="0"/>
      <w:marBottom w:val="0"/>
      <w:divBdr>
        <w:top w:val="none" w:sz="0" w:space="0" w:color="auto"/>
        <w:left w:val="none" w:sz="0" w:space="0" w:color="auto"/>
        <w:bottom w:val="none" w:sz="0" w:space="0" w:color="auto"/>
        <w:right w:val="none" w:sz="0" w:space="0" w:color="auto"/>
      </w:divBdr>
    </w:div>
    <w:div w:id="1534346214">
      <w:bodyDiv w:val="1"/>
      <w:marLeft w:val="0"/>
      <w:marRight w:val="0"/>
      <w:marTop w:val="0"/>
      <w:marBottom w:val="0"/>
      <w:divBdr>
        <w:top w:val="none" w:sz="0" w:space="0" w:color="auto"/>
        <w:left w:val="none" w:sz="0" w:space="0" w:color="auto"/>
        <w:bottom w:val="none" w:sz="0" w:space="0" w:color="auto"/>
        <w:right w:val="none" w:sz="0" w:space="0" w:color="auto"/>
      </w:divBdr>
    </w:div>
    <w:div w:id="1600022958">
      <w:bodyDiv w:val="1"/>
      <w:marLeft w:val="0"/>
      <w:marRight w:val="0"/>
      <w:marTop w:val="0"/>
      <w:marBottom w:val="0"/>
      <w:divBdr>
        <w:top w:val="none" w:sz="0" w:space="0" w:color="auto"/>
        <w:left w:val="none" w:sz="0" w:space="0" w:color="auto"/>
        <w:bottom w:val="none" w:sz="0" w:space="0" w:color="auto"/>
        <w:right w:val="none" w:sz="0" w:space="0" w:color="auto"/>
      </w:divBdr>
    </w:div>
    <w:div w:id="1611280162">
      <w:bodyDiv w:val="1"/>
      <w:marLeft w:val="0"/>
      <w:marRight w:val="0"/>
      <w:marTop w:val="0"/>
      <w:marBottom w:val="0"/>
      <w:divBdr>
        <w:top w:val="none" w:sz="0" w:space="0" w:color="auto"/>
        <w:left w:val="none" w:sz="0" w:space="0" w:color="auto"/>
        <w:bottom w:val="none" w:sz="0" w:space="0" w:color="auto"/>
        <w:right w:val="none" w:sz="0" w:space="0" w:color="auto"/>
      </w:divBdr>
    </w:div>
    <w:div w:id="1617834617">
      <w:bodyDiv w:val="1"/>
      <w:marLeft w:val="0"/>
      <w:marRight w:val="0"/>
      <w:marTop w:val="0"/>
      <w:marBottom w:val="0"/>
      <w:divBdr>
        <w:top w:val="none" w:sz="0" w:space="0" w:color="auto"/>
        <w:left w:val="none" w:sz="0" w:space="0" w:color="auto"/>
        <w:bottom w:val="none" w:sz="0" w:space="0" w:color="auto"/>
        <w:right w:val="none" w:sz="0" w:space="0" w:color="auto"/>
      </w:divBdr>
    </w:div>
    <w:div w:id="1637372163">
      <w:bodyDiv w:val="1"/>
      <w:marLeft w:val="0"/>
      <w:marRight w:val="0"/>
      <w:marTop w:val="0"/>
      <w:marBottom w:val="0"/>
      <w:divBdr>
        <w:top w:val="none" w:sz="0" w:space="0" w:color="auto"/>
        <w:left w:val="none" w:sz="0" w:space="0" w:color="auto"/>
        <w:bottom w:val="none" w:sz="0" w:space="0" w:color="auto"/>
        <w:right w:val="none" w:sz="0" w:space="0" w:color="auto"/>
      </w:divBdr>
    </w:div>
    <w:div w:id="1708947342">
      <w:bodyDiv w:val="1"/>
      <w:marLeft w:val="0"/>
      <w:marRight w:val="0"/>
      <w:marTop w:val="0"/>
      <w:marBottom w:val="0"/>
      <w:divBdr>
        <w:top w:val="none" w:sz="0" w:space="0" w:color="auto"/>
        <w:left w:val="none" w:sz="0" w:space="0" w:color="auto"/>
        <w:bottom w:val="none" w:sz="0" w:space="0" w:color="auto"/>
        <w:right w:val="none" w:sz="0" w:space="0" w:color="auto"/>
      </w:divBdr>
    </w:div>
    <w:div w:id="1757633172">
      <w:bodyDiv w:val="1"/>
      <w:marLeft w:val="0"/>
      <w:marRight w:val="0"/>
      <w:marTop w:val="0"/>
      <w:marBottom w:val="0"/>
      <w:divBdr>
        <w:top w:val="none" w:sz="0" w:space="0" w:color="auto"/>
        <w:left w:val="none" w:sz="0" w:space="0" w:color="auto"/>
        <w:bottom w:val="none" w:sz="0" w:space="0" w:color="auto"/>
        <w:right w:val="none" w:sz="0" w:space="0" w:color="auto"/>
      </w:divBdr>
    </w:div>
    <w:div w:id="1772822251">
      <w:bodyDiv w:val="1"/>
      <w:marLeft w:val="0"/>
      <w:marRight w:val="0"/>
      <w:marTop w:val="0"/>
      <w:marBottom w:val="0"/>
      <w:divBdr>
        <w:top w:val="none" w:sz="0" w:space="0" w:color="auto"/>
        <w:left w:val="none" w:sz="0" w:space="0" w:color="auto"/>
        <w:bottom w:val="none" w:sz="0" w:space="0" w:color="auto"/>
        <w:right w:val="none" w:sz="0" w:space="0" w:color="auto"/>
      </w:divBdr>
    </w:div>
    <w:div w:id="1774206424">
      <w:bodyDiv w:val="1"/>
      <w:marLeft w:val="0"/>
      <w:marRight w:val="0"/>
      <w:marTop w:val="0"/>
      <w:marBottom w:val="0"/>
      <w:divBdr>
        <w:top w:val="none" w:sz="0" w:space="0" w:color="auto"/>
        <w:left w:val="none" w:sz="0" w:space="0" w:color="auto"/>
        <w:bottom w:val="none" w:sz="0" w:space="0" w:color="auto"/>
        <w:right w:val="none" w:sz="0" w:space="0" w:color="auto"/>
      </w:divBdr>
    </w:div>
    <w:div w:id="1809395552">
      <w:bodyDiv w:val="1"/>
      <w:marLeft w:val="0"/>
      <w:marRight w:val="0"/>
      <w:marTop w:val="0"/>
      <w:marBottom w:val="0"/>
      <w:divBdr>
        <w:top w:val="none" w:sz="0" w:space="0" w:color="auto"/>
        <w:left w:val="none" w:sz="0" w:space="0" w:color="auto"/>
        <w:bottom w:val="none" w:sz="0" w:space="0" w:color="auto"/>
        <w:right w:val="none" w:sz="0" w:space="0" w:color="auto"/>
      </w:divBdr>
    </w:div>
    <w:div w:id="1831676910">
      <w:bodyDiv w:val="1"/>
      <w:marLeft w:val="0"/>
      <w:marRight w:val="0"/>
      <w:marTop w:val="0"/>
      <w:marBottom w:val="0"/>
      <w:divBdr>
        <w:top w:val="none" w:sz="0" w:space="0" w:color="auto"/>
        <w:left w:val="none" w:sz="0" w:space="0" w:color="auto"/>
        <w:bottom w:val="none" w:sz="0" w:space="0" w:color="auto"/>
        <w:right w:val="none" w:sz="0" w:space="0" w:color="auto"/>
      </w:divBdr>
    </w:div>
    <w:div w:id="1960793797">
      <w:bodyDiv w:val="1"/>
      <w:marLeft w:val="0"/>
      <w:marRight w:val="0"/>
      <w:marTop w:val="0"/>
      <w:marBottom w:val="0"/>
      <w:divBdr>
        <w:top w:val="none" w:sz="0" w:space="0" w:color="auto"/>
        <w:left w:val="none" w:sz="0" w:space="0" w:color="auto"/>
        <w:bottom w:val="none" w:sz="0" w:space="0" w:color="auto"/>
        <w:right w:val="none" w:sz="0" w:space="0" w:color="auto"/>
      </w:divBdr>
    </w:div>
    <w:div w:id="2000230588">
      <w:bodyDiv w:val="1"/>
      <w:marLeft w:val="0"/>
      <w:marRight w:val="0"/>
      <w:marTop w:val="0"/>
      <w:marBottom w:val="0"/>
      <w:divBdr>
        <w:top w:val="none" w:sz="0" w:space="0" w:color="auto"/>
        <w:left w:val="none" w:sz="0" w:space="0" w:color="auto"/>
        <w:bottom w:val="none" w:sz="0" w:space="0" w:color="auto"/>
        <w:right w:val="none" w:sz="0" w:space="0" w:color="auto"/>
      </w:divBdr>
    </w:div>
    <w:div w:id="2020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image" Target="media/image11.emf"/><Relationship Id="rId63" Type="http://schemas.openxmlformats.org/officeDocument/2006/relationships/header" Target="header20.xml"/><Relationship Id="rId68" Type="http://schemas.openxmlformats.org/officeDocument/2006/relationships/image" Target="media/image18.emf"/><Relationship Id="rId76" Type="http://schemas.openxmlformats.org/officeDocument/2006/relationships/image" Target="media/image20.e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5.emf"/><Relationship Id="rId40" Type="http://schemas.openxmlformats.org/officeDocument/2006/relationships/header" Target="header14.xml"/><Relationship Id="rId45" Type="http://schemas.openxmlformats.org/officeDocument/2006/relationships/image" Target="media/image7.emf"/><Relationship Id="rId53" Type="http://schemas.openxmlformats.org/officeDocument/2006/relationships/image" Target="media/image9.emf"/><Relationship Id="rId58" Type="http://schemas.openxmlformats.org/officeDocument/2006/relationships/image" Target="media/image14.emf"/><Relationship Id="rId66" Type="http://schemas.openxmlformats.org/officeDocument/2006/relationships/header" Target="header21.xml"/><Relationship Id="rId74" Type="http://schemas.openxmlformats.org/officeDocument/2006/relationships/header" Target="header24.xml"/><Relationship Id="rId79" Type="http://schemas.openxmlformats.org/officeDocument/2006/relationships/footer" Target="footer25.xml"/><Relationship Id="rId5" Type="http://schemas.openxmlformats.org/officeDocument/2006/relationships/settings" Target="settings.xml"/><Relationship Id="rId61" Type="http://schemas.openxmlformats.org/officeDocument/2006/relationships/image" Target="media/image17.png"/><Relationship Id="rId82" Type="http://schemas.openxmlformats.org/officeDocument/2006/relationships/footer" Target="foot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5.xml"/><Relationship Id="rId52" Type="http://schemas.openxmlformats.org/officeDocument/2006/relationships/image" Target="media/image8.emf"/><Relationship Id="rId60" Type="http://schemas.openxmlformats.org/officeDocument/2006/relationships/image" Target="media/image16.png"/><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26.xml"/><Relationship Id="rId81"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3.emf"/><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image" Target="media/image12.emf"/><Relationship Id="rId64" Type="http://schemas.openxmlformats.org/officeDocument/2006/relationships/footer" Target="footer19.xml"/><Relationship Id="rId69" Type="http://schemas.openxmlformats.org/officeDocument/2006/relationships/image" Target="media/image19.emf"/><Relationship Id="rId77"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2.xml"/><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6.emf"/><Relationship Id="rId46" Type="http://schemas.openxmlformats.org/officeDocument/2006/relationships/header" Target="header16.xml"/><Relationship Id="rId59" Type="http://schemas.openxmlformats.org/officeDocument/2006/relationships/image" Target="media/image15.emf"/><Relationship Id="rId67" Type="http://schemas.openxmlformats.org/officeDocument/2006/relationships/footer" Target="footer21.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image" Target="media/image10.emf"/><Relationship Id="rId62" Type="http://schemas.openxmlformats.org/officeDocument/2006/relationships/header" Target="header19.xml"/><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emf"/><Relationship Id="rId49" Type="http://schemas.openxmlformats.org/officeDocument/2006/relationships/footer" Target="footer17.xml"/><Relationship Id="rId57" Type="http://schemas.openxmlformats.org/officeDocument/2006/relationships/image" Target="media/image13.emf"/></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OM%3A2018%3A380%3AFIN" TargetMode="External"/><Relationship Id="rId3" Type="http://schemas.openxmlformats.org/officeDocument/2006/relationships/hyperlink" Target="https://publications.europa.eu/en/publication-detail/-/publication/8c4ba2de-ce2f-11e5-a4b5-01aa75ed71a1/language-en" TargetMode="External"/><Relationship Id="rId7" Type="http://schemas.openxmlformats.org/officeDocument/2006/relationships/hyperlink" Target="https://eur-lex.europa.eu/legal-content/EN/TXT/PDF/?uri=CELEX:52018DC0297&amp;qid=1538573624938&amp;from=EN" TargetMode="External"/><Relationship Id="rId2" Type="http://schemas.openxmlformats.org/officeDocument/2006/relationships/hyperlink" Target="https://ec.europa.eu/eurostat/web/products-manuals-and-guidelines/-/KS-RA-07-015" TargetMode="External"/><Relationship Id="rId1" Type="http://schemas.openxmlformats.org/officeDocument/2006/relationships/hyperlink" Target="https://eur-lex.europa.eu/legal-content/BG/TXT/HTML/?uri=CELEX:52018DC0321&amp;from=EN" TargetMode="External"/><Relationship Id="rId6" Type="http://schemas.openxmlformats.org/officeDocument/2006/relationships/hyperlink" Target="https://publications.europa.eu/en/publication-detail/-/publication/57273012-b7cb-11e8-99ee-01aa75ed71a1/language-en" TargetMode="External"/><Relationship Id="rId5" Type="http://schemas.openxmlformats.org/officeDocument/2006/relationships/hyperlink" Target="https://eur-lex.europa.eu/legal-content/BG/TXT/?qid=1562591970533&amp;uri=CELEX:52018SC0192" TargetMode="External"/><Relationship Id="rId10" Type="http://schemas.openxmlformats.org/officeDocument/2006/relationships/hyperlink" Target="https://ec.europa.eu/transparency/regdoc/rep/10102/2018/EN/SWD-2018-289-F1-EN-MAIN-PART-1.PDF" TargetMode="External"/><Relationship Id="rId4" Type="http://schemas.openxmlformats.org/officeDocument/2006/relationships/hyperlink" Target="https://ec.europa.eu/social/main.jsp?catId=326&amp;langId=en" TargetMode="External"/><Relationship Id="rId9" Type="http://schemas.openxmlformats.org/officeDocument/2006/relationships/hyperlink" Target="https://eur-lex.europa.eu/legal-content/BG/TXT/?uri=CELEX%3A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C784-B5D6-46DA-9B72-B7F813FA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7797</Words>
  <Characters>43434</Characters>
  <Application>Microsoft Office Word</Application>
  <DocSecurity>0</DocSecurity>
  <Lines>775</Lines>
  <Paragraphs>256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35</cp:revision>
  <cp:lastPrinted>2019-07-23T09:03:00Z</cp:lastPrinted>
  <dcterms:created xsi:type="dcterms:W3CDTF">2019-08-07T16:13:00Z</dcterms:created>
  <dcterms:modified xsi:type="dcterms:W3CDTF">2019-09-09T12:31:00Z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