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89EB931A-F2E2-4159-BCE7-1F22936FFAA7" style="width:450pt;height:367.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8"/>
          <w:szCs w:val="28"/>
        </w:rPr>
      </w:pPr>
      <w:bookmarkStart w:id="1" w:name="_GoBack"/>
      <w:bookmarkEnd w:id="1"/>
      <w:r>
        <w:rPr>
          <w:rFonts w:ascii="Times New Roman" w:hAnsi="Times New Roman" w:cs="Times New Roman"/>
          <w:b/>
          <w:noProof/>
          <w:sz w:val="28"/>
          <w:szCs w:val="28"/>
        </w:rPr>
        <w:lastRenderedPageBreak/>
        <w:t>TABLE OF CONTENTS</w:t>
      </w:r>
    </w:p>
    <w:p>
      <w:pPr>
        <w:jc w:val="both"/>
        <w:rPr>
          <w:rFonts w:ascii="Times New Roman" w:hAnsi="Times New Roman" w:cs="Times New Roman"/>
          <w:b/>
          <w:noProof/>
          <w:sz w:val="28"/>
          <w:szCs w:val="28"/>
        </w:rPr>
      </w:pPr>
    </w:p>
    <w:sdt>
      <w:sdtPr>
        <w:rPr>
          <w:rFonts w:asciiTheme="minorHAnsi" w:hAnsiTheme="minorHAnsi"/>
          <w:noProof/>
        </w:rPr>
        <w:id w:val="-1626144639"/>
        <w:docPartObj>
          <w:docPartGallery w:val="Table of Contents"/>
          <w:docPartUnique/>
        </w:docPartObj>
      </w:sdtPr>
      <w:sdtEndPr>
        <w:rPr>
          <w:rFonts w:cs="Times New Roman"/>
          <w:b/>
          <w:bCs/>
        </w:rPr>
      </w:sdtEndPr>
      <w:sdtContent>
        <w:p>
          <w:pPr>
            <w:pStyle w:val="TOC1"/>
            <w:rPr>
              <w:rFonts w:asciiTheme="minorHAnsi" w:eastAsiaTheme="minorEastAsia" w:hAnsiTheme="minorHAnsi"/>
              <w:noProof/>
              <w:lang w:eastAsia="en-GB"/>
            </w:rPr>
          </w:pPr>
          <w:r>
            <w:rPr>
              <w:noProof/>
            </w:rPr>
            <w:fldChar w:fldCharType="begin"/>
          </w:r>
          <w:r>
            <w:rPr>
              <w:noProof/>
            </w:rPr>
            <w:instrText xml:space="preserve"> TOC \o "1-3" \h \z \u </w:instrText>
          </w:r>
          <w:r>
            <w:rPr>
              <w:noProof/>
            </w:rPr>
            <w:fldChar w:fldCharType="separate"/>
          </w:r>
          <w:hyperlink w:anchor="_Toc6243372" w:history="1">
            <w:r>
              <w:rPr>
                <w:rStyle w:val="Hyperlink"/>
                <w:rFonts w:eastAsia="Times New Roman" w:cs="Times New Roman"/>
                <w:noProof/>
              </w:rPr>
              <w:t xml:space="preserve">1. </w:t>
            </w:r>
            <w:r>
              <w:rPr>
                <w:rStyle w:val="Hyperlink"/>
                <w:rFonts w:eastAsia="Times New Roman" w:cs="Times New Roman"/>
                <w:noProof/>
                <w:sz w:val="24"/>
                <w:szCs w:val="24"/>
              </w:rPr>
              <w:t>Cumulative data for the current programming period  (1 Janu</w:t>
            </w:r>
            <w:r>
              <w:rPr>
                <w:rStyle w:val="Hyperlink"/>
                <w:rFonts w:eastAsia="Times New Roman" w:cs="Times New Roman"/>
                <w:noProof/>
              </w:rPr>
              <w:t>ary 2014-31 December 2018)</w:t>
            </w:r>
            <w:r>
              <w:rPr>
                <w:noProof/>
                <w:webHidden/>
              </w:rPr>
              <w:tab/>
            </w:r>
            <w:r>
              <w:rPr>
                <w:noProof/>
                <w:webHidden/>
              </w:rPr>
              <w:fldChar w:fldCharType="begin"/>
            </w:r>
            <w:r>
              <w:rPr>
                <w:noProof/>
                <w:webHidden/>
              </w:rPr>
              <w:instrText xml:space="preserve"> PAGEREF _Toc6243372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73" w:history="1">
            <w:r>
              <w:rPr>
                <w:rStyle w:val="Hyperlink"/>
                <w:rFonts w:eastAsia="Calibri" w:cs="Times New Roman"/>
                <w:noProof/>
              </w:rPr>
              <w:t>Chart 1: Number of applications submitted</w:t>
            </w:r>
            <w:r>
              <w:rPr>
                <w:noProof/>
                <w:webHidden/>
              </w:rPr>
              <w:tab/>
            </w:r>
            <w:r>
              <w:rPr>
                <w:noProof/>
                <w:webHidden/>
              </w:rPr>
              <w:fldChar w:fldCharType="begin"/>
            </w:r>
            <w:r>
              <w:rPr>
                <w:noProof/>
                <w:webHidden/>
              </w:rPr>
              <w:instrText xml:space="preserve"> PAGEREF _Toc6243373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74" w:history="1">
            <w:r>
              <w:rPr>
                <w:rStyle w:val="Hyperlink"/>
                <w:rFonts w:eastAsia="Calibri" w:cs="Times New Roman"/>
                <w:noProof/>
              </w:rPr>
              <w:t>Chart 2: Number of applications per sector</w:t>
            </w:r>
            <w:r>
              <w:rPr>
                <w:noProof/>
                <w:webHidden/>
              </w:rPr>
              <w:tab/>
            </w:r>
            <w:r>
              <w:rPr>
                <w:noProof/>
                <w:webHidden/>
              </w:rPr>
              <w:fldChar w:fldCharType="begin"/>
            </w:r>
            <w:r>
              <w:rPr>
                <w:noProof/>
                <w:webHidden/>
              </w:rPr>
              <w:instrText xml:space="preserve"> PAGEREF _Toc6243374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75" w:history="1">
            <w:r>
              <w:rPr>
                <w:rStyle w:val="Hyperlink"/>
                <w:rFonts w:eastAsia="Calibri" w:cs="Times New Roman"/>
                <w:noProof/>
              </w:rPr>
              <w:t>Chart 3: Number of targeted workers per sector</w:t>
            </w:r>
            <w:r>
              <w:rPr>
                <w:noProof/>
                <w:webHidden/>
              </w:rPr>
              <w:tab/>
            </w:r>
            <w:r>
              <w:rPr>
                <w:noProof/>
                <w:webHidden/>
              </w:rPr>
              <w:fldChar w:fldCharType="begin"/>
            </w:r>
            <w:r>
              <w:rPr>
                <w:noProof/>
                <w:webHidden/>
              </w:rPr>
              <w:instrText xml:space="preserve"> PAGEREF _Toc6243375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76" w:history="1">
            <w:r>
              <w:rPr>
                <w:rStyle w:val="Hyperlink"/>
                <w:rFonts w:eastAsia="Calibri" w:cs="Times New Roman"/>
                <w:noProof/>
              </w:rPr>
              <w:t>Chart 4: Number of targeted beneficiaries per Member State</w:t>
            </w:r>
            <w:r>
              <w:rPr>
                <w:noProof/>
                <w:webHidden/>
              </w:rPr>
              <w:tab/>
            </w:r>
            <w:r>
              <w:rPr>
                <w:noProof/>
                <w:webHidden/>
              </w:rPr>
              <w:fldChar w:fldCharType="begin"/>
            </w:r>
            <w:r>
              <w:rPr>
                <w:noProof/>
                <w:webHidden/>
              </w:rPr>
              <w:instrText xml:space="preserve"> PAGEREF _Toc6243376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77" w:history="1">
            <w:r>
              <w:rPr>
                <w:rStyle w:val="Hyperlink"/>
                <w:rFonts w:eastAsia="Calibri" w:cs="Times New Roman"/>
                <w:noProof/>
              </w:rPr>
              <w:t>Chart 5: Number of dismissed, targeted and assisted workers</w:t>
            </w:r>
            <w:r>
              <w:rPr>
                <w:noProof/>
                <w:webHidden/>
              </w:rPr>
              <w:tab/>
            </w:r>
            <w:r>
              <w:rPr>
                <w:noProof/>
                <w:webHidden/>
              </w:rPr>
              <w:fldChar w:fldCharType="begin"/>
            </w:r>
            <w:r>
              <w:rPr>
                <w:noProof/>
                <w:webHidden/>
              </w:rPr>
              <w:instrText xml:space="preserve"> PAGEREF _Toc6243377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78" w:history="1">
            <w:r>
              <w:rPr>
                <w:rStyle w:val="Hyperlink"/>
                <w:rFonts w:eastAsia="Calibri" w:cs="Times New Roman"/>
                <w:noProof/>
              </w:rPr>
              <w:t>Chart 6: Number of dismissed, targeted and assisted workers per Member State</w:t>
            </w:r>
            <w:r>
              <w:rPr>
                <w:noProof/>
                <w:webHidden/>
              </w:rPr>
              <w:tab/>
            </w:r>
            <w:r>
              <w:rPr>
                <w:noProof/>
                <w:webHidden/>
              </w:rPr>
              <w:fldChar w:fldCharType="begin"/>
            </w:r>
            <w:r>
              <w:rPr>
                <w:noProof/>
                <w:webHidden/>
              </w:rPr>
              <w:instrText xml:space="preserve"> PAGEREF _Toc6243378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79" w:history="1">
            <w:r>
              <w:rPr>
                <w:rStyle w:val="Hyperlink"/>
                <w:rFonts w:eastAsia="Calibri" w:cs="Times New Roman"/>
                <w:noProof/>
              </w:rPr>
              <w:t>Chart 7: EGF amounts requested per Member State</w:t>
            </w:r>
            <w:r>
              <w:rPr>
                <w:noProof/>
                <w:webHidden/>
              </w:rPr>
              <w:tab/>
            </w:r>
            <w:r>
              <w:rPr>
                <w:noProof/>
                <w:webHidden/>
              </w:rPr>
              <w:fldChar w:fldCharType="begin"/>
            </w:r>
            <w:r>
              <w:rPr>
                <w:noProof/>
                <w:webHidden/>
              </w:rPr>
              <w:instrText xml:space="preserve"> PAGEREF _Toc6243379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0" w:history="1">
            <w:r>
              <w:rPr>
                <w:rStyle w:val="Hyperlink"/>
                <w:rFonts w:eastAsia="Calibri" w:cs="Times New Roman"/>
                <w:noProof/>
              </w:rPr>
              <w:t>Chart 8: Average EGF amount requested per beneficiary and per Member State</w:t>
            </w:r>
            <w:r>
              <w:rPr>
                <w:noProof/>
                <w:webHidden/>
              </w:rPr>
              <w:tab/>
            </w:r>
            <w:r>
              <w:rPr>
                <w:noProof/>
                <w:webHidden/>
              </w:rPr>
              <w:fldChar w:fldCharType="begin"/>
            </w:r>
            <w:r>
              <w:rPr>
                <w:noProof/>
                <w:webHidden/>
              </w:rPr>
              <w:instrText xml:space="preserve"> PAGEREF _Toc6243380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ind w:left="720"/>
            <w:rPr>
              <w:rStyle w:val="Hyperlink"/>
              <w:noProof/>
            </w:rPr>
          </w:pPr>
          <w:hyperlink w:anchor="_Toc6243381" w:history="1">
            <w:r>
              <w:rPr>
                <w:rStyle w:val="Hyperlink"/>
                <w:rFonts w:eastAsia="Calibri" w:cs="Times New Roman"/>
                <w:noProof/>
              </w:rPr>
              <w:t>Table 1: Final Reports submitted</w:t>
            </w:r>
            <w:r>
              <w:rPr>
                <w:noProof/>
                <w:webHidden/>
              </w:rPr>
              <w:tab/>
            </w:r>
            <w:r>
              <w:rPr>
                <w:noProof/>
                <w:webHidden/>
              </w:rPr>
              <w:fldChar w:fldCharType="begin"/>
            </w:r>
            <w:r>
              <w:rPr>
                <w:noProof/>
                <w:webHidden/>
              </w:rPr>
              <w:instrText xml:space="preserve"> PAGEREF _Toc6243381 \h </w:instrText>
            </w:r>
            <w:r>
              <w:rPr>
                <w:noProof/>
                <w:webHidden/>
              </w:rPr>
            </w:r>
            <w:r>
              <w:rPr>
                <w:noProof/>
                <w:webHidden/>
              </w:rPr>
              <w:fldChar w:fldCharType="separate"/>
            </w:r>
            <w:r>
              <w:rPr>
                <w:noProof/>
                <w:webHidden/>
              </w:rPr>
              <w:t>10</w:t>
            </w:r>
            <w:r>
              <w:rPr>
                <w:noProof/>
                <w:webHidden/>
              </w:rPr>
              <w:fldChar w:fldCharType="end"/>
            </w:r>
          </w:hyperlink>
        </w:p>
        <w:p>
          <w:pPr>
            <w:rPr>
              <w:noProof/>
              <w:lang w:val="en-US" w:eastAsia="ja-JP"/>
            </w:rPr>
          </w:pPr>
        </w:p>
        <w:p>
          <w:pPr>
            <w:pStyle w:val="TOC1"/>
            <w:rPr>
              <w:rFonts w:asciiTheme="minorHAnsi" w:eastAsiaTheme="minorEastAsia" w:hAnsiTheme="minorHAnsi"/>
              <w:noProof/>
              <w:lang w:eastAsia="en-GB"/>
            </w:rPr>
          </w:pPr>
          <w:hyperlink w:anchor="_Toc6243382" w:history="1">
            <w:r>
              <w:rPr>
                <w:rStyle w:val="Hyperlink"/>
                <w:rFonts w:cs="Times New Roman"/>
                <w:noProof/>
                <w:sz w:val="24"/>
                <w:szCs w:val="24"/>
              </w:rPr>
              <w:t>2. Cumulative data between 2007 and 2018</w:t>
            </w:r>
            <w:r>
              <w:rPr>
                <w:noProof/>
                <w:webHidden/>
              </w:rPr>
              <w:tab/>
            </w:r>
            <w:r>
              <w:rPr>
                <w:noProof/>
                <w:webHidden/>
              </w:rPr>
              <w:fldChar w:fldCharType="begin"/>
            </w:r>
            <w:r>
              <w:rPr>
                <w:noProof/>
                <w:webHidden/>
              </w:rPr>
              <w:instrText xml:space="preserve"> PAGEREF _Toc6243382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3" w:history="1">
            <w:r>
              <w:rPr>
                <w:rStyle w:val="Hyperlink"/>
                <w:rFonts w:cs="Times New Roman"/>
                <w:noProof/>
              </w:rPr>
              <w:t>Table 2: EGF applications submitted per Member State and per application type</w:t>
            </w:r>
            <w:r>
              <w:rPr>
                <w:noProof/>
                <w:webHidden/>
              </w:rPr>
              <w:tab/>
            </w:r>
            <w:r>
              <w:rPr>
                <w:noProof/>
                <w:webHidden/>
              </w:rPr>
              <w:fldChar w:fldCharType="begin"/>
            </w:r>
            <w:r>
              <w:rPr>
                <w:noProof/>
                <w:webHidden/>
              </w:rPr>
              <w:instrText xml:space="preserve"> PAGEREF _Toc6243383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4" w:history="1">
            <w:r>
              <w:rPr>
                <w:rStyle w:val="Hyperlink"/>
                <w:rFonts w:cs="Times New Roman"/>
                <w:noProof/>
              </w:rPr>
              <w:t>Chart 9: Number of applications submitted</w:t>
            </w:r>
            <w:r>
              <w:rPr>
                <w:noProof/>
                <w:webHidden/>
              </w:rPr>
              <w:tab/>
            </w:r>
            <w:r>
              <w:rPr>
                <w:noProof/>
                <w:webHidden/>
              </w:rPr>
              <w:fldChar w:fldCharType="begin"/>
            </w:r>
            <w:r>
              <w:rPr>
                <w:noProof/>
                <w:webHidden/>
              </w:rPr>
              <w:instrText xml:space="preserve"> PAGEREF _Toc6243384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5" w:history="1">
            <w:r>
              <w:rPr>
                <w:rStyle w:val="Hyperlink"/>
                <w:rFonts w:cs="Times New Roman"/>
                <w:noProof/>
              </w:rPr>
              <w:t>Chart 10: Number of targeted workers per Member State</w:t>
            </w:r>
            <w:r>
              <w:rPr>
                <w:noProof/>
                <w:webHidden/>
              </w:rPr>
              <w:tab/>
            </w:r>
            <w:r>
              <w:rPr>
                <w:noProof/>
                <w:webHidden/>
              </w:rPr>
              <w:fldChar w:fldCharType="begin"/>
            </w:r>
            <w:r>
              <w:rPr>
                <w:noProof/>
                <w:webHidden/>
              </w:rPr>
              <w:instrText xml:space="preserve"> PAGEREF _Toc6243385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6" w:history="1">
            <w:r>
              <w:rPr>
                <w:rStyle w:val="Hyperlink"/>
                <w:rFonts w:cs="Times New Roman"/>
                <w:noProof/>
              </w:rPr>
              <w:t>Chart 11: EGF amount requested per Member State</w:t>
            </w:r>
            <w:r>
              <w:rPr>
                <w:noProof/>
                <w:webHidden/>
              </w:rPr>
              <w:tab/>
            </w:r>
            <w:r>
              <w:rPr>
                <w:noProof/>
                <w:webHidden/>
              </w:rPr>
              <w:fldChar w:fldCharType="begin"/>
            </w:r>
            <w:r>
              <w:rPr>
                <w:noProof/>
                <w:webHidden/>
              </w:rPr>
              <w:instrText xml:space="preserve"> PAGEREF _Toc6243386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7" w:history="1">
            <w:r>
              <w:rPr>
                <w:rStyle w:val="Hyperlink"/>
                <w:rFonts w:cs="Times New Roman"/>
                <w:noProof/>
              </w:rPr>
              <w:t>Chart 12: Average EGF amount requested per beneficiary and per Member State</w:t>
            </w:r>
            <w:r>
              <w:rPr>
                <w:noProof/>
                <w:webHidden/>
              </w:rPr>
              <w:tab/>
            </w:r>
            <w:r>
              <w:rPr>
                <w:noProof/>
                <w:webHidden/>
              </w:rPr>
              <w:fldChar w:fldCharType="begin"/>
            </w:r>
            <w:r>
              <w:rPr>
                <w:noProof/>
                <w:webHidden/>
              </w:rPr>
              <w:instrText xml:space="preserve"> PAGEREF _Toc6243387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8" w:history="1">
            <w:r>
              <w:rPr>
                <w:rStyle w:val="Hyperlink"/>
                <w:rFonts w:cs="Times New Roman"/>
                <w:noProof/>
              </w:rPr>
              <w:t>Table 3:  EGF applications per sector</w:t>
            </w:r>
            <w:r>
              <w:rPr>
                <w:noProof/>
                <w:webHidden/>
              </w:rPr>
              <w:tab/>
            </w:r>
            <w:r>
              <w:rPr>
                <w:noProof/>
                <w:webHidden/>
              </w:rPr>
              <w:fldChar w:fldCharType="begin"/>
            </w:r>
            <w:r>
              <w:rPr>
                <w:noProof/>
                <w:webHidden/>
              </w:rPr>
              <w:instrText xml:space="preserve"> PAGEREF _Toc6243388 \h </w:instrText>
            </w:r>
            <w:r>
              <w:rPr>
                <w:noProof/>
                <w:webHidden/>
              </w:rPr>
            </w:r>
            <w:r>
              <w:rPr>
                <w:noProof/>
                <w:webHidden/>
              </w:rPr>
              <w:fldChar w:fldCharType="separate"/>
            </w:r>
            <w:r>
              <w:rPr>
                <w:noProof/>
                <w:webHidden/>
              </w:rPr>
              <w:t>18</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89" w:history="1">
            <w:r>
              <w:rPr>
                <w:rStyle w:val="Hyperlink"/>
                <w:rFonts w:cs="Times New Roman"/>
                <w:noProof/>
              </w:rPr>
              <w:t>Chart 13: Number of applications per sector</w:t>
            </w:r>
            <w:r>
              <w:rPr>
                <w:noProof/>
                <w:webHidden/>
              </w:rPr>
              <w:tab/>
            </w:r>
            <w:r>
              <w:rPr>
                <w:noProof/>
                <w:webHidden/>
              </w:rPr>
              <w:fldChar w:fldCharType="begin"/>
            </w:r>
            <w:r>
              <w:rPr>
                <w:noProof/>
                <w:webHidden/>
              </w:rPr>
              <w:instrText xml:space="preserve"> PAGEREF _Toc6243389 \h </w:instrText>
            </w:r>
            <w:r>
              <w:rPr>
                <w:noProof/>
                <w:webHidden/>
              </w:rPr>
            </w:r>
            <w:r>
              <w:rPr>
                <w:noProof/>
                <w:webHidden/>
              </w:rPr>
              <w:fldChar w:fldCharType="separate"/>
            </w:r>
            <w:r>
              <w:rPr>
                <w:noProof/>
                <w:webHidden/>
              </w:rPr>
              <w:t>21</w:t>
            </w:r>
            <w:r>
              <w:rPr>
                <w:noProof/>
                <w:webHidden/>
              </w:rPr>
              <w:fldChar w:fldCharType="end"/>
            </w:r>
          </w:hyperlink>
        </w:p>
        <w:p>
          <w:pPr>
            <w:pStyle w:val="TOC2"/>
            <w:tabs>
              <w:tab w:val="right" w:leader="dot" w:pos="9062"/>
            </w:tabs>
            <w:ind w:left="720"/>
            <w:rPr>
              <w:rFonts w:asciiTheme="minorHAnsi" w:hAnsiTheme="minorHAnsi"/>
              <w:noProof/>
              <w:lang w:val="en-GB" w:eastAsia="en-GB"/>
            </w:rPr>
          </w:pPr>
          <w:hyperlink w:anchor="_Toc6243390" w:history="1">
            <w:r>
              <w:rPr>
                <w:rStyle w:val="Hyperlink"/>
                <w:rFonts w:cs="Times New Roman"/>
                <w:noProof/>
              </w:rPr>
              <w:t>Chart 14: Number of targeted workers per sector</w:t>
            </w:r>
            <w:r>
              <w:rPr>
                <w:noProof/>
                <w:webHidden/>
              </w:rPr>
              <w:tab/>
            </w:r>
            <w:r>
              <w:rPr>
                <w:noProof/>
                <w:webHidden/>
              </w:rPr>
              <w:fldChar w:fldCharType="begin"/>
            </w:r>
            <w:r>
              <w:rPr>
                <w:noProof/>
                <w:webHidden/>
              </w:rPr>
              <w:instrText xml:space="preserve"> PAGEREF _Toc6243390 \h </w:instrText>
            </w:r>
            <w:r>
              <w:rPr>
                <w:noProof/>
                <w:webHidden/>
              </w:rPr>
            </w:r>
            <w:r>
              <w:rPr>
                <w:noProof/>
                <w:webHidden/>
              </w:rPr>
              <w:fldChar w:fldCharType="separate"/>
            </w:r>
            <w:r>
              <w:rPr>
                <w:noProof/>
                <w:webHidden/>
              </w:rPr>
              <w:t>22</w:t>
            </w:r>
            <w:r>
              <w:rPr>
                <w:noProof/>
                <w:webHidden/>
              </w:rPr>
              <w:fldChar w:fldCharType="end"/>
            </w:r>
          </w:hyperlink>
        </w:p>
        <w:p>
          <w:pPr>
            <w:spacing w:after="160" w:line="259" w:lineRule="auto"/>
            <w:rPr>
              <w:rFonts w:cs="Times New Roman"/>
              <w:b/>
              <w:bCs/>
              <w:noProof/>
            </w:rPr>
          </w:pPr>
          <w:r>
            <w:rPr>
              <w:rFonts w:ascii="Times New Roman" w:hAnsi="Times New Roman" w:cs="Times New Roman"/>
              <w:bCs/>
              <w:noProof/>
            </w:rPr>
            <w:fldChar w:fldCharType="end"/>
          </w:r>
        </w:p>
      </w:sdtContent>
    </w:sdt>
    <w:p>
      <w:pPr>
        <w:spacing w:after="160" w:line="259" w:lineRule="auto"/>
        <w:rPr>
          <w:rFonts w:ascii="Times New Roman" w:eastAsiaTheme="majorEastAsia" w:hAnsi="Times New Roman" w:cs="Times New Roman"/>
          <w:b/>
          <w:noProof/>
          <w:sz w:val="32"/>
          <w:szCs w:val="32"/>
        </w:rPr>
      </w:pPr>
      <w:r>
        <w:rPr>
          <w:rFonts w:ascii="Times New Roman" w:hAnsi="Times New Roman" w:cs="Times New Roman"/>
          <w:b/>
          <w:noProof/>
        </w:rPr>
        <w:br w:type="page"/>
      </w:r>
    </w:p>
    <w:p>
      <w:pPr>
        <w:pStyle w:val="Heading1"/>
        <w:rPr>
          <w:rFonts w:ascii="Times New Roman" w:eastAsia="Times New Roman" w:hAnsi="Times New Roman" w:cs="Times New Roman"/>
          <w:b/>
          <w:noProof/>
          <w:color w:val="auto"/>
        </w:rPr>
      </w:pPr>
      <w:bookmarkStart w:id="2" w:name="_Toc535577985"/>
      <w:bookmarkStart w:id="3" w:name="_Toc6243372"/>
      <w:r>
        <w:rPr>
          <w:rFonts w:ascii="Times New Roman" w:eastAsia="Times New Roman" w:hAnsi="Times New Roman" w:cs="Times New Roman"/>
          <w:b/>
          <w:noProof/>
          <w:color w:val="auto"/>
        </w:rPr>
        <w:t xml:space="preserve">1. Cumulative data for the current programming period </w:t>
      </w:r>
      <w:r>
        <w:rPr>
          <w:rFonts w:ascii="Times New Roman" w:eastAsia="Times New Roman" w:hAnsi="Times New Roman" w:cs="Times New Roman"/>
          <w:b/>
          <w:noProof/>
          <w:color w:val="auto"/>
        </w:rPr>
        <w:br/>
        <w:t>(1 January 2014-31 December 2018</w:t>
      </w:r>
      <w:bookmarkEnd w:id="2"/>
      <w:r>
        <w:rPr>
          <w:rFonts w:ascii="Times New Roman" w:eastAsia="Times New Roman" w:hAnsi="Times New Roman" w:cs="Times New Roman"/>
          <w:b/>
          <w:noProof/>
          <w:color w:val="auto"/>
        </w:rPr>
        <w:t>)</w:t>
      </w:r>
      <w:bookmarkEnd w:id="3"/>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eastAsia="Calibri" w:hAnsi="Times New Roman" w:cs="Times New Roman"/>
          <w:noProof/>
        </w:rPr>
        <w:t>Every year, more data are available to identify trends in applications and to present an overview of the direction of the fund's activities. The data in the following charts and Table 1 relate to 48 applications</w:t>
      </w:r>
      <w:r>
        <w:rPr>
          <w:rFonts w:ascii="Times New Roman" w:eastAsia="Calibri" w:hAnsi="Times New Roman" w:cs="Times New Roman"/>
          <w:noProof/>
          <w:vertAlign w:val="superscript"/>
        </w:rPr>
        <w:footnoteReference w:id="1"/>
      </w:r>
      <w:r>
        <w:rPr>
          <w:rFonts w:ascii="Times New Roman" w:eastAsia="Calibri" w:hAnsi="Times New Roman" w:cs="Times New Roman"/>
          <w:noProof/>
        </w:rPr>
        <w:t xml:space="preserve"> submitted by Member States (MS) between 2014 and 2018 under </w:t>
      </w:r>
      <w:r>
        <w:rPr>
          <w:rFonts w:ascii="Times New Roman" w:hAnsi="Times New Roman" w:cs="Times New Roman"/>
          <w:noProof/>
        </w:rPr>
        <w:t>Regulation (EU) No 1309/2013 of the European Parliament and of the Council of 17 December 2013 on the European Globalisation Adjustment Fund (2014-2020) and repealing Regulation (EC) No 1927/2006</w:t>
      </w:r>
      <w:r>
        <w:rPr>
          <w:rFonts w:ascii="Times New Roman" w:eastAsia="Calibri" w:hAnsi="Times New Roman" w:cs="Times New Roman"/>
          <w:noProof/>
        </w:rPr>
        <w:t>. A total of EUR 155 366 514 has been requested so far for measures in favour of 49 062 targeted beneficiaries</w:t>
      </w:r>
      <w:r>
        <w:rPr>
          <w:rFonts w:ascii="Times New Roman" w:eastAsia="Calibri" w:hAnsi="Times New Roman" w:cs="Times New Roman"/>
          <w:noProof/>
          <w:vertAlign w:val="superscript"/>
        </w:rPr>
        <w:footnoteReference w:id="2"/>
      </w:r>
      <w:r>
        <w:rPr>
          <w:rFonts w:ascii="Times New Roman" w:eastAsia="Calibri" w:hAnsi="Times New Roman" w:cs="Times New Roman"/>
          <w:noProof/>
        </w:rPr>
        <w:t xml:space="preserve">. </w:t>
      </w:r>
    </w:p>
    <w:p>
      <w:pPr>
        <w:tabs>
          <w:tab w:val="left" w:pos="3290"/>
        </w:tabs>
        <w:rPr>
          <w:rFonts w:ascii="Times New Roman" w:eastAsia="Calibri" w:hAnsi="Times New Roman" w:cs="Times New Roman"/>
          <w:b/>
          <w:i/>
          <w:noProof/>
        </w:rPr>
      </w:pPr>
    </w:p>
    <w:p>
      <w:pPr>
        <w:pStyle w:val="Heading2"/>
        <w:jc w:val="center"/>
        <w:rPr>
          <w:rFonts w:ascii="Times New Roman" w:eastAsia="Calibri" w:hAnsi="Times New Roman" w:cs="Times New Roman"/>
          <w:b/>
          <w:i/>
          <w:noProof/>
          <w:color w:val="auto"/>
          <w:sz w:val="24"/>
          <w:szCs w:val="24"/>
        </w:rPr>
      </w:pPr>
      <w:bookmarkStart w:id="4" w:name="_Toc6243373"/>
      <w:r>
        <w:rPr>
          <w:rFonts w:ascii="Times New Roman" w:eastAsia="Calibri" w:hAnsi="Times New Roman" w:cs="Times New Roman"/>
          <w:b/>
          <w:i/>
          <w:noProof/>
          <w:color w:val="auto"/>
          <w:sz w:val="24"/>
          <w:szCs w:val="24"/>
        </w:rPr>
        <w:t>Chart 1: Number of applications submitted between 2014 and 2018</w:t>
      </w:r>
      <w:bookmarkEnd w:id="4"/>
    </w:p>
    <w:p>
      <w:pPr>
        <w:rPr>
          <w:noProof/>
        </w:rPr>
      </w:pPr>
    </w:p>
    <w:p>
      <w:pPr>
        <w:jc w:val="center"/>
        <w:rPr>
          <w:rFonts w:ascii="Times New Roman" w:eastAsia="Calibri" w:hAnsi="Times New Roman" w:cs="Times New Roman"/>
          <w:noProof/>
        </w:rPr>
      </w:pPr>
      <w:r>
        <w:rPr>
          <w:rFonts w:ascii="Times New Roman" w:eastAsia="Calibri" w:hAnsi="Times New Roman" w:cs="Times New Roman"/>
          <w:noProof/>
          <w:lang w:eastAsia="en-GB"/>
        </w:rPr>
        <w:drawing>
          <wp:inline distT="0" distB="0" distL="0" distR="0">
            <wp:extent cx="5160397" cy="3101956"/>
            <wp:effectExtent l="0" t="0" r="254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7955" cy="3112510"/>
                    </a:xfrm>
                    <a:prstGeom prst="rect">
                      <a:avLst/>
                    </a:prstGeom>
                    <a:noFill/>
                  </pic:spPr>
                </pic:pic>
              </a:graphicData>
            </a:graphic>
          </wp:inline>
        </w:drawing>
      </w:r>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eastAsia="Calibri" w:hAnsi="Times New Roman" w:cs="Times New Roman"/>
          <w:noProof/>
        </w:rPr>
        <w:t xml:space="preserve">Between 2014 and 2018 the Commission received 19 crisis-related applications and 29 trade-related applications. The total number of applications received each year is volatile with an average of about 10 applications per year. As shown in Table 2 of the Annex, in the current programming period Greece has submitted the highest number of applications (8), followed by Finland (7) and Belgium (6). </w:t>
      </w:r>
    </w:p>
    <w:p>
      <w:pPr>
        <w:rPr>
          <w:rFonts w:ascii="Times New Roman" w:eastAsia="Calibri" w:hAnsi="Times New Roman" w:cs="Times New Roman"/>
          <w:b/>
          <w:i/>
          <w:noProof/>
        </w:rPr>
      </w:pPr>
      <w:r>
        <w:rPr>
          <w:rFonts w:ascii="Times New Roman" w:eastAsia="Calibri" w:hAnsi="Times New Roman" w:cs="Times New Roman"/>
          <w:b/>
          <w:i/>
          <w:noProof/>
        </w:rPr>
        <w:br w:type="page"/>
      </w:r>
    </w:p>
    <w:p>
      <w:pPr>
        <w:pStyle w:val="Heading2"/>
        <w:jc w:val="center"/>
        <w:rPr>
          <w:rFonts w:ascii="Times New Roman" w:eastAsia="Calibri" w:hAnsi="Times New Roman" w:cs="Times New Roman"/>
          <w:b/>
          <w:i/>
          <w:noProof/>
          <w:color w:val="auto"/>
          <w:sz w:val="24"/>
          <w:szCs w:val="24"/>
        </w:rPr>
      </w:pPr>
      <w:bookmarkStart w:id="5" w:name="_Toc6243374"/>
      <w:r>
        <w:rPr>
          <w:rFonts w:ascii="Times New Roman" w:eastAsia="Calibri" w:hAnsi="Times New Roman" w:cs="Times New Roman"/>
          <w:b/>
          <w:i/>
          <w:noProof/>
          <w:color w:val="auto"/>
          <w:sz w:val="24"/>
          <w:szCs w:val="24"/>
        </w:rPr>
        <w:t>Chart 2: Number of applications per sector* (NACE Rev. 2) between 2014 and 2018</w:t>
      </w:r>
      <w:bookmarkEnd w:id="5"/>
    </w:p>
    <w:p>
      <w:pPr>
        <w:pStyle w:val="Heading2"/>
        <w:rPr>
          <w:rFonts w:ascii="Times New Roman" w:eastAsia="Calibri" w:hAnsi="Times New Roman" w:cs="Times New Roman"/>
          <w:b/>
          <w:i/>
          <w:noProof/>
          <w:color w:val="auto"/>
          <w:sz w:val="24"/>
          <w:szCs w:val="24"/>
        </w:rPr>
      </w:pPr>
    </w:p>
    <w:p>
      <w:pPr>
        <w:jc w:val="center"/>
        <w:rPr>
          <w:rFonts w:ascii="Times New Roman" w:eastAsia="Calibri" w:hAnsi="Times New Roman" w:cs="Times New Roman"/>
          <w:noProof/>
        </w:rPr>
      </w:pPr>
      <w:r>
        <w:rPr>
          <w:rFonts w:ascii="Times New Roman" w:eastAsia="Calibri" w:hAnsi="Times New Roman" w:cs="Times New Roman"/>
          <w:noProof/>
          <w:lang w:eastAsia="en-GB"/>
        </w:rPr>
        <w:drawing>
          <wp:inline distT="0" distB="0" distL="0" distR="0">
            <wp:extent cx="6103346" cy="372012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895" cy="3727772"/>
                    </a:xfrm>
                    <a:prstGeom prst="rect">
                      <a:avLst/>
                    </a:prstGeom>
                    <a:noFill/>
                  </pic:spPr>
                </pic:pic>
              </a:graphicData>
            </a:graphic>
          </wp:inline>
        </w:drawing>
      </w:r>
    </w:p>
    <w:p>
      <w:pPr>
        <w:jc w:val="both"/>
        <w:rPr>
          <w:rFonts w:ascii="Times New Roman" w:eastAsia="Calibri" w:hAnsi="Times New Roman" w:cs="Times New Roman"/>
          <w:i/>
          <w:noProof/>
          <w:sz w:val="20"/>
          <w:szCs w:val="20"/>
        </w:rPr>
      </w:pPr>
      <w:r>
        <w:rPr>
          <w:rFonts w:ascii="Times New Roman" w:eastAsia="Calibri" w:hAnsi="Times New Roman" w:cs="Times New Roman"/>
          <w:i/>
          <w:noProof/>
          <w:sz w:val="18"/>
          <w:szCs w:val="18"/>
        </w:rPr>
        <w:t>*</w:t>
      </w:r>
      <w:r>
        <w:rPr>
          <w:rFonts w:ascii="Times New Roman" w:eastAsia="Calibri" w:hAnsi="Times New Roman" w:cs="Times New Roman"/>
          <w:i/>
          <w:noProof/>
          <w:sz w:val="20"/>
          <w:szCs w:val="20"/>
        </w:rPr>
        <w:t>EGF/2016/003 EE/Petroleum and chemicals case refers to two different sectors (19 and 20) and has therefore been counted twice.</w:t>
      </w:r>
    </w:p>
    <w:p>
      <w:pPr>
        <w:spacing w:after="0"/>
        <w:jc w:val="both"/>
        <w:rPr>
          <w:rFonts w:ascii="Times New Roman" w:eastAsia="Calibri" w:hAnsi="Times New Roman" w:cs="Times New Roman"/>
          <w:b/>
          <w:noProof/>
        </w:rPr>
      </w:pPr>
      <w:r>
        <w:rPr>
          <w:rFonts w:ascii="Times New Roman" w:eastAsia="Calibri" w:hAnsi="Times New Roman" w:cs="Times New Roman"/>
          <w:b/>
          <w:noProof/>
        </w:rPr>
        <w:t xml:space="preserve">Total number of sectors: </w:t>
      </w:r>
      <w:r>
        <w:rPr>
          <w:rFonts w:ascii="Times New Roman" w:eastAsia="Calibri" w:hAnsi="Times New Roman" w:cs="Times New Roman"/>
          <w:b/>
          <w:noProof/>
        </w:rPr>
        <w:tab/>
        <w:t>27</w:t>
      </w:r>
    </w:p>
    <w:p>
      <w:pPr>
        <w:spacing w:after="0"/>
        <w:jc w:val="both"/>
        <w:rPr>
          <w:rFonts w:ascii="Times New Roman" w:eastAsia="Times New Roman" w:hAnsi="Times New Roman" w:cs="Times New Roman"/>
          <w:noProof/>
          <w:color w:val="000000"/>
          <w:lang w:eastAsia="en-GB"/>
        </w:rPr>
      </w:pPr>
    </w:p>
    <w:p>
      <w:pPr>
        <w:spacing w:after="0"/>
        <w:jc w:val="both"/>
        <w:rPr>
          <w:rFonts w:ascii="Times New Roman" w:eastAsia="Times New Roman" w:hAnsi="Times New Roman" w:cs="Times New Roman"/>
          <w:noProof/>
          <w:color w:val="000000"/>
          <w:lang w:eastAsia="en-GB"/>
        </w:rPr>
      </w:pP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From 2014 to 2018 the Commission received 48 applications related to a broad range of sectors (27). The greatest number of applications was submitted for the retail trade sector (6), followed by motor vehicles, trailers and semi-trailers (5), and computer, electronic and optical products sectors (4). </w:t>
      </w: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Details of the applications submitted per sector are set out in Table 3 of the Annex.</w:t>
      </w:r>
    </w:p>
    <w:p>
      <w:pPr>
        <w:rPr>
          <w:rFonts w:ascii="Times New Roman" w:eastAsia="Calibri" w:hAnsi="Times New Roman" w:cs="Times New Roman"/>
          <w:b/>
          <w:i/>
          <w:noProof/>
        </w:rPr>
      </w:pPr>
      <w:r>
        <w:rPr>
          <w:rFonts w:ascii="Times New Roman" w:eastAsia="Calibri" w:hAnsi="Times New Roman" w:cs="Times New Roman"/>
          <w:b/>
          <w:i/>
          <w:noProof/>
        </w:rPr>
        <w:br w:type="page"/>
      </w:r>
    </w:p>
    <w:p>
      <w:pPr>
        <w:pStyle w:val="Heading2"/>
        <w:jc w:val="center"/>
        <w:rPr>
          <w:rFonts w:ascii="Times New Roman" w:eastAsia="Calibri" w:hAnsi="Times New Roman" w:cs="Times New Roman"/>
          <w:b/>
          <w:i/>
          <w:noProof/>
          <w:color w:val="auto"/>
          <w:sz w:val="24"/>
          <w:szCs w:val="24"/>
        </w:rPr>
      </w:pPr>
      <w:bookmarkStart w:id="6" w:name="_Toc6243375"/>
      <w:r>
        <w:rPr>
          <w:rFonts w:ascii="Times New Roman" w:eastAsia="Calibri" w:hAnsi="Times New Roman" w:cs="Times New Roman"/>
          <w:b/>
          <w:i/>
          <w:noProof/>
          <w:color w:val="auto"/>
          <w:sz w:val="24"/>
          <w:szCs w:val="24"/>
        </w:rPr>
        <w:t>Chart 3: Number of targeted workers per sector (NACE Rev. 2) between 2014 and 2018</w:t>
      </w:r>
      <w:bookmarkEnd w:id="6"/>
    </w:p>
    <w:p>
      <w:pPr>
        <w:pStyle w:val="Heading2"/>
        <w:rPr>
          <w:rFonts w:ascii="Times New Roman" w:eastAsia="Calibri" w:hAnsi="Times New Roman" w:cs="Times New Roman"/>
          <w:b/>
          <w:i/>
          <w:noProof/>
          <w:color w:val="auto"/>
          <w:sz w:val="24"/>
          <w:szCs w:val="24"/>
        </w:rPr>
      </w:pPr>
    </w:p>
    <w:p>
      <w:pPr>
        <w:jc w:val="center"/>
        <w:rPr>
          <w:rFonts w:ascii="Times New Roman" w:eastAsia="Calibri" w:hAnsi="Times New Roman" w:cs="Times New Roman"/>
          <w:noProof/>
        </w:rPr>
      </w:pPr>
      <w:r>
        <w:rPr>
          <w:rFonts w:ascii="Times New Roman" w:eastAsia="Calibri" w:hAnsi="Times New Roman" w:cs="Times New Roman"/>
          <w:noProof/>
          <w:lang w:eastAsia="en-GB"/>
        </w:rPr>
        <w:drawing>
          <wp:inline distT="0" distB="0" distL="0" distR="0">
            <wp:extent cx="6056922" cy="3938954"/>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58927" cy="3940258"/>
                    </a:xfrm>
                    <a:prstGeom prst="rect">
                      <a:avLst/>
                    </a:prstGeom>
                    <a:noFill/>
                  </pic:spPr>
                </pic:pic>
              </a:graphicData>
            </a:graphic>
          </wp:inline>
        </w:drawing>
      </w:r>
    </w:p>
    <w:p>
      <w:pPr>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w:t>
      </w:r>
      <w:r>
        <w:rPr>
          <w:rFonts w:ascii="Times New Roman" w:eastAsia="Calibri" w:hAnsi="Times New Roman" w:cs="Times New Roman"/>
          <w:i/>
          <w:noProof/>
          <w:sz w:val="20"/>
          <w:szCs w:val="20"/>
        </w:rPr>
        <w:t>EGF/2016/003 EE/Petroleum and chemicals case refers to two different sectors (19 and 20). The number of targeted workers in these sectors are provided on a prorate basis, reflecting the composition of the group of redundant workers</w:t>
      </w:r>
      <w:r>
        <w:rPr>
          <w:rFonts w:ascii="Times New Roman" w:eastAsia="Calibri" w:hAnsi="Times New Roman" w:cs="Times New Roman"/>
          <w:i/>
          <w:noProof/>
          <w:sz w:val="18"/>
          <w:szCs w:val="18"/>
        </w:rPr>
        <w:t xml:space="preserve">. </w:t>
      </w:r>
    </w:p>
    <w:p>
      <w:pPr>
        <w:spacing w:after="0"/>
        <w:jc w:val="both"/>
        <w:rPr>
          <w:rFonts w:ascii="Times New Roman" w:eastAsia="Calibri" w:hAnsi="Times New Roman" w:cs="Times New Roman"/>
          <w:b/>
          <w:noProof/>
          <w:color w:val="FF0000"/>
        </w:rPr>
      </w:pPr>
      <w:r>
        <w:rPr>
          <w:rFonts w:ascii="Times New Roman" w:eastAsia="Calibri" w:hAnsi="Times New Roman" w:cs="Times New Roman"/>
          <w:b/>
          <w:noProof/>
        </w:rPr>
        <w:t xml:space="preserve">Total number of targeted workers in 27 sectors: </w:t>
      </w:r>
      <w:r>
        <w:rPr>
          <w:rFonts w:ascii="Times New Roman" w:eastAsia="Calibri" w:hAnsi="Times New Roman" w:cs="Times New Roman"/>
          <w:b/>
          <w:noProof/>
        </w:rPr>
        <w:tab/>
        <w:t>44 963</w:t>
      </w:r>
    </w:p>
    <w:p>
      <w:pPr>
        <w:spacing w:after="0"/>
        <w:jc w:val="both"/>
        <w:rPr>
          <w:rFonts w:ascii="Times New Roman" w:eastAsia="Calibri" w:hAnsi="Times New Roman" w:cs="Times New Roman"/>
          <w:b/>
          <w:noProof/>
        </w:rPr>
      </w:pPr>
    </w:p>
    <w:p>
      <w:pPr>
        <w:spacing w:after="0"/>
        <w:jc w:val="both"/>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eastAsia="Calibri" w:hAnsi="Times New Roman" w:cs="Times New Roman"/>
          <w:noProof/>
        </w:rPr>
        <w:t>Between 2014 and 2018, the Commission received EGF applications submitted by 12 Member States for 44 963 targeted workers in 27 different sectors. The greatest number of targeted workers were in the sector motor vehicles, trailers and semi-trailers (10 299), followed by the retail trade sector (4 943) and land transport sector (4 645).</w:t>
      </w:r>
    </w:p>
    <w:p>
      <w:pPr>
        <w:spacing w:after="160" w:line="259" w:lineRule="auto"/>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br w:type="page"/>
      </w:r>
    </w:p>
    <w:p>
      <w:pPr>
        <w:pStyle w:val="Heading2"/>
        <w:jc w:val="center"/>
        <w:rPr>
          <w:rFonts w:ascii="Times New Roman" w:eastAsia="Calibri" w:hAnsi="Times New Roman" w:cs="Times New Roman"/>
          <w:b/>
          <w:i/>
          <w:noProof/>
          <w:color w:val="auto"/>
          <w:sz w:val="24"/>
          <w:szCs w:val="24"/>
        </w:rPr>
      </w:pPr>
      <w:bookmarkStart w:id="7" w:name="_Toc6243376"/>
      <w:r>
        <w:rPr>
          <w:rFonts w:ascii="Times New Roman" w:eastAsia="Calibri" w:hAnsi="Times New Roman" w:cs="Times New Roman"/>
          <w:b/>
          <w:i/>
          <w:noProof/>
          <w:color w:val="auto"/>
          <w:sz w:val="24"/>
          <w:szCs w:val="24"/>
        </w:rPr>
        <w:t>Chart 4: Number of targeted beneficiaries per Member State between 2014 and 2018</w:t>
      </w:r>
      <w:bookmarkEnd w:id="7"/>
    </w:p>
    <w:p>
      <w:pPr>
        <w:pStyle w:val="Heading2"/>
        <w:rPr>
          <w:rFonts w:ascii="Times New Roman" w:eastAsia="Calibri" w:hAnsi="Times New Roman" w:cs="Times New Roman"/>
          <w:b/>
          <w:i/>
          <w:noProof/>
          <w:color w:val="auto"/>
          <w:sz w:val="24"/>
          <w:szCs w:val="24"/>
        </w:rPr>
      </w:pPr>
    </w:p>
    <w:p>
      <w:pPr>
        <w:spacing w:after="0" w:line="240" w:lineRule="auto"/>
        <w:jc w:val="center"/>
        <w:rPr>
          <w:rFonts w:ascii="Times New Roman" w:eastAsia="Calibri" w:hAnsi="Times New Roman" w:cs="Times New Roman"/>
          <w:noProof/>
        </w:rPr>
      </w:pPr>
      <w:r>
        <w:rPr>
          <w:rFonts w:ascii="Times New Roman" w:eastAsia="Calibri" w:hAnsi="Times New Roman" w:cs="Times New Roman"/>
          <w:noProof/>
          <w:lang w:eastAsia="en-GB"/>
        </w:rPr>
        <w:drawing>
          <wp:inline distT="0" distB="0" distL="0" distR="0">
            <wp:extent cx="5516931" cy="3974124"/>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8974" cy="3975596"/>
                    </a:xfrm>
                    <a:prstGeom prst="rect">
                      <a:avLst/>
                    </a:prstGeom>
                    <a:noFill/>
                  </pic:spPr>
                </pic:pic>
              </a:graphicData>
            </a:graphic>
          </wp:inline>
        </w:drawing>
      </w:r>
    </w:p>
    <w:p>
      <w:pPr>
        <w:spacing w:after="0" w:line="240" w:lineRule="auto"/>
        <w:rPr>
          <w:rFonts w:ascii="Times New Roman" w:eastAsia="Calibri" w:hAnsi="Times New Roman" w:cs="Times New Roman"/>
          <w:noProof/>
          <w:sz w:val="20"/>
          <w:szCs w:val="20"/>
        </w:rPr>
      </w:pPr>
      <w:r>
        <w:rPr>
          <w:rFonts w:ascii="Times New Roman" w:eastAsia="Times New Roman" w:hAnsi="Times New Roman" w:cs="Times New Roman"/>
          <w:bCs/>
          <w:i/>
          <w:noProof/>
          <w:color w:val="000000"/>
          <w:sz w:val="20"/>
          <w:szCs w:val="20"/>
          <w:lang w:eastAsia="en-GB"/>
        </w:rPr>
        <w:t xml:space="preserve">    Number of applications is specified in brackets. </w:t>
      </w:r>
    </w:p>
    <w:p>
      <w:pPr>
        <w:jc w:val="center"/>
        <w:rPr>
          <w:rFonts w:ascii="Times New Roman" w:eastAsia="Calibri" w:hAnsi="Times New Roman" w:cs="Times New Roman"/>
          <w:noProof/>
        </w:rPr>
      </w:pPr>
    </w:p>
    <w:p>
      <w:pPr>
        <w:spacing w:after="0"/>
        <w:rPr>
          <w:rFonts w:ascii="Calibri" w:eastAsia="Times New Roman" w:hAnsi="Calibri" w:cs="Calibri"/>
          <w:noProof/>
          <w:color w:val="000000"/>
          <w:lang w:eastAsia="en-GB"/>
        </w:rPr>
      </w:pPr>
      <w:r>
        <w:rPr>
          <w:rFonts w:ascii="Times New Roman" w:eastAsia="Times New Roman" w:hAnsi="Times New Roman" w:cs="Times New Roman"/>
          <w:b/>
          <w:bCs/>
          <w:noProof/>
          <w:color w:val="000000"/>
          <w:lang w:eastAsia="en-GB"/>
        </w:rPr>
        <w:t xml:space="preserve">Total number of targeted beneficiaries: </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49 062</w:t>
      </w: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b/>
          <w:bCs/>
          <w:noProof/>
          <w:color w:val="000000"/>
          <w:lang w:eastAsia="en-GB"/>
        </w:rPr>
        <w:t>Average</w:t>
      </w:r>
      <w:r>
        <w:rPr>
          <w:rFonts w:ascii="Times New Roman" w:eastAsia="Times New Roman" w:hAnsi="Times New Roman" w:cs="Times New Roman"/>
          <w:noProof/>
          <w:color w:val="000000"/>
          <w:lang w:eastAsia="en-GB"/>
        </w:rPr>
        <w:t xml:space="preserve"> </w:t>
      </w:r>
      <w:r>
        <w:rPr>
          <w:rFonts w:ascii="Times New Roman" w:eastAsia="Times New Roman" w:hAnsi="Times New Roman" w:cs="Times New Roman"/>
          <w:b/>
          <w:bCs/>
          <w:noProof/>
          <w:color w:val="000000"/>
          <w:lang w:eastAsia="en-GB"/>
        </w:rPr>
        <w:t>number of targeted beneficiaries:</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 xml:space="preserve">  4 089</w:t>
      </w:r>
    </w:p>
    <w:p>
      <w:pPr>
        <w:jc w:val="both"/>
        <w:rPr>
          <w:rFonts w:ascii="Times New Roman" w:eastAsia="Times New Roman" w:hAnsi="Times New Roman" w:cs="Times New Roman"/>
          <w:noProof/>
          <w:color w:val="000000"/>
          <w:lang w:eastAsia="en-GB"/>
        </w:rPr>
      </w:pP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Between 2014 and 2018 the applications submitted from the 12 Member States targeted 49 062 beneficiaries (workers and </w:t>
      </w:r>
      <w:r>
        <w:rPr>
          <w:rFonts w:ascii="Times New Roman" w:hAnsi="Times New Roman" w:cs="Times New Roman"/>
          <w:noProof/>
        </w:rPr>
        <w:t>young people not in employment, education or training (NEETs)</w:t>
      </w:r>
      <w:r>
        <w:rPr>
          <w:rFonts w:ascii="Times New Roman" w:eastAsia="Times New Roman" w:hAnsi="Times New Roman" w:cs="Times New Roman"/>
          <w:noProof/>
          <w:color w:val="000000"/>
          <w:lang w:eastAsia="en-GB"/>
        </w:rPr>
        <w:t>. Belgium requested support for the greatest number of beneficiaries (9 925) followed by France (9 620) and Greece (7 432).</w:t>
      </w: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The number of targeted beneficiaries includes workers and </w:t>
      </w:r>
      <w:r>
        <w:rPr>
          <w:rFonts w:ascii="Times New Roman" w:hAnsi="Times New Roman" w:cs="Times New Roman"/>
          <w:noProof/>
        </w:rPr>
        <w:t>NEETs</w:t>
      </w:r>
      <w:r>
        <w:rPr>
          <w:rFonts w:ascii="Times New Roman" w:eastAsia="Times New Roman" w:hAnsi="Times New Roman" w:cs="Times New Roman"/>
          <w:noProof/>
          <w:color w:val="000000"/>
          <w:lang w:eastAsia="en-GB"/>
        </w:rPr>
        <w:t xml:space="preserve">. Twelve applications submitted by five Member States over 2014 – 2018 period targeted 4 099 NEETs. Member States, which applied for support for NEETs were: Greece (4 applications – 2 098 NEETs), Belgium (3 applications – 700 NEETs), Ireland (3 applications – 446 NEETs), Portugal (1 application – 730 NEETs), and Spain (1 application – 125 NEETs). </w:t>
      </w: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Details of the applications per year and per Member State are set out in Table 2 of the Annex. </w:t>
      </w:r>
    </w:p>
    <w:p>
      <w:pPr>
        <w:jc w:val="both"/>
        <w:rPr>
          <w:rFonts w:ascii="Times New Roman" w:eastAsia="Times New Roman" w:hAnsi="Times New Roman" w:cs="Times New Roman"/>
          <w:noProof/>
          <w:color w:val="000000"/>
          <w:lang w:eastAsia="en-GB"/>
        </w:rPr>
      </w:pPr>
    </w:p>
    <w:p>
      <w:pPr>
        <w:rPr>
          <w:rFonts w:ascii="Times New Roman" w:eastAsia="Calibri" w:hAnsi="Times New Roman" w:cs="Times New Roman"/>
          <w:b/>
          <w:i/>
          <w:noProof/>
        </w:rPr>
      </w:pPr>
      <w:r>
        <w:rPr>
          <w:rFonts w:ascii="Times New Roman" w:eastAsia="Calibri" w:hAnsi="Times New Roman" w:cs="Times New Roman"/>
          <w:b/>
          <w:i/>
          <w:noProof/>
        </w:rPr>
        <w:br w:type="page"/>
      </w:r>
    </w:p>
    <w:p>
      <w:pPr>
        <w:pStyle w:val="Heading2"/>
        <w:jc w:val="center"/>
        <w:rPr>
          <w:rFonts w:ascii="Times New Roman" w:eastAsia="Calibri" w:hAnsi="Times New Roman" w:cs="Times New Roman"/>
          <w:b/>
          <w:i/>
          <w:noProof/>
          <w:color w:val="auto"/>
          <w:sz w:val="24"/>
          <w:szCs w:val="24"/>
        </w:rPr>
      </w:pPr>
      <w:bookmarkStart w:id="8" w:name="_Toc6243377"/>
      <w:r>
        <w:rPr>
          <w:rFonts w:ascii="Times New Roman" w:eastAsia="Calibri" w:hAnsi="Times New Roman" w:cs="Times New Roman"/>
          <w:b/>
          <w:i/>
          <w:noProof/>
          <w:color w:val="auto"/>
          <w:sz w:val="24"/>
          <w:szCs w:val="24"/>
        </w:rPr>
        <w:t>Chart 5: Number of dismissed, targeted and assisted workers* between 2014 and 2018</w:t>
      </w:r>
      <w:bookmarkEnd w:id="8"/>
    </w:p>
    <w:p>
      <w:pPr>
        <w:rPr>
          <w:rFonts w:ascii="Times New Roman" w:eastAsia="Calibri" w:hAnsi="Times New Roman" w:cs="Times New Roman"/>
          <w:b/>
          <w:i/>
          <w:noProof/>
        </w:rPr>
      </w:pPr>
    </w:p>
    <w:p>
      <w:pPr>
        <w:jc w:val="center"/>
        <w:rPr>
          <w:rFonts w:ascii="Times New Roman" w:eastAsia="Calibri" w:hAnsi="Times New Roman" w:cs="Times New Roman"/>
          <w:b/>
          <w:i/>
          <w:noProof/>
        </w:rPr>
      </w:pPr>
      <w:r>
        <w:rPr>
          <w:rFonts w:ascii="Times New Roman" w:eastAsia="Calibri" w:hAnsi="Times New Roman" w:cs="Times New Roman"/>
          <w:b/>
          <w:i/>
          <w:noProof/>
          <w:lang w:eastAsia="en-GB"/>
        </w:rPr>
        <w:drawing>
          <wp:inline distT="0" distB="0" distL="0" distR="0">
            <wp:extent cx="5331125" cy="4290436"/>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8945" cy="4304777"/>
                    </a:xfrm>
                    <a:prstGeom prst="rect">
                      <a:avLst/>
                    </a:prstGeom>
                    <a:noFill/>
                  </pic:spPr>
                </pic:pic>
              </a:graphicData>
            </a:graphic>
          </wp:inline>
        </w:drawing>
      </w:r>
    </w:p>
    <w:p>
      <w:pPr>
        <w:jc w:val="both"/>
        <w:rPr>
          <w:rFonts w:ascii="Times New Roman" w:eastAsia="Calibri" w:hAnsi="Times New Roman" w:cs="Times New Roman"/>
          <w:i/>
          <w:noProof/>
          <w:sz w:val="20"/>
          <w:szCs w:val="20"/>
        </w:rPr>
      </w:pPr>
      <w:r>
        <w:rPr>
          <w:rFonts w:ascii="Times New Roman" w:eastAsia="Calibri" w:hAnsi="Times New Roman" w:cs="Times New Roman"/>
          <w:i/>
          <w:noProof/>
          <w:sz w:val="20"/>
          <w:szCs w:val="20"/>
        </w:rPr>
        <w:t xml:space="preserve">*For 17 cases Final Reports have not been submitted by 31 December 2018, therefore the number                     of assisted workers is only partly available for 2016 and not available for 2017 and 2018. </w:t>
      </w:r>
    </w:p>
    <w:p>
      <w:pPr>
        <w:spacing w:after="0"/>
        <w:jc w:val="both"/>
        <w:rPr>
          <w:rFonts w:ascii="Times New Roman" w:eastAsia="Calibri" w:hAnsi="Times New Roman" w:cs="Times New Roman"/>
          <w:b/>
          <w:noProof/>
        </w:rPr>
      </w:pPr>
      <w:r>
        <w:rPr>
          <w:rFonts w:ascii="Times New Roman" w:eastAsia="Calibri" w:hAnsi="Times New Roman" w:cs="Times New Roman"/>
          <w:b/>
          <w:noProof/>
        </w:rPr>
        <w:t>Total number of dismissed workers:</w:t>
      </w:r>
      <w:r>
        <w:rPr>
          <w:rFonts w:ascii="Times New Roman" w:eastAsia="Calibri" w:hAnsi="Times New Roman" w:cs="Times New Roman"/>
          <w:b/>
          <w:noProof/>
        </w:rPr>
        <w:tab/>
      </w:r>
      <w:r>
        <w:rPr>
          <w:rFonts w:ascii="Times New Roman" w:eastAsia="Calibri" w:hAnsi="Times New Roman" w:cs="Times New Roman"/>
          <w:b/>
          <w:noProof/>
        </w:rPr>
        <w:tab/>
        <w:t>59 641</w:t>
      </w:r>
    </w:p>
    <w:p>
      <w:pPr>
        <w:spacing w:after="0"/>
        <w:jc w:val="both"/>
        <w:rPr>
          <w:rFonts w:ascii="Times New Roman" w:eastAsia="Calibri" w:hAnsi="Times New Roman" w:cs="Times New Roman"/>
          <w:b/>
          <w:noProof/>
        </w:rPr>
      </w:pPr>
      <w:r>
        <w:rPr>
          <w:rFonts w:ascii="Times New Roman" w:eastAsia="Calibri" w:hAnsi="Times New Roman" w:cs="Times New Roman"/>
          <w:b/>
          <w:noProof/>
        </w:rPr>
        <w:t>Total number of targeted workers:</w:t>
      </w:r>
      <w:r>
        <w:rPr>
          <w:rFonts w:ascii="Times New Roman" w:eastAsia="Calibri" w:hAnsi="Times New Roman" w:cs="Times New Roman"/>
          <w:b/>
          <w:noProof/>
        </w:rPr>
        <w:tab/>
      </w:r>
      <w:r>
        <w:rPr>
          <w:rFonts w:ascii="Times New Roman" w:eastAsia="Calibri" w:hAnsi="Times New Roman" w:cs="Times New Roman"/>
          <w:b/>
          <w:noProof/>
        </w:rPr>
        <w:tab/>
        <w:t>44 963</w:t>
      </w:r>
    </w:p>
    <w:p>
      <w:pPr>
        <w:jc w:val="both"/>
        <w:rPr>
          <w:rFonts w:ascii="Times New Roman" w:eastAsia="Calibri" w:hAnsi="Times New Roman" w:cs="Times New Roman"/>
          <w:b/>
          <w:noProof/>
        </w:rPr>
      </w:pPr>
      <w:r>
        <w:rPr>
          <w:rFonts w:ascii="Times New Roman" w:eastAsia="Calibri" w:hAnsi="Times New Roman" w:cs="Times New Roman"/>
          <w:b/>
          <w:noProof/>
        </w:rPr>
        <w:t xml:space="preserve">Total number of assisted* workers: </w:t>
      </w:r>
      <w:r>
        <w:rPr>
          <w:rFonts w:ascii="Times New Roman" w:eastAsia="Calibri" w:hAnsi="Times New Roman" w:cs="Times New Roman"/>
          <w:b/>
          <w:noProof/>
        </w:rPr>
        <w:tab/>
      </w:r>
      <w:r>
        <w:rPr>
          <w:rFonts w:ascii="Times New Roman" w:eastAsia="Calibri" w:hAnsi="Times New Roman" w:cs="Times New Roman"/>
          <w:b/>
          <w:noProof/>
        </w:rPr>
        <w:tab/>
        <w:t>26 070</w:t>
      </w:r>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eastAsia="Calibri" w:hAnsi="Times New Roman" w:cs="Times New Roman"/>
          <w:noProof/>
        </w:rPr>
        <w:t xml:space="preserve">Between 2014 and 2018, 48 applications were submitted requesting EGF contribution for a total of 44 963 targeted workers (including 31 327 men and 13 636 women) and representing 75% of 59 641 total dismissed workers. </w:t>
      </w:r>
    </w:p>
    <w:p>
      <w:pPr>
        <w:spacing w:after="160" w:line="259" w:lineRule="auto"/>
        <w:rPr>
          <w:rFonts w:ascii="Times New Roman" w:eastAsia="Calibri" w:hAnsi="Times New Roman" w:cs="Times New Roman"/>
          <w:noProof/>
        </w:rPr>
      </w:pPr>
      <w:r>
        <w:rPr>
          <w:rFonts w:ascii="Times New Roman" w:eastAsia="Calibri" w:hAnsi="Times New Roman" w:cs="Times New Roman"/>
          <w:noProof/>
        </w:rPr>
        <w:br w:type="page"/>
      </w:r>
    </w:p>
    <w:p>
      <w:pPr>
        <w:pStyle w:val="Heading2"/>
        <w:jc w:val="center"/>
        <w:rPr>
          <w:rFonts w:ascii="Times New Roman" w:eastAsia="Calibri" w:hAnsi="Times New Roman" w:cs="Times New Roman"/>
          <w:b/>
          <w:i/>
          <w:noProof/>
          <w:color w:val="auto"/>
          <w:sz w:val="24"/>
          <w:szCs w:val="24"/>
        </w:rPr>
      </w:pPr>
      <w:bookmarkStart w:id="9" w:name="_Toc6243378"/>
      <w:r>
        <w:rPr>
          <w:rFonts w:ascii="Times New Roman" w:eastAsia="Calibri" w:hAnsi="Times New Roman" w:cs="Times New Roman"/>
          <w:b/>
          <w:i/>
          <w:noProof/>
          <w:color w:val="auto"/>
          <w:sz w:val="24"/>
          <w:szCs w:val="24"/>
        </w:rPr>
        <w:t>Chart 6: Number of dismissed, targeted and assisted workers* per Member State</w:t>
      </w:r>
    </w:p>
    <w:p>
      <w:pPr>
        <w:pStyle w:val="Heading2"/>
        <w:jc w:val="center"/>
        <w:rPr>
          <w:rFonts w:ascii="Times New Roman" w:eastAsia="Calibri" w:hAnsi="Times New Roman" w:cs="Times New Roman"/>
          <w:b/>
          <w:i/>
          <w:noProof/>
          <w:color w:val="auto"/>
          <w:sz w:val="24"/>
          <w:szCs w:val="24"/>
        </w:rPr>
      </w:pPr>
      <w:r>
        <w:rPr>
          <w:rFonts w:ascii="Times New Roman" w:eastAsia="Calibri" w:hAnsi="Times New Roman" w:cs="Times New Roman"/>
          <w:b/>
          <w:i/>
          <w:noProof/>
          <w:color w:val="auto"/>
          <w:sz w:val="24"/>
          <w:szCs w:val="24"/>
        </w:rPr>
        <w:t>between 2014 and 2018</w:t>
      </w:r>
      <w:bookmarkEnd w:id="9"/>
    </w:p>
    <w:p>
      <w:pPr>
        <w:jc w:val="both"/>
        <w:rPr>
          <w:rFonts w:ascii="Times New Roman" w:eastAsia="Calibri" w:hAnsi="Times New Roman" w:cs="Times New Roman"/>
          <w:noProof/>
        </w:rPr>
      </w:pPr>
      <w:r>
        <w:rPr>
          <w:rFonts w:ascii="Times New Roman" w:eastAsia="Calibri" w:hAnsi="Times New Roman" w:cs="Times New Roman"/>
          <w:noProof/>
        </w:rPr>
        <w:t xml:space="preserve"> </w:t>
      </w:r>
    </w:p>
    <w:p>
      <w:pPr>
        <w:jc w:val="both"/>
        <w:rPr>
          <w:rFonts w:ascii="Times New Roman" w:eastAsia="Calibri" w:hAnsi="Times New Roman" w:cs="Times New Roman"/>
          <w:noProof/>
        </w:rPr>
      </w:pPr>
      <w:r>
        <w:rPr>
          <w:rFonts w:ascii="Times New Roman" w:eastAsia="Calibri" w:hAnsi="Times New Roman" w:cs="Times New Roman"/>
          <w:noProof/>
          <w:lang w:eastAsia="en-GB"/>
        </w:rPr>
        <w:drawing>
          <wp:inline distT="0" distB="0" distL="0" distR="0">
            <wp:extent cx="5747115" cy="3954284"/>
            <wp:effectExtent l="0" t="0" r="635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84209" cy="3979807"/>
                    </a:xfrm>
                    <a:prstGeom prst="rect">
                      <a:avLst/>
                    </a:prstGeom>
                    <a:noFill/>
                  </pic:spPr>
                </pic:pic>
              </a:graphicData>
            </a:graphic>
          </wp:inline>
        </w:drawing>
      </w:r>
    </w:p>
    <w:p>
      <w:pPr>
        <w:jc w:val="both"/>
        <w:rPr>
          <w:rFonts w:ascii="Times New Roman" w:eastAsia="Calibri" w:hAnsi="Times New Roman" w:cs="Times New Roman"/>
          <w:i/>
          <w:noProof/>
          <w:sz w:val="20"/>
          <w:szCs w:val="20"/>
        </w:rPr>
      </w:pPr>
      <w:r>
        <w:rPr>
          <w:rFonts w:ascii="Times New Roman" w:eastAsia="Calibri" w:hAnsi="Times New Roman" w:cs="Times New Roman"/>
          <w:i/>
          <w:noProof/>
          <w:sz w:val="20"/>
          <w:szCs w:val="20"/>
        </w:rPr>
        <w:t>*Member States marked with an asterisk still have EGF cases under implementation, therefore the total number of assisted workers is not yet finalised.</w:t>
      </w:r>
    </w:p>
    <w:p>
      <w:pPr>
        <w:spacing w:after="0"/>
        <w:jc w:val="both"/>
        <w:rPr>
          <w:rFonts w:ascii="Times New Roman" w:eastAsia="Calibri" w:hAnsi="Times New Roman" w:cs="Times New Roman"/>
          <w:b/>
          <w:noProof/>
        </w:rPr>
      </w:pPr>
      <w:r>
        <w:rPr>
          <w:rFonts w:ascii="Times New Roman" w:eastAsia="Calibri" w:hAnsi="Times New Roman" w:cs="Times New Roman"/>
          <w:b/>
          <w:noProof/>
        </w:rPr>
        <w:t>Total number of dismissed workers:</w:t>
      </w:r>
      <w:r>
        <w:rPr>
          <w:rFonts w:ascii="Times New Roman" w:eastAsia="Calibri" w:hAnsi="Times New Roman" w:cs="Times New Roman"/>
          <w:b/>
          <w:noProof/>
        </w:rPr>
        <w:tab/>
      </w:r>
      <w:r>
        <w:rPr>
          <w:rFonts w:ascii="Times New Roman" w:eastAsia="Calibri" w:hAnsi="Times New Roman" w:cs="Times New Roman"/>
          <w:b/>
          <w:noProof/>
        </w:rPr>
        <w:tab/>
        <w:t>59 641</w:t>
      </w:r>
    </w:p>
    <w:p>
      <w:pPr>
        <w:spacing w:after="0"/>
        <w:jc w:val="both"/>
        <w:rPr>
          <w:rFonts w:ascii="Times New Roman" w:eastAsia="Calibri" w:hAnsi="Times New Roman" w:cs="Times New Roman"/>
          <w:b/>
          <w:noProof/>
        </w:rPr>
      </w:pPr>
      <w:r>
        <w:rPr>
          <w:rFonts w:ascii="Times New Roman" w:eastAsia="Calibri" w:hAnsi="Times New Roman" w:cs="Times New Roman"/>
          <w:b/>
          <w:noProof/>
        </w:rPr>
        <w:t>Total number of targeted workers:</w:t>
      </w:r>
      <w:r>
        <w:rPr>
          <w:rFonts w:ascii="Times New Roman" w:eastAsia="Calibri" w:hAnsi="Times New Roman" w:cs="Times New Roman"/>
          <w:b/>
          <w:noProof/>
        </w:rPr>
        <w:tab/>
      </w:r>
      <w:r>
        <w:rPr>
          <w:rFonts w:ascii="Times New Roman" w:eastAsia="Calibri" w:hAnsi="Times New Roman" w:cs="Times New Roman"/>
          <w:b/>
          <w:noProof/>
        </w:rPr>
        <w:tab/>
        <w:t>44 963</w:t>
      </w:r>
    </w:p>
    <w:p>
      <w:pPr>
        <w:rPr>
          <w:rFonts w:ascii="Times New Roman" w:eastAsia="Calibri" w:hAnsi="Times New Roman" w:cs="Times New Roman"/>
          <w:b/>
          <w:noProof/>
        </w:rPr>
      </w:pPr>
      <w:r>
        <w:rPr>
          <w:rFonts w:ascii="Times New Roman" w:eastAsia="Calibri" w:hAnsi="Times New Roman" w:cs="Times New Roman"/>
          <w:b/>
          <w:noProof/>
        </w:rPr>
        <w:t xml:space="preserve">Total number of assisted* workers: </w:t>
      </w:r>
      <w:r>
        <w:rPr>
          <w:rFonts w:ascii="Times New Roman" w:eastAsia="Calibri" w:hAnsi="Times New Roman" w:cs="Times New Roman"/>
          <w:b/>
          <w:noProof/>
        </w:rPr>
        <w:tab/>
      </w:r>
      <w:r>
        <w:rPr>
          <w:rFonts w:ascii="Times New Roman" w:eastAsia="Calibri" w:hAnsi="Times New Roman" w:cs="Times New Roman"/>
          <w:b/>
          <w:noProof/>
        </w:rPr>
        <w:tab/>
        <w:t>26 070</w:t>
      </w:r>
    </w:p>
    <w:p>
      <w:pPr>
        <w:rPr>
          <w:rFonts w:ascii="Times New Roman" w:eastAsia="Calibri" w:hAnsi="Times New Roman" w:cs="Times New Roman"/>
          <w:b/>
          <w:noProof/>
        </w:rPr>
      </w:pPr>
    </w:p>
    <w:p>
      <w:pPr>
        <w:jc w:val="both"/>
        <w:rPr>
          <w:rFonts w:ascii="Times New Roman" w:hAnsi="Times New Roman"/>
          <w:noProof/>
          <w:color w:val="000000"/>
          <w:lang w:eastAsia="en-GB"/>
        </w:rPr>
      </w:pPr>
      <w:r>
        <w:rPr>
          <w:rFonts w:ascii="Times New Roman" w:hAnsi="Times New Roman"/>
          <w:noProof/>
        </w:rPr>
        <w:t xml:space="preserve">Between 2014 and 2018 </w:t>
      </w:r>
      <w:r>
        <w:rPr>
          <w:rFonts w:ascii="Times New Roman" w:hAnsi="Times New Roman"/>
          <w:noProof/>
          <w:color w:val="000000"/>
          <w:lang w:eastAsia="en-GB"/>
        </w:rPr>
        <w:t xml:space="preserve">France requested support for the greatest number of targeted workers (9 620 representing 71% of </w:t>
      </w:r>
      <w:r>
        <w:rPr>
          <w:rFonts w:ascii="Times New Roman" w:hAnsi="Times New Roman"/>
          <w:noProof/>
        </w:rPr>
        <w:t>the workers dismissed</w:t>
      </w:r>
      <w:r>
        <w:rPr>
          <w:rFonts w:ascii="Times New Roman" w:hAnsi="Times New Roman"/>
          <w:noProof/>
          <w:color w:val="000000"/>
          <w:lang w:eastAsia="en-GB"/>
        </w:rPr>
        <w:t xml:space="preserve">), followed by Belgium (9 225 representing 87% of </w:t>
      </w:r>
      <w:r>
        <w:rPr>
          <w:rFonts w:ascii="Times New Roman" w:hAnsi="Times New Roman"/>
          <w:noProof/>
        </w:rPr>
        <w:t>the workers dismissed</w:t>
      </w:r>
      <w:r>
        <w:rPr>
          <w:rFonts w:ascii="Times New Roman" w:hAnsi="Times New Roman"/>
          <w:noProof/>
          <w:color w:val="000000"/>
          <w:lang w:eastAsia="en-GB"/>
        </w:rPr>
        <w:t xml:space="preserve">), and Finland (7 027 representing 80% of </w:t>
      </w:r>
      <w:r>
        <w:rPr>
          <w:rFonts w:ascii="Times New Roman" w:hAnsi="Times New Roman"/>
          <w:noProof/>
        </w:rPr>
        <w:t>the workers dismissed</w:t>
      </w:r>
      <w:r>
        <w:rPr>
          <w:rFonts w:ascii="Times New Roman" w:hAnsi="Times New Roman"/>
          <w:noProof/>
          <w:color w:val="000000"/>
          <w:lang w:eastAsia="en-GB"/>
        </w:rPr>
        <w:t>).</w:t>
      </w:r>
    </w:p>
    <w:p>
      <w:pPr>
        <w:rPr>
          <w:rFonts w:ascii="Times New Roman" w:eastAsia="Calibri" w:hAnsi="Times New Roman" w:cs="Times New Roman"/>
          <w:b/>
          <w:noProof/>
        </w:rPr>
      </w:pPr>
    </w:p>
    <w:p>
      <w:pPr>
        <w:rPr>
          <w:rFonts w:ascii="Times New Roman" w:eastAsia="Calibri" w:hAnsi="Times New Roman" w:cs="Times New Roman"/>
          <w:b/>
          <w:i/>
          <w:noProof/>
        </w:rPr>
      </w:pPr>
      <w:r>
        <w:rPr>
          <w:rFonts w:ascii="Times New Roman" w:eastAsia="Calibri" w:hAnsi="Times New Roman" w:cs="Times New Roman"/>
          <w:b/>
          <w:i/>
          <w:noProof/>
        </w:rPr>
        <w:br w:type="page"/>
      </w:r>
    </w:p>
    <w:p>
      <w:pPr>
        <w:pStyle w:val="Heading2"/>
        <w:jc w:val="center"/>
        <w:rPr>
          <w:rFonts w:ascii="Times New Roman" w:eastAsia="Calibri" w:hAnsi="Times New Roman" w:cs="Times New Roman"/>
          <w:b/>
          <w:i/>
          <w:noProof/>
          <w:color w:val="auto"/>
          <w:sz w:val="24"/>
          <w:szCs w:val="24"/>
        </w:rPr>
      </w:pPr>
      <w:bookmarkStart w:id="10" w:name="_Toc6243379"/>
      <w:r>
        <w:rPr>
          <w:rFonts w:ascii="Times New Roman" w:eastAsia="Calibri" w:hAnsi="Times New Roman" w:cs="Times New Roman"/>
          <w:b/>
          <w:i/>
          <w:noProof/>
          <w:color w:val="auto"/>
          <w:sz w:val="24"/>
          <w:szCs w:val="24"/>
        </w:rPr>
        <w:t>Chart 7: EGF amounts requested (in EUR) per Member State between 2014 and 2018</w:t>
      </w:r>
      <w:bookmarkEnd w:id="10"/>
    </w:p>
    <w:p>
      <w:pPr>
        <w:rPr>
          <w:noProof/>
        </w:rPr>
      </w:pPr>
    </w:p>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drawing>
          <wp:inline distT="0" distB="0" distL="0" distR="0">
            <wp:extent cx="5774725" cy="4168346"/>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7737" cy="4170520"/>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lang w:eastAsia="en-GB"/>
        </w:rPr>
      </w:pPr>
      <w:r>
        <w:rPr>
          <w:rFonts w:ascii="Times New Roman" w:eastAsia="Times New Roman" w:hAnsi="Times New Roman" w:cs="Times New Roman"/>
          <w:bCs/>
          <w:i/>
          <w:noProof/>
          <w:color w:val="000000"/>
          <w:sz w:val="20"/>
          <w:szCs w:val="20"/>
          <w:lang w:eastAsia="en-GB"/>
        </w:rPr>
        <w:t xml:space="preserve">Number of applications is specified in brackets. </w:t>
      </w:r>
    </w:p>
    <w:p>
      <w:pPr>
        <w:spacing w:after="0" w:line="240" w:lineRule="auto"/>
        <w:rPr>
          <w:rFonts w:ascii="Times New Roman" w:eastAsia="Times New Roman" w:hAnsi="Times New Roman" w:cs="Times New Roman"/>
          <w:bCs/>
          <w:i/>
          <w:noProof/>
          <w:color w:val="000000"/>
          <w:lang w:eastAsia="en-GB"/>
        </w:rPr>
      </w:pPr>
    </w:p>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Total EGF amount requested: </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 xml:space="preserve"> EUR 155 366 514 </w:t>
      </w:r>
    </w:p>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Average EGF amount requested:</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 xml:space="preserve"> EUR 12 947 210 </w:t>
      </w:r>
    </w:p>
    <w:p>
      <w:pPr>
        <w:spacing w:after="0" w:line="240" w:lineRule="auto"/>
        <w:rPr>
          <w:rFonts w:ascii="Times New Roman" w:eastAsia="Times New Roman" w:hAnsi="Times New Roman" w:cs="Times New Roman"/>
          <w:bCs/>
          <w:noProof/>
          <w:color w:val="000000"/>
          <w:lang w:eastAsia="en-GB"/>
        </w:rPr>
      </w:pPr>
    </w:p>
    <w:p>
      <w:pPr>
        <w:jc w:val="both"/>
        <w:rPr>
          <w:rFonts w:ascii="Times New Roman" w:eastAsia="Times New Roman" w:hAnsi="Times New Roman" w:cs="Times New Roman"/>
          <w:bCs/>
          <w:noProof/>
          <w:color w:val="000000"/>
          <w:lang w:eastAsia="en-GB"/>
        </w:rPr>
      </w:pP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bCs/>
          <w:noProof/>
          <w:color w:val="000000"/>
          <w:lang w:eastAsia="en-GB"/>
        </w:rPr>
        <w:t xml:space="preserve">A total amount of EUR 155 366 514 was requested </w:t>
      </w:r>
      <w:r>
        <w:rPr>
          <w:rFonts w:ascii="Times New Roman" w:eastAsia="Calibri" w:hAnsi="Times New Roman" w:cs="Times New Roman"/>
          <w:noProof/>
        </w:rPr>
        <w:t xml:space="preserve">for EGF support </w:t>
      </w:r>
      <w:r>
        <w:rPr>
          <w:rFonts w:ascii="Times New Roman" w:eastAsia="Times New Roman" w:hAnsi="Times New Roman" w:cs="Times New Roman"/>
          <w:bCs/>
          <w:noProof/>
          <w:color w:val="000000"/>
          <w:lang w:eastAsia="en-GB"/>
        </w:rPr>
        <w:t>by 12 Member States between 2014 and 2018. Greece requested the highest amount (EUR </w:t>
      </w:r>
      <w:r>
        <w:rPr>
          <w:rFonts w:ascii="Times New Roman" w:eastAsia="Times New Roman" w:hAnsi="Times New Roman" w:cs="Times New Roman"/>
          <w:noProof/>
          <w:color w:val="000000"/>
          <w:lang w:eastAsia="en-GB"/>
        </w:rPr>
        <w:t xml:space="preserve">40 349 250 for eight applications), followed by France (EUR 34 716 088 for five applications), and Finland (EUR 19 440 240 for seven applications). </w:t>
      </w:r>
    </w:p>
    <w:p>
      <w:pPr>
        <w:jc w:val="both"/>
        <w:rPr>
          <w:rFonts w:ascii="Calibri" w:eastAsia="Times New Roman" w:hAnsi="Calibri" w:cs="Times New Roman"/>
          <w:noProof/>
          <w:color w:val="000000"/>
          <w:lang w:eastAsia="en-GB"/>
        </w:rPr>
      </w:pPr>
      <w:r>
        <w:rPr>
          <w:rFonts w:ascii="Times New Roman" w:eastAsia="Times New Roman" w:hAnsi="Times New Roman" w:cs="Times New Roman"/>
          <w:noProof/>
          <w:color w:val="000000"/>
          <w:lang w:eastAsia="en-GB"/>
        </w:rPr>
        <w:t xml:space="preserve">Details of the applications per year and per Member State are set out in Table 2 of the Annex. </w:t>
      </w:r>
    </w:p>
    <w:p>
      <w:pPr>
        <w:rPr>
          <w:rFonts w:ascii="Times New Roman" w:eastAsia="Calibri" w:hAnsi="Times New Roman" w:cs="Times New Roman"/>
          <w:b/>
          <w:i/>
          <w:noProof/>
        </w:rPr>
      </w:pPr>
      <w:r>
        <w:rPr>
          <w:rFonts w:ascii="Times New Roman" w:eastAsia="Calibri" w:hAnsi="Times New Roman" w:cs="Times New Roman"/>
          <w:b/>
          <w:i/>
          <w:noProof/>
        </w:rPr>
        <w:br w:type="page"/>
      </w:r>
    </w:p>
    <w:p>
      <w:pPr>
        <w:pStyle w:val="Heading2"/>
        <w:jc w:val="center"/>
        <w:rPr>
          <w:rFonts w:ascii="Times New Roman" w:eastAsia="Calibri" w:hAnsi="Times New Roman" w:cs="Times New Roman"/>
          <w:b/>
          <w:i/>
          <w:noProof/>
          <w:color w:val="auto"/>
          <w:sz w:val="24"/>
          <w:szCs w:val="24"/>
        </w:rPr>
      </w:pPr>
      <w:bookmarkStart w:id="11" w:name="_Toc6243380"/>
      <w:r>
        <w:rPr>
          <w:rFonts w:ascii="Times New Roman" w:eastAsia="Calibri" w:hAnsi="Times New Roman" w:cs="Times New Roman"/>
          <w:b/>
          <w:i/>
          <w:noProof/>
          <w:color w:val="auto"/>
          <w:sz w:val="24"/>
          <w:szCs w:val="24"/>
        </w:rPr>
        <w:t>Chart 8: Average EGF amount requested (in EUR) per beneficiary and per Member State between 2014 and 2018</w:t>
      </w:r>
      <w:bookmarkEnd w:id="11"/>
      <w:r>
        <w:rPr>
          <w:rFonts w:ascii="Times New Roman" w:eastAsia="Calibri" w:hAnsi="Times New Roman" w:cs="Times New Roman"/>
          <w:b/>
          <w:i/>
          <w:noProof/>
          <w:color w:val="auto"/>
          <w:sz w:val="24"/>
          <w:szCs w:val="24"/>
        </w:rPr>
        <w:br/>
      </w:r>
    </w:p>
    <w:p>
      <w:pPr>
        <w:spacing w:after="0"/>
        <w:jc w:val="center"/>
        <w:rPr>
          <w:rFonts w:ascii="Times New Roman" w:eastAsia="Times New Roman" w:hAnsi="Times New Roman" w:cs="Times New Roman"/>
          <w:bCs/>
          <w:i/>
          <w:noProof/>
          <w:color w:val="000000"/>
          <w:lang w:eastAsia="en-GB"/>
        </w:rPr>
      </w:pPr>
      <w:r>
        <w:rPr>
          <w:rFonts w:ascii="Times New Roman" w:eastAsia="Times New Roman" w:hAnsi="Times New Roman" w:cs="Times New Roman"/>
          <w:bCs/>
          <w:i/>
          <w:noProof/>
          <w:color w:val="000000"/>
          <w:lang w:eastAsia="en-GB"/>
        </w:rPr>
        <w:drawing>
          <wp:inline distT="0" distB="0" distL="0" distR="0">
            <wp:extent cx="5684108" cy="43248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0264" cy="4329549"/>
                    </a:xfrm>
                    <a:prstGeom prst="rect">
                      <a:avLst/>
                    </a:prstGeom>
                    <a:noFill/>
                  </pic:spPr>
                </pic:pic>
              </a:graphicData>
            </a:graphic>
          </wp:inline>
        </w:drawing>
      </w:r>
    </w:p>
    <w:p>
      <w:pPr>
        <w:spacing w:after="0"/>
        <w:rPr>
          <w:rFonts w:ascii="Times New Roman" w:eastAsia="Times New Roman" w:hAnsi="Times New Roman" w:cs="Times New Roman"/>
          <w:bCs/>
          <w:i/>
          <w:noProof/>
          <w:color w:val="000000"/>
          <w:sz w:val="20"/>
          <w:szCs w:val="20"/>
          <w:lang w:eastAsia="en-GB"/>
        </w:rPr>
      </w:pPr>
      <w:r>
        <w:rPr>
          <w:rFonts w:ascii="Times New Roman" w:eastAsia="Times New Roman" w:hAnsi="Times New Roman" w:cs="Times New Roman"/>
          <w:bCs/>
          <w:i/>
          <w:noProof/>
          <w:color w:val="000000"/>
          <w:sz w:val="20"/>
          <w:szCs w:val="20"/>
          <w:lang w:eastAsia="en-GB"/>
        </w:rPr>
        <w:t xml:space="preserve">        Number of applications is specified in brackets.</w:t>
      </w:r>
    </w:p>
    <w:p>
      <w:pPr>
        <w:spacing w:after="0"/>
        <w:rPr>
          <w:rFonts w:ascii="Times New Roman" w:eastAsia="Calibri" w:hAnsi="Times New Roman" w:cs="Times New Roman"/>
          <w:b/>
          <w:noProof/>
          <w:sz w:val="20"/>
          <w:szCs w:val="20"/>
        </w:rPr>
      </w:pPr>
    </w:p>
    <w:p>
      <w:pPr>
        <w:spacing w:after="0"/>
        <w:rPr>
          <w:rFonts w:ascii="Times New Roman" w:eastAsia="Calibri" w:hAnsi="Times New Roman" w:cs="Times New Roman"/>
          <w:b/>
          <w:noProof/>
        </w:rPr>
      </w:pPr>
      <w:r>
        <w:rPr>
          <w:rFonts w:ascii="Times New Roman" w:eastAsia="Calibri" w:hAnsi="Times New Roman" w:cs="Times New Roman"/>
          <w:b/>
          <w:noProof/>
        </w:rPr>
        <w:t>Average EGF amount requested per beneficiary:</w:t>
      </w:r>
      <w:r>
        <w:rPr>
          <w:rFonts w:ascii="Times New Roman" w:eastAsia="Calibri" w:hAnsi="Times New Roman" w:cs="Times New Roman"/>
          <w:b/>
          <w:noProof/>
        </w:rPr>
        <w:tab/>
        <w:t xml:space="preserve"> </w:t>
      </w:r>
      <w:r>
        <w:rPr>
          <w:rFonts w:ascii="Times New Roman" w:eastAsia="Times New Roman" w:hAnsi="Times New Roman" w:cs="Times New Roman"/>
          <w:b/>
          <w:bCs/>
          <w:noProof/>
          <w:color w:val="000000"/>
          <w:lang w:eastAsia="en-GB"/>
        </w:rPr>
        <w:t xml:space="preserve">EUR </w:t>
      </w:r>
      <w:r>
        <w:rPr>
          <w:rFonts w:ascii="Times New Roman" w:eastAsia="Calibri" w:hAnsi="Times New Roman" w:cs="Times New Roman"/>
          <w:b/>
          <w:noProof/>
        </w:rPr>
        <w:t xml:space="preserve">3 167 </w:t>
      </w:r>
    </w:p>
    <w:p>
      <w:pPr>
        <w:spacing w:after="0"/>
        <w:rPr>
          <w:rFonts w:ascii="Times New Roman" w:eastAsia="Calibri" w:hAnsi="Times New Roman" w:cs="Times New Roman"/>
          <w:b/>
          <w:noProof/>
        </w:rPr>
      </w:pPr>
    </w:p>
    <w:p>
      <w:pPr>
        <w:spacing w:after="0"/>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eastAsia="Calibri" w:hAnsi="Times New Roman" w:cs="Times New Roman"/>
          <w:noProof/>
        </w:rPr>
        <w:t xml:space="preserve">On average, each of the 12 Member States applying for EGF support between 2014 and 2018, requested EUR 3 167 per targeted beneficiary. The highest average amount per beneficiary was requested by Greece (EUR 5 429), followed by Ireland (EUR 4 707) and France (EUR 3 609). </w:t>
      </w:r>
    </w:p>
    <w:p>
      <w:pPr>
        <w:rPr>
          <w:rFonts w:ascii="Times New Roman" w:eastAsia="Calibri" w:hAnsi="Times New Roman" w:cs="Times New Roman"/>
          <w:b/>
          <w:i/>
          <w:noProof/>
        </w:rPr>
      </w:pPr>
      <w:r>
        <w:rPr>
          <w:rFonts w:ascii="Times New Roman" w:eastAsia="Calibri" w:hAnsi="Times New Roman" w:cs="Times New Roman"/>
          <w:b/>
          <w:i/>
          <w:noProof/>
        </w:rPr>
        <w:br w:type="page"/>
      </w:r>
    </w:p>
    <w:p>
      <w:pPr>
        <w:jc w:val="both"/>
        <w:rPr>
          <w:rFonts w:ascii="Times New Roman" w:eastAsia="Calibri" w:hAnsi="Times New Roman" w:cs="Times New Roman"/>
          <w:noProof/>
        </w:rPr>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pPr>
    </w:p>
    <w:p>
      <w:pPr>
        <w:pStyle w:val="Heading2"/>
        <w:jc w:val="center"/>
        <w:rPr>
          <w:rFonts w:ascii="Times New Roman" w:eastAsia="Calibri" w:hAnsi="Times New Roman" w:cs="Times New Roman"/>
          <w:b/>
          <w:i/>
          <w:noProof/>
          <w:color w:val="auto"/>
          <w:sz w:val="24"/>
          <w:szCs w:val="24"/>
        </w:rPr>
      </w:pPr>
      <w:bookmarkStart w:id="12" w:name="_Toc6243381"/>
      <w:r>
        <w:rPr>
          <w:rFonts w:ascii="Times New Roman" w:eastAsia="Calibri" w:hAnsi="Times New Roman" w:cs="Times New Roman"/>
          <w:b/>
          <w:i/>
          <w:noProof/>
          <w:color w:val="auto"/>
          <w:sz w:val="24"/>
          <w:szCs w:val="24"/>
        </w:rPr>
        <w:t>Table 1: Final Reports submitted between 2014 and 2018</w:t>
      </w:r>
      <w:bookmarkEnd w:id="12"/>
    </w:p>
    <w:p>
      <w:pPr>
        <w:rPr>
          <w:noProof/>
        </w:rPr>
      </w:pPr>
    </w:p>
    <w:p>
      <w:pPr>
        <w:rPr>
          <w:noProof/>
        </w:rPr>
      </w:pPr>
      <w:r>
        <w:rPr>
          <w:noProof/>
          <w:lang w:eastAsia="en-GB"/>
        </w:rPr>
        <w:drawing>
          <wp:inline distT="0" distB="0" distL="0" distR="0">
            <wp:extent cx="6645910" cy="6147449"/>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45910" cy="6147449"/>
                    </a:xfrm>
                    <a:prstGeom prst="rect">
                      <a:avLst/>
                    </a:prstGeom>
                    <a:noFill/>
                    <a:ln>
                      <a:noFill/>
                    </a:ln>
                  </pic:spPr>
                </pic:pic>
              </a:graphicData>
            </a:graphic>
          </wp:inline>
        </w:drawing>
      </w:r>
    </w:p>
    <w:p>
      <w:pPr>
        <w:spacing w:after="0"/>
        <w:jc w:val="both"/>
        <w:rPr>
          <w:rFonts w:ascii="Times New Roman" w:eastAsia="Calibri" w:hAnsi="Times New Roman" w:cs="Times New Roman"/>
          <w:b/>
          <w:noProof/>
          <w:sz w:val="32"/>
          <w:szCs w:val="32"/>
        </w:rPr>
      </w:pPr>
      <w:r>
        <w:rPr>
          <w:rFonts w:ascii="Times New Roman" w:eastAsia="Calibri" w:hAnsi="Times New Roman" w:cs="Times New Roman"/>
          <w:noProof/>
          <w:sz w:val="18"/>
          <w:szCs w:val="18"/>
        </w:rPr>
        <w:t>* The labour market status of the beneficiaries provided in this table reflects as a matter of principle the situation at the end of the implementation period.</w:t>
      </w:r>
    </w:p>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Calibri" w:hAnsi="Times New Roman" w:cs="Times New Roman"/>
          <w:noProof/>
          <w:sz w:val="18"/>
          <w:szCs w:val="18"/>
        </w:rPr>
        <w:t xml:space="preserve">** inactive means that people are not available for the labour market any longer for different personal reasons, for example retirement . </w:t>
      </w:r>
    </w:p>
    <w:p>
      <w:pPr>
        <w:spacing w:after="0" w:line="240" w:lineRule="auto"/>
        <w:jc w:val="both"/>
        <w:rPr>
          <w:rFonts w:ascii="Times New Roman" w:eastAsia="Calibri" w:hAnsi="Times New Roman" w:cs="Times New Roman"/>
          <w:noProof/>
          <w:sz w:val="18"/>
          <w:szCs w:val="18"/>
        </w:rPr>
      </w:pPr>
    </w:p>
    <w:p>
      <w:pPr>
        <w:spacing w:after="0" w:line="240" w:lineRule="auto"/>
        <w:jc w:val="both"/>
        <w:rPr>
          <w:rFonts w:ascii="Times New Roman" w:eastAsia="Calibri" w:hAnsi="Times New Roman" w:cs="Times New Roman"/>
          <w:noProof/>
          <w:sz w:val="18"/>
          <w:szCs w:val="18"/>
        </w:rPr>
      </w:pPr>
      <w:r>
        <w:rPr>
          <w:noProof/>
          <w:lang w:eastAsia="en-GB"/>
        </w:rPr>
        <w:drawing>
          <wp:inline distT="0" distB="0" distL="0" distR="0">
            <wp:extent cx="6776106" cy="6296766"/>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80934" cy="6301252"/>
                    </a:xfrm>
                    <a:prstGeom prst="rect">
                      <a:avLst/>
                    </a:prstGeom>
                    <a:noFill/>
                    <a:ln>
                      <a:noFill/>
                    </a:ln>
                  </pic:spPr>
                </pic:pic>
              </a:graphicData>
            </a:graphic>
          </wp:inline>
        </w:drawing>
      </w:r>
    </w:p>
    <w:p>
      <w:pPr>
        <w:spacing w:after="0" w:line="240" w:lineRule="auto"/>
        <w:jc w:val="both"/>
        <w:rPr>
          <w:rFonts w:ascii="Times New Roman" w:eastAsia="Calibri" w:hAnsi="Times New Roman" w:cs="Times New Roman"/>
          <w:noProof/>
          <w:sz w:val="18"/>
          <w:szCs w:val="18"/>
        </w:rPr>
      </w:pPr>
    </w:p>
    <w:p>
      <w:pPr>
        <w:spacing w:after="0"/>
        <w:jc w:val="both"/>
        <w:rPr>
          <w:rFonts w:ascii="Times New Roman" w:eastAsia="Calibri" w:hAnsi="Times New Roman" w:cs="Times New Roman"/>
          <w:b/>
          <w:noProof/>
          <w:sz w:val="32"/>
          <w:szCs w:val="32"/>
        </w:rPr>
      </w:pPr>
      <w:r>
        <w:rPr>
          <w:rFonts w:ascii="Times New Roman" w:eastAsia="Calibri" w:hAnsi="Times New Roman" w:cs="Times New Roman"/>
          <w:noProof/>
          <w:sz w:val="18"/>
          <w:szCs w:val="18"/>
        </w:rPr>
        <w:t>* The labour market status of the beneficiaries provided in this table reflects as a matter of principle the situation at the end of the implementation period.</w:t>
      </w:r>
    </w:p>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Calibri" w:hAnsi="Times New Roman" w:cs="Times New Roman"/>
          <w:noProof/>
          <w:sz w:val="18"/>
          <w:szCs w:val="18"/>
        </w:rPr>
        <w:t xml:space="preserve">** inactive means that people are not available for the labour market any longer for different personal reasons, for example retirement . </w:t>
      </w:r>
    </w:p>
    <w:p>
      <w:pPr>
        <w:spacing w:after="0" w:line="240" w:lineRule="auto"/>
        <w:jc w:val="both"/>
        <w:rPr>
          <w:rFonts w:ascii="Times New Roman" w:eastAsia="Calibri" w:hAnsi="Times New Roman" w:cs="Times New Roman"/>
          <w:noProof/>
          <w:sz w:val="18"/>
          <w:szCs w:val="18"/>
        </w:rPr>
      </w:pPr>
    </w:p>
    <w:p>
      <w:pPr>
        <w:spacing w:after="0" w:line="240" w:lineRule="auto"/>
        <w:jc w:val="both"/>
        <w:rPr>
          <w:rFonts w:ascii="Times New Roman" w:eastAsia="Calibri" w:hAnsi="Times New Roman" w:cs="Times New Roman"/>
          <w:noProof/>
          <w:sz w:val="18"/>
          <w:szCs w:val="18"/>
        </w:rPr>
      </w:pPr>
    </w:p>
    <w:p>
      <w:pPr>
        <w:spacing w:after="0" w:line="240" w:lineRule="auto"/>
        <w:jc w:val="both"/>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pPr>
      <w:r>
        <w:rPr>
          <w:noProof/>
          <w:lang w:eastAsia="en-GB"/>
        </w:rPr>
        <w:drawing>
          <wp:inline distT="0" distB="0" distL="0" distR="0">
            <wp:extent cx="6711998" cy="6701949"/>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13452" cy="6703401"/>
                    </a:xfrm>
                    <a:prstGeom prst="rect">
                      <a:avLst/>
                    </a:prstGeom>
                    <a:noFill/>
                    <a:ln>
                      <a:noFill/>
                    </a:ln>
                  </pic:spPr>
                </pic:pic>
              </a:graphicData>
            </a:graphic>
          </wp:inline>
        </w:drawing>
      </w:r>
    </w:p>
    <w:p>
      <w:pPr>
        <w:spacing w:after="0"/>
        <w:jc w:val="both"/>
        <w:rPr>
          <w:rFonts w:ascii="Times New Roman" w:eastAsia="Calibri" w:hAnsi="Times New Roman" w:cs="Times New Roman"/>
          <w:b/>
          <w:noProof/>
          <w:sz w:val="32"/>
          <w:szCs w:val="32"/>
        </w:rPr>
      </w:pPr>
      <w:r>
        <w:rPr>
          <w:rFonts w:ascii="Times New Roman" w:eastAsia="Calibri" w:hAnsi="Times New Roman" w:cs="Times New Roman"/>
          <w:noProof/>
          <w:sz w:val="18"/>
          <w:szCs w:val="18"/>
        </w:rPr>
        <w:t>* The labour market status of the beneficiaries provided in this table reflects as a matter of principle the situation at the end of the implementation period.</w:t>
      </w:r>
    </w:p>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Calibri" w:hAnsi="Times New Roman" w:cs="Times New Roman"/>
          <w:noProof/>
          <w:sz w:val="18"/>
          <w:szCs w:val="18"/>
        </w:rPr>
        <w:t xml:space="preserve">** inactive means that people are not available for the labour market any longer for different personal reasons, for example retirement . </w:t>
      </w:r>
    </w:p>
    <w:p>
      <w:pPr>
        <w:spacing w:after="0" w:line="240" w:lineRule="auto"/>
        <w:jc w:val="both"/>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pPr>
    </w:p>
    <w:p>
      <w:pPr>
        <w:rPr>
          <w:rFonts w:ascii="Times New Roman" w:eastAsia="Calibri" w:hAnsi="Times New Roman" w:cs="Times New Roman"/>
          <w:noProof/>
          <w:sz w:val="18"/>
          <w:szCs w:val="18"/>
        </w:rPr>
        <w:sectPr>
          <w:headerReference w:type="even" r:id="rId33"/>
          <w:headerReference w:type="default" r:id="rId34"/>
          <w:footerReference w:type="even" r:id="rId35"/>
          <w:footerReference w:type="default" r:id="rId36"/>
          <w:headerReference w:type="first" r:id="rId37"/>
          <w:footerReference w:type="first" r:id="rId38"/>
          <w:pgSz w:w="11906" w:h="16838"/>
          <w:pgMar w:top="720" w:right="720" w:bottom="720" w:left="720" w:header="708" w:footer="708" w:gutter="0"/>
          <w:cols w:space="708"/>
          <w:docGrid w:linePitch="360"/>
        </w:sectPr>
      </w:pPr>
    </w:p>
    <w:p>
      <w:pPr>
        <w:pStyle w:val="Heading1"/>
        <w:rPr>
          <w:rFonts w:ascii="Times New Roman" w:hAnsi="Times New Roman" w:cs="Times New Roman"/>
          <w:b/>
          <w:noProof/>
          <w:color w:val="auto"/>
        </w:rPr>
      </w:pPr>
      <w:bookmarkStart w:id="13" w:name="_Toc6243382"/>
      <w:r>
        <w:rPr>
          <w:rFonts w:ascii="Times New Roman" w:hAnsi="Times New Roman" w:cs="Times New Roman"/>
          <w:b/>
          <w:noProof/>
          <w:color w:val="auto"/>
        </w:rPr>
        <w:t>2. Cumulative data between 2007 and 2018</w:t>
      </w:r>
      <w:bookmarkEnd w:id="13"/>
    </w:p>
    <w:p>
      <w:pPr>
        <w:pStyle w:val="Heading2"/>
        <w:jc w:val="center"/>
        <w:rPr>
          <w:rFonts w:ascii="Times New Roman" w:eastAsia="Calibri" w:hAnsi="Times New Roman" w:cs="Times New Roman"/>
          <w:b/>
          <w:i/>
          <w:noProof/>
          <w:color w:val="auto"/>
          <w:sz w:val="24"/>
          <w:szCs w:val="24"/>
        </w:rPr>
      </w:pPr>
      <w:bookmarkStart w:id="14" w:name="_Toc6243383"/>
      <w:r>
        <w:rPr>
          <w:rFonts w:ascii="Times New Roman" w:eastAsia="Calibri" w:hAnsi="Times New Roman" w:cs="Times New Roman"/>
          <w:b/>
          <w:i/>
          <w:noProof/>
          <w:color w:val="auto"/>
          <w:sz w:val="24"/>
          <w:szCs w:val="24"/>
        </w:rPr>
        <w:t>Table 2: EGF applications submitted up to 31 December 2018 per Member State and application type</w:t>
      </w:r>
    </w:p>
    <w:p>
      <w:pPr>
        <w:pStyle w:val="Heading2"/>
        <w:jc w:val="center"/>
        <w:rPr>
          <w:rFonts w:ascii="Times New Roman" w:eastAsia="Calibri" w:hAnsi="Times New Roman" w:cs="Times New Roman"/>
          <w:b/>
          <w:i/>
          <w:noProof/>
          <w:color w:val="auto"/>
          <w:sz w:val="24"/>
          <w:szCs w:val="24"/>
        </w:rPr>
      </w:pPr>
      <w:r>
        <w:rPr>
          <w:rFonts w:ascii="Times New Roman" w:eastAsia="Calibri" w:hAnsi="Times New Roman" w:cs="Times New Roman"/>
          <w:b/>
          <w:i/>
          <w:noProof/>
          <w:color w:val="auto"/>
          <w:sz w:val="24"/>
          <w:szCs w:val="24"/>
        </w:rPr>
        <w:t xml:space="preserve">(without rejected and withdrawn applications) </w:t>
      </w:r>
    </w:p>
    <w:bookmarkEnd w:id="14"/>
    <w:p>
      <w:pPr>
        <w:rPr>
          <w:noProof/>
        </w:rPr>
        <w:sectPr>
          <w:headerReference w:type="even" r:id="rId39"/>
          <w:headerReference w:type="default" r:id="rId40"/>
          <w:footerReference w:type="even" r:id="rId41"/>
          <w:footerReference w:type="default" r:id="rId42"/>
          <w:headerReference w:type="first" r:id="rId43"/>
          <w:footerReference w:type="first" r:id="rId44"/>
          <w:pgSz w:w="16838" w:h="11906" w:orient="landscape"/>
          <w:pgMar w:top="1080" w:right="1417" w:bottom="1417" w:left="1417" w:header="708" w:footer="708" w:gutter="0"/>
          <w:cols w:space="720"/>
          <w:docGrid w:linePitch="360"/>
        </w:sectPr>
      </w:pPr>
      <w:r>
        <w:rPr>
          <w:noProof/>
          <w:lang w:eastAsia="en-GB"/>
        </w:rPr>
        <w:drawing>
          <wp:inline distT="0" distB="0" distL="0" distR="0">
            <wp:extent cx="9252852" cy="5189416"/>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82799" cy="5206212"/>
                    </a:xfrm>
                    <a:prstGeom prst="rect">
                      <a:avLst/>
                    </a:prstGeom>
                    <a:noFill/>
                    <a:ln>
                      <a:noFill/>
                    </a:ln>
                  </pic:spPr>
                </pic:pic>
              </a:graphicData>
            </a:graphic>
          </wp:inline>
        </w:drawing>
      </w:r>
    </w:p>
    <w:p>
      <w:pPr>
        <w:pStyle w:val="Heading2"/>
        <w:jc w:val="center"/>
        <w:rPr>
          <w:rFonts w:ascii="Times New Roman" w:hAnsi="Times New Roman" w:cs="Times New Roman"/>
          <w:b/>
          <w:i/>
          <w:noProof/>
          <w:color w:val="auto"/>
          <w:sz w:val="24"/>
          <w:szCs w:val="24"/>
        </w:rPr>
      </w:pPr>
      <w:bookmarkStart w:id="15" w:name="_Toc6243384"/>
      <w:r>
        <w:rPr>
          <w:rFonts w:ascii="Times New Roman" w:hAnsi="Times New Roman" w:cs="Times New Roman"/>
          <w:b/>
          <w:i/>
          <w:noProof/>
          <w:color w:val="auto"/>
          <w:sz w:val="24"/>
          <w:szCs w:val="24"/>
        </w:rPr>
        <w:t>Chart 9: Number of applications submitted between 2007 and 2018</w:t>
      </w:r>
      <w:bookmarkEnd w:id="15"/>
    </w:p>
    <w:p>
      <w:pPr>
        <w:rPr>
          <w:noProof/>
        </w:rPr>
      </w:pPr>
    </w:p>
    <w:p>
      <w:pPr>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extent cx="5655247" cy="339187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25212" cy="3433841"/>
                    </a:xfrm>
                    <a:prstGeom prst="rect">
                      <a:avLst/>
                    </a:prstGeom>
                    <a:noFill/>
                  </pic:spPr>
                </pic:pic>
              </a:graphicData>
            </a:graphic>
          </wp:inline>
        </w:drawing>
      </w:r>
    </w:p>
    <w:p>
      <w:pPr>
        <w:rPr>
          <w:rFonts w:ascii="Times New Roman" w:hAnsi="Times New Roman" w:cs="Times New Roman"/>
          <w:b/>
          <w:i/>
          <w:noProof/>
          <w:sz w:val="24"/>
          <w:szCs w:val="24"/>
        </w:rPr>
      </w:pPr>
    </w:p>
    <w:p>
      <w:pPr>
        <w:jc w:val="both"/>
        <w:rPr>
          <w:rFonts w:ascii="Times New Roman" w:eastAsia="Calibri" w:hAnsi="Times New Roman" w:cs="Times New Roman"/>
          <w:noProof/>
        </w:rPr>
      </w:pPr>
      <w:r>
        <w:rPr>
          <w:rFonts w:ascii="Times New Roman" w:eastAsia="Calibri" w:hAnsi="Times New Roman" w:cs="Times New Roman"/>
          <w:noProof/>
        </w:rPr>
        <w:t>Between 2007 and 2018 the Commission received 81 crisis-related applications and 79 trade-related applications. The total number of applications received each year is volatile with an average of about 13 applications per year.</w:t>
      </w:r>
    </w:p>
    <w:p>
      <w:pPr>
        <w:spacing w:after="160" w:line="259" w:lineRule="auto"/>
        <w:rPr>
          <w:rFonts w:ascii="Times New Roman" w:eastAsiaTheme="majorEastAsia" w:hAnsi="Times New Roman" w:cs="Times New Roman"/>
          <w:b/>
          <w:i/>
          <w:noProof/>
          <w:sz w:val="24"/>
          <w:szCs w:val="24"/>
        </w:rPr>
      </w:pPr>
      <w:r>
        <w:rPr>
          <w:rFonts w:ascii="Times New Roman" w:hAnsi="Times New Roman" w:cs="Times New Roman"/>
          <w:b/>
          <w:i/>
          <w:noProof/>
          <w:sz w:val="24"/>
          <w:szCs w:val="24"/>
        </w:rPr>
        <w:br w:type="page"/>
      </w:r>
    </w:p>
    <w:p>
      <w:pPr>
        <w:pStyle w:val="Heading2"/>
        <w:jc w:val="center"/>
        <w:rPr>
          <w:rFonts w:ascii="Times New Roman" w:hAnsi="Times New Roman" w:cs="Times New Roman"/>
          <w:b/>
          <w:i/>
          <w:noProof/>
          <w:color w:val="auto"/>
          <w:sz w:val="24"/>
          <w:szCs w:val="24"/>
        </w:rPr>
      </w:pPr>
      <w:bookmarkStart w:id="16" w:name="_Toc6243385"/>
      <w:r>
        <w:rPr>
          <w:rFonts w:ascii="Times New Roman" w:hAnsi="Times New Roman" w:cs="Times New Roman"/>
          <w:b/>
          <w:i/>
          <w:noProof/>
          <w:color w:val="auto"/>
          <w:sz w:val="24"/>
          <w:szCs w:val="24"/>
        </w:rPr>
        <w:t>Chart 10: Number of targeted workers per Member State between 2007 and 2018</w:t>
      </w:r>
      <w:bookmarkEnd w:id="16"/>
    </w:p>
    <w:p>
      <w:pPr>
        <w:rPr>
          <w:noProof/>
        </w:rPr>
      </w:pPr>
    </w:p>
    <w:p>
      <w:pPr>
        <w:spacing w:after="0"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extent cx="6084277" cy="449286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91693" cy="4498345"/>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lang w:eastAsia="en-GB"/>
        </w:rPr>
      </w:pPr>
      <w:r>
        <w:rPr>
          <w:rFonts w:ascii="Times New Roman" w:eastAsia="Times New Roman" w:hAnsi="Times New Roman" w:cs="Times New Roman"/>
          <w:bCs/>
          <w:i/>
          <w:noProof/>
          <w:color w:val="000000"/>
          <w:sz w:val="20"/>
          <w:szCs w:val="20"/>
          <w:lang w:eastAsia="en-GB"/>
        </w:rPr>
        <w:t xml:space="preserve">  Number of applications is specified in brackets.</w:t>
      </w:r>
    </w:p>
    <w:p>
      <w:pPr>
        <w:spacing w:after="0" w:line="240" w:lineRule="auto"/>
        <w:rPr>
          <w:rFonts w:ascii="Times New Roman" w:hAnsi="Times New Roman" w:cs="Times New Roman"/>
          <w:b/>
          <w:i/>
          <w:noProof/>
          <w:sz w:val="24"/>
          <w:szCs w:val="24"/>
        </w:rPr>
      </w:pPr>
    </w:p>
    <w:p>
      <w:pPr>
        <w:spacing w:after="0"/>
        <w:rPr>
          <w:rFonts w:ascii="Calibri" w:eastAsia="Times New Roman" w:hAnsi="Calibri" w:cs="Calibri"/>
          <w:noProof/>
          <w:lang w:eastAsia="en-GB"/>
        </w:rPr>
      </w:pPr>
      <w:r>
        <w:rPr>
          <w:rFonts w:ascii="Times New Roman" w:eastAsia="Times New Roman" w:hAnsi="Times New Roman" w:cs="Times New Roman"/>
          <w:b/>
          <w:bCs/>
          <w:noProof/>
          <w:color w:val="000000"/>
          <w:lang w:eastAsia="en-GB"/>
        </w:rPr>
        <w:t xml:space="preserve">Total number of targeted workers: </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lang w:eastAsia="en-GB"/>
        </w:rPr>
        <w:t>149 993</w:t>
      </w: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b/>
          <w:bCs/>
          <w:noProof/>
          <w:color w:val="000000"/>
          <w:lang w:eastAsia="en-GB"/>
        </w:rPr>
        <w:t>Average</w:t>
      </w:r>
      <w:r>
        <w:rPr>
          <w:rFonts w:ascii="Times New Roman" w:eastAsia="Times New Roman" w:hAnsi="Times New Roman" w:cs="Times New Roman"/>
          <w:noProof/>
          <w:color w:val="000000"/>
          <w:lang w:eastAsia="en-GB"/>
        </w:rPr>
        <w:t xml:space="preserve"> </w:t>
      </w:r>
      <w:r>
        <w:rPr>
          <w:rFonts w:ascii="Times New Roman" w:eastAsia="Times New Roman" w:hAnsi="Times New Roman" w:cs="Times New Roman"/>
          <w:b/>
          <w:bCs/>
          <w:noProof/>
          <w:color w:val="000000"/>
          <w:lang w:eastAsia="en-GB"/>
        </w:rPr>
        <w:t>number of targeted workers:</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 xml:space="preserve">    7 500</w:t>
      </w:r>
    </w:p>
    <w:p>
      <w:pPr>
        <w:jc w:val="both"/>
        <w:rPr>
          <w:rFonts w:ascii="Times New Roman" w:eastAsia="Times New Roman" w:hAnsi="Times New Roman" w:cs="Times New Roman"/>
          <w:noProof/>
          <w:color w:val="000000"/>
          <w:lang w:eastAsia="en-GB"/>
        </w:rPr>
      </w:pP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From 2007 to 2018, 160 applications submitted (excluding withdrawn or rejected) by 20 Member States targeted </w:t>
      </w:r>
      <w:r>
        <w:rPr>
          <w:rFonts w:ascii="Times New Roman" w:eastAsia="Times New Roman" w:hAnsi="Times New Roman" w:cs="Times New Roman"/>
          <w:noProof/>
          <w:lang w:eastAsia="en-GB"/>
        </w:rPr>
        <w:t xml:space="preserve">149 993 </w:t>
      </w:r>
      <w:r>
        <w:rPr>
          <w:rFonts w:ascii="Times New Roman" w:eastAsia="Times New Roman" w:hAnsi="Times New Roman" w:cs="Times New Roman"/>
          <w:noProof/>
          <w:color w:val="000000"/>
          <w:lang w:eastAsia="en-GB"/>
        </w:rPr>
        <w:t>workers. France requested support for the greatest number of workers (19 444 for 9 cases), followed by Belgium (16 447 for 13 cases), and Germany (15 163 for 10 cases).</w:t>
      </w:r>
    </w:p>
    <w:p>
      <w:pPr>
        <w:spacing w:after="160" w:line="259" w:lineRule="auto"/>
        <w:rPr>
          <w:rFonts w:ascii="Times New Roman" w:eastAsiaTheme="majorEastAsia" w:hAnsi="Times New Roman" w:cs="Times New Roman"/>
          <w:b/>
          <w:i/>
          <w:noProof/>
          <w:sz w:val="24"/>
          <w:szCs w:val="24"/>
        </w:rPr>
      </w:pPr>
      <w:r>
        <w:rPr>
          <w:rFonts w:ascii="Times New Roman" w:hAnsi="Times New Roman" w:cs="Times New Roman"/>
          <w:b/>
          <w:i/>
          <w:noProof/>
          <w:sz w:val="24"/>
          <w:szCs w:val="24"/>
        </w:rPr>
        <w:br w:type="page"/>
      </w:r>
    </w:p>
    <w:p>
      <w:pPr>
        <w:pStyle w:val="Heading2"/>
        <w:jc w:val="center"/>
        <w:rPr>
          <w:rFonts w:ascii="Times New Roman" w:hAnsi="Times New Roman" w:cs="Times New Roman"/>
          <w:b/>
          <w:i/>
          <w:noProof/>
          <w:color w:val="auto"/>
          <w:sz w:val="24"/>
          <w:szCs w:val="24"/>
        </w:rPr>
      </w:pPr>
      <w:bookmarkStart w:id="17" w:name="_Toc6243386"/>
      <w:r>
        <w:rPr>
          <w:rFonts w:ascii="Times New Roman" w:hAnsi="Times New Roman" w:cs="Times New Roman"/>
          <w:b/>
          <w:i/>
          <w:noProof/>
          <w:color w:val="auto"/>
          <w:sz w:val="24"/>
          <w:szCs w:val="24"/>
        </w:rPr>
        <w:t>Chart 11: EGF amount requested (in EUR) per Member State between 2007 and 2018</w:t>
      </w:r>
      <w:bookmarkEnd w:id="17"/>
    </w:p>
    <w:p>
      <w:pPr>
        <w:spacing w:after="160" w:line="259" w:lineRule="auto"/>
        <w:rPr>
          <w:rFonts w:ascii="Times New Roman" w:hAnsi="Times New Roman" w:cs="Times New Roman"/>
          <w:b/>
          <w:i/>
          <w:noProof/>
          <w:sz w:val="24"/>
          <w:szCs w:val="24"/>
        </w:rPr>
      </w:pPr>
    </w:p>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drawing>
          <wp:inline distT="0" distB="0" distL="0" distR="0">
            <wp:extent cx="6277233" cy="443195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79202" cy="4433346"/>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lang w:eastAsia="en-GB"/>
        </w:rPr>
      </w:pPr>
      <w:r>
        <w:rPr>
          <w:rFonts w:ascii="Times New Roman" w:eastAsia="Times New Roman" w:hAnsi="Times New Roman" w:cs="Times New Roman"/>
          <w:bCs/>
          <w:i/>
          <w:noProof/>
          <w:color w:val="000000"/>
          <w:sz w:val="20"/>
          <w:szCs w:val="20"/>
          <w:lang w:eastAsia="en-GB"/>
        </w:rPr>
        <w:t>Number of applications is specified in brackets.</w:t>
      </w:r>
    </w:p>
    <w:p>
      <w:pPr>
        <w:spacing w:after="0" w:line="240" w:lineRule="auto"/>
        <w:rPr>
          <w:rFonts w:ascii="Times New Roman" w:eastAsia="Times New Roman" w:hAnsi="Times New Roman" w:cs="Times New Roman"/>
          <w:b/>
          <w:bCs/>
          <w:noProof/>
          <w:color w:val="000000"/>
          <w:lang w:eastAsia="en-GB"/>
        </w:rPr>
      </w:pPr>
    </w:p>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Total EGF amount requested: </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EUR 633 901 032 </w:t>
      </w:r>
    </w:p>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Average EGF amount requested:</w:t>
      </w:r>
      <w:r>
        <w:rPr>
          <w:rFonts w:ascii="Times New Roman" w:eastAsia="Times New Roman" w:hAnsi="Times New Roman" w:cs="Times New Roman"/>
          <w:b/>
          <w:bCs/>
          <w:noProof/>
          <w:color w:val="000000"/>
          <w:lang w:eastAsia="en-GB"/>
        </w:rPr>
        <w:tab/>
      </w:r>
      <w:r>
        <w:rPr>
          <w:rFonts w:ascii="Times New Roman" w:eastAsia="Times New Roman" w:hAnsi="Times New Roman" w:cs="Times New Roman"/>
          <w:b/>
          <w:bCs/>
          <w:noProof/>
          <w:color w:val="000000"/>
          <w:lang w:eastAsia="en-GB"/>
        </w:rPr>
        <w:tab/>
        <w:t>EUR 31 695 052 </w:t>
      </w:r>
    </w:p>
    <w:p>
      <w:pPr>
        <w:spacing w:after="0" w:line="240" w:lineRule="auto"/>
        <w:rPr>
          <w:rFonts w:ascii="Times New Roman" w:eastAsia="Times New Roman" w:hAnsi="Times New Roman" w:cs="Times New Roman"/>
          <w:bCs/>
          <w:noProof/>
          <w:color w:val="000000"/>
          <w:lang w:eastAsia="en-GB"/>
        </w:rPr>
      </w:pPr>
    </w:p>
    <w:p>
      <w:pPr>
        <w:jc w:val="both"/>
        <w:rPr>
          <w:rFonts w:ascii="Times New Roman" w:eastAsia="Times New Roman" w:hAnsi="Times New Roman" w:cs="Times New Roman"/>
          <w:bCs/>
          <w:noProof/>
          <w:color w:val="000000"/>
          <w:lang w:eastAsia="en-GB"/>
        </w:rPr>
      </w:pPr>
    </w:p>
    <w:p>
      <w:pPr>
        <w:jc w:val="both"/>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A total amount of EUR 633 901 032 was requested from the EGF by 20 Member States between 2007 and 2018. France requested the highest amount of EGF co-financing (EUR 99 655 342 for 9 applications), followed by Ireland (EUR 67 720 204 for 10 applications), and Italy (EUR 63 885 181 for 14 applications).</w:t>
      </w:r>
    </w:p>
    <w:p>
      <w:pPr>
        <w:spacing w:after="160" w:line="259"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br w:type="page"/>
      </w:r>
    </w:p>
    <w:p>
      <w:pPr>
        <w:pStyle w:val="Heading2"/>
        <w:jc w:val="center"/>
        <w:rPr>
          <w:rFonts w:ascii="Times New Roman" w:hAnsi="Times New Roman" w:cs="Times New Roman"/>
          <w:b/>
          <w:i/>
          <w:noProof/>
          <w:sz w:val="24"/>
          <w:szCs w:val="24"/>
        </w:rPr>
      </w:pPr>
      <w:bookmarkStart w:id="18" w:name="_Toc6243387"/>
      <w:r>
        <w:rPr>
          <w:rFonts w:ascii="Times New Roman" w:hAnsi="Times New Roman" w:cs="Times New Roman"/>
          <w:b/>
          <w:i/>
          <w:noProof/>
          <w:color w:val="auto"/>
          <w:sz w:val="24"/>
          <w:szCs w:val="24"/>
        </w:rPr>
        <w:t>Chart 12: Average EGF amount requested (in EUR) per beneficiary and per Member State between 2007 and 2018</w:t>
      </w:r>
      <w:bookmarkEnd w:id="18"/>
    </w:p>
    <w:p>
      <w:pPr>
        <w:rPr>
          <w:noProof/>
        </w:rPr>
      </w:pPr>
    </w:p>
    <w:p>
      <w:pPr>
        <w:spacing w:after="0" w:line="240" w:lineRule="auto"/>
        <w:jc w:val="center"/>
        <w:rPr>
          <w:noProof/>
        </w:rPr>
      </w:pPr>
      <w:r>
        <w:rPr>
          <w:noProof/>
          <w:lang w:eastAsia="en-GB"/>
        </w:rPr>
        <w:drawing>
          <wp:inline distT="0" distB="0" distL="0" distR="0">
            <wp:extent cx="5745636" cy="4613189"/>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47463" cy="4614656"/>
                    </a:xfrm>
                    <a:prstGeom prst="rect">
                      <a:avLst/>
                    </a:prstGeom>
                    <a:noFill/>
                  </pic:spPr>
                </pic:pic>
              </a:graphicData>
            </a:graphic>
          </wp:inline>
        </w:drawing>
      </w:r>
    </w:p>
    <w:p>
      <w:pPr>
        <w:spacing w:after="0" w:line="240" w:lineRule="auto"/>
        <w:rPr>
          <w:rFonts w:ascii="Times New Roman" w:eastAsia="Times New Roman" w:hAnsi="Times New Roman" w:cs="Times New Roman"/>
          <w:bCs/>
          <w:i/>
          <w:noProof/>
          <w:color w:val="000000"/>
          <w:sz w:val="20"/>
          <w:szCs w:val="20"/>
          <w:lang w:eastAsia="en-GB"/>
        </w:rPr>
      </w:pPr>
      <w:r>
        <w:rPr>
          <w:rFonts w:ascii="Times New Roman" w:eastAsia="Times New Roman" w:hAnsi="Times New Roman" w:cs="Times New Roman"/>
          <w:bCs/>
          <w:i/>
          <w:noProof/>
          <w:color w:val="000000"/>
          <w:sz w:val="20"/>
          <w:szCs w:val="20"/>
          <w:lang w:eastAsia="en-GB"/>
        </w:rPr>
        <w:t>Number of applications is specified in brackets.</w:t>
      </w:r>
    </w:p>
    <w:p>
      <w:pPr>
        <w:rPr>
          <w:noProof/>
        </w:rPr>
      </w:pPr>
    </w:p>
    <w:p>
      <w:pPr>
        <w:spacing w:after="0"/>
        <w:rPr>
          <w:rFonts w:ascii="Times New Roman" w:eastAsia="Calibri" w:hAnsi="Times New Roman" w:cs="Times New Roman"/>
          <w:b/>
          <w:noProof/>
        </w:rPr>
      </w:pPr>
      <w:r>
        <w:rPr>
          <w:rFonts w:ascii="Times New Roman" w:eastAsia="Calibri" w:hAnsi="Times New Roman" w:cs="Times New Roman"/>
          <w:b/>
          <w:noProof/>
        </w:rPr>
        <w:t>Average EGF amount requested per beneficiary:</w:t>
      </w:r>
      <w:r>
        <w:rPr>
          <w:rFonts w:ascii="Times New Roman" w:eastAsia="Calibri" w:hAnsi="Times New Roman" w:cs="Times New Roman"/>
          <w:b/>
          <w:noProof/>
        </w:rPr>
        <w:tab/>
        <w:t xml:space="preserve"> </w:t>
      </w:r>
      <w:r>
        <w:rPr>
          <w:rFonts w:ascii="Times New Roman" w:eastAsia="Times New Roman" w:hAnsi="Times New Roman" w:cs="Times New Roman"/>
          <w:b/>
          <w:bCs/>
          <w:noProof/>
          <w:color w:val="000000"/>
          <w:lang w:eastAsia="en-GB"/>
        </w:rPr>
        <w:t xml:space="preserve">EUR </w:t>
      </w:r>
      <w:r>
        <w:rPr>
          <w:rFonts w:ascii="Times New Roman" w:eastAsia="Calibri" w:hAnsi="Times New Roman" w:cs="Times New Roman"/>
          <w:b/>
          <w:noProof/>
        </w:rPr>
        <w:t xml:space="preserve">4 114 </w:t>
      </w:r>
    </w:p>
    <w:p>
      <w:pPr>
        <w:spacing w:after="0"/>
        <w:rPr>
          <w:rFonts w:ascii="Times New Roman" w:eastAsia="Calibri" w:hAnsi="Times New Roman" w:cs="Times New Roman"/>
          <w:b/>
          <w:noProof/>
        </w:rPr>
      </w:pPr>
    </w:p>
    <w:p>
      <w:pPr>
        <w:spacing w:after="0"/>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eastAsia="Calibri" w:hAnsi="Times New Roman" w:cs="Times New Roman"/>
          <w:noProof/>
        </w:rPr>
        <w:t>On average, each of the 20 Member States applying for EGF support from 2007 to 2018, requested EUR 4 114 per targeted beneficiary. The highest average amount per beneficiary was requested by Austria (EUR 14 343 for 6 cases and 1 952 beneficiaries), followed by Denmark (EUR 10 215 for 10 cases and 6 234 beneficiaries), and Ireland (EUR 6 042 for 10 cases and 11 209 beneficiaries).</w:t>
      </w: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 </w:t>
      </w:r>
    </w:p>
    <w:p>
      <w:pPr>
        <w:rPr>
          <w:noProof/>
        </w:rPr>
        <w:sectPr>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708" w:gutter="0"/>
          <w:cols w:space="720"/>
          <w:docGrid w:linePitch="360"/>
        </w:sectPr>
      </w:pPr>
    </w:p>
    <w:p>
      <w:pPr>
        <w:pStyle w:val="Heading2"/>
        <w:jc w:val="center"/>
        <w:rPr>
          <w:rFonts w:ascii="Times New Roman" w:eastAsia="Calibri" w:hAnsi="Times New Roman" w:cs="Times New Roman"/>
          <w:b/>
          <w:i/>
          <w:noProof/>
          <w:color w:val="auto"/>
          <w:sz w:val="24"/>
          <w:szCs w:val="24"/>
        </w:rPr>
      </w:pPr>
      <w:bookmarkStart w:id="19" w:name="_Toc6243388"/>
      <w:r>
        <w:rPr>
          <w:rFonts w:ascii="Times New Roman" w:eastAsia="Calibri" w:hAnsi="Times New Roman" w:cs="Times New Roman"/>
          <w:b/>
          <w:i/>
          <w:noProof/>
          <w:color w:val="auto"/>
          <w:sz w:val="24"/>
          <w:szCs w:val="24"/>
        </w:rPr>
        <w:t>Table 3: EGF applications per sector submitted up to 31 December 2018</w:t>
      </w:r>
      <w:bookmarkEnd w:id="19"/>
    </w:p>
    <w:p>
      <w:pPr>
        <w:rPr>
          <w:noProof/>
        </w:rPr>
      </w:pPr>
      <w:r>
        <w:rPr>
          <w:noProof/>
          <w:lang w:eastAsia="en-GB"/>
        </w:rPr>
        <w:drawing>
          <wp:inline distT="0" distB="0" distL="0" distR="0">
            <wp:extent cx="5663866" cy="8393723"/>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62964" cy="8392386"/>
                    </a:xfrm>
                    <a:prstGeom prst="rect">
                      <a:avLst/>
                    </a:prstGeom>
                    <a:noFill/>
                    <a:ln>
                      <a:noFill/>
                    </a:ln>
                  </pic:spPr>
                </pic:pic>
              </a:graphicData>
            </a:graphic>
          </wp:inline>
        </w:drawing>
      </w:r>
    </w:p>
    <w:p>
      <w:pPr>
        <w:rPr>
          <w:noProof/>
        </w:rPr>
      </w:pPr>
      <w:r>
        <w:rPr>
          <w:noProof/>
          <w:lang w:eastAsia="en-GB"/>
        </w:rPr>
        <w:drawing>
          <wp:inline distT="0" distB="0" distL="0" distR="0">
            <wp:extent cx="5529205" cy="88470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31175" cy="8850168"/>
                    </a:xfrm>
                    <a:prstGeom prst="rect">
                      <a:avLst/>
                    </a:prstGeom>
                    <a:noFill/>
                    <a:ln>
                      <a:noFill/>
                    </a:ln>
                  </pic:spPr>
                </pic:pic>
              </a:graphicData>
            </a:graphic>
          </wp:inline>
        </w:drawing>
      </w:r>
    </w:p>
    <w:p>
      <w:pPr>
        <w:jc w:val="center"/>
        <w:rPr>
          <w:noProof/>
        </w:rPr>
      </w:pPr>
      <w:r>
        <w:rPr>
          <w:noProof/>
          <w:lang w:eastAsia="en-GB"/>
        </w:rPr>
        <w:drawing>
          <wp:inline distT="0" distB="0" distL="0" distR="0">
            <wp:extent cx="5619262" cy="8180422"/>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9261" cy="8180421"/>
                    </a:xfrm>
                    <a:prstGeom prst="rect">
                      <a:avLst/>
                    </a:prstGeom>
                    <a:noFill/>
                    <a:ln>
                      <a:noFill/>
                    </a:ln>
                  </pic:spPr>
                </pic:pic>
              </a:graphicData>
            </a:graphic>
          </wp:inline>
        </w:drawing>
      </w:r>
    </w:p>
    <w:p>
      <w:pPr>
        <w:rPr>
          <w:rFonts w:ascii="Times New Roman" w:hAnsi="Times New Roman" w:cs="Times New Roman"/>
          <w:i/>
          <w:noProof/>
          <w:sz w:val="20"/>
          <w:szCs w:val="20"/>
        </w:rPr>
        <w:sectPr>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r>
        <w:rPr>
          <w:rFonts w:ascii="Times New Roman" w:hAnsi="Times New Roman" w:cs="Times New Roman"/>
          <w:i/>
          <w:noProof/>
          <w:sz w:val="20"/>
          <w:szCs w:val="20"/>
        </w:rPr>
        <w:t xml:space="preserve">*The total number of applications from 2007 to 2018 is 160, but the case </w:t>
      </w:r>
      <w:r>
        <w:rPr>
          <w:rFonts w:ascii="Times New Roman" w:eastAsia="Times New Roman" w:hAnsi="Times New Roman" w:cs="Times New Roman"/>
          <w:i/>
          <w:iCs/>
          <w:noProof/>
          <w:color w:val="000000"/>
          <w:sz w:val="20"/>
          <w:szCs w:val="20"/>
          <w:lang w:eastAsia="en-GB"/>
        </w:rPr>
        <w:t xml:space="preserve">EGF/2016/003 EE/Petroleum and chemicals case </w:t>
      </w:r>
      <w:r>
        <w:rPr>
          <w:rFonts w:ascii="Times New Roman" w:hAnsi="Times New Roman" w:cs="Times New Roman"/>
          <w:i/>
          <w:noProof/>
          <w:sz w:val="20"/>
          <w:szCs w:val="20"/>
        </w:rPr>
        <w:t>belongs to two different sectors (19 and 20) and has therefore been listed twice in the table above.</w:t>
      </w:r>
    </w:p>
    <w:p>
      <w:pPr>
        <w:pStyle w:val="Heading2"/>
        <w:jc w:val="center"/>
        <w:rPr>
          <w:rFonts w:ascii="Times New Roman" w:hAnsi="Times New Roman" w:cs="Times New Roman"/>
          <w:b/>
          <w:i/>
          <w:noProof/>
          <w:color w:val="auto"/>
          <w:sz w:val="24"/>
          <w:szCs w:val="24"/>
        </w:rPr>
      </w:pPr>
      <w:bookmarkStart w:id="20" w:name="_Toc6243389"/>
      <w:r>
        <w:rPr>
          <w:rFonts w:ascii="Times New Roman" w:hAnsi="Times New Roman" w:cs="Times New Roman"/>
          <w:b/>
          <w:i/>
          <w:noProof/>
          <w:color w:val="auto"/>
          <w:sz w:val="24"/>
          <w:szCs w:val="24"/>
        </w:rPr>
        <w:t>Chart 13: Number of applications per sector (NACE Rev.2) between 2007 and 2018</w:t>
      </w:r>
      <w:bookmarkEnd w:id="20"/>
    </w:p>
    <w:p>
      <w:pPr>
        <w:rPr>
          <w:noProof/>
        </w:rPr>
      </w:pPr>
    </w:p>
    <w:p>
      <w:pPr>
        <w:rPr>
          <w:noProof/>
        </w:rPr>
      </w:pPr>
      <w:r>
        <w:rPr>
          <w:noProof/>
          <w:lang w:eastAsia="en-GB"/>
        </w:rPr>
        <w:drawing>
          <wp:inline distT="0" distB="0" distL="0" distR="0">
            <wp:extent cx="7877908" cy="3305908"/>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903892" cy="3316812"/>
                    </a:xfrm>
                    <a:prstGeom prst="rect">
                      <a:avLst/>
                    </a:prstGeom>
                    <a:noFill/>
                  </pic:spPr>
                </pic:pic>
              </a:graphicData>
            </a:graphic>
          </wp:inline>
        </w:drawing>
      </w:r>
    </w:p>
    <w:p>
      <w:pPr>
        <w:spacing w:after="0"/>
        <w:jc w:val="both"/>
        <w:rPr>
          <w:rFonts w:ascii="Times New Roman" w:eastAsia="Calibri" w:hAnsi="Times New Roman" w:cs="Times New Roman"/>
          <w:i/>
          <w:noProof/>
          <w:sz w:val="20"/>
          <w:szCs w:val="20"/>
        </w:rPr>
      </w:pPr>
      <w:r>
        <w:rPr>
          <w:rFonts w:ascii="Times New Roman" w:eastAsia="Calibri" w:hAnsi="Times New Roman" w:cs="Times New Roman"/>
          <w:i/>
          <w:noProof/>
          <w:sz w:val="20"/>
          <w:szCs w:val="20"/>
        </w:rPr>
        <w:t>*EGF/2016/003 EE/Petroleum and chemicals case refers to two different sectors (19 and 20)</w:t>
      </w:r>
    </w:p>
    <w:p>
      <w:pPr>
        <w:spacing w:after="0"/>
        <w:jc w:val="both"/>
        <w:rPr>
          <w:rFonts w:ascii="Times New Roman" w:eastAsia="Calibri" w:hAnsi="Times New Roman" w:cs="Times New Roman"/>
          <w:b/>
          <w:noProof/>
          <w:sz w:val="20"/>
          <w:szCs w:val="20"/>
        </w:rPr>
      </w:pPr>
    </w:p>
    <w:p>
      <w:pPr>
        <w:spacing w:after="0"/>
        <w:jc w:val="both"/>
        <w:rPr>
          <w:rFonts w:ascii="Times New Roman" w:eastAsia="Calibri" w:hAnsi="Times New Roman" w:cs="Times New Roman"/>
          <w:b/>
          <w:noProof/>
        </w:rPr>
      </w:pPr>
      <w:r>
        <w:rPr>
          <w:rFonts w:ascii="Times New Roman" w:eastAsia="Calibri" w:hAnsi="Times New Roman" w:cs="Times New Roman"/>
          <w:b/>
          <w:noProof/>
        </w:rPr>
        <w:t xml:space="preserve">Total number of sectors: </w:t>
      </w:r>
      <w:r>
        <w:rPr>
          <w:rFonts w:ascii="Times New Roman" w:eastAsia="Calibri" w:hAnsi="Times New Roman" w:cs="Times New Roman"/>
          <w:b/>
          <w:noProof/>
        </w:rPr>
        <w:tab/>
        <w:t>37</w:t>
      </w:r>
    </w:p>
    <w:p>
      <w:pPr>
        <w:spacing w:after="0"/>
        <w:jc w:val="both"/>
        <w:rPr>
          <w:rFonts w:ascii="Times New Roman" w:eastAsia="Times New Roman" w:hAnsi="Times New Roman" w:cs="Times New Roman"/>
          <w:noProof/>
          <w:color w:val="000000"/>
          <w:lang w:eastAsia="en-GB"/>
        </w:rPr>
      </w:pPr>
    </w:p>
    <w:p>
      <w:pPr>
        <w:jc w:val="both"/>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From 2007 to 2018 the Commission received 160 EGF applications related to a broad range of sectors (37). The greatest number of applications was received for the motor vehicles, trailers and semi-trailers sector (23), followed by computer, electronic and optical products sector (17) and the machinery and equipment sector (15). </w:t>
      </w:r>
    </w:p>
    <w:p>
      <w:pPr>
        <w:pStyle w:val="Heading2"/>
        <w:jc w:val="center"/>
        <w:rPr>
          <w:rFonts w:ascii="Times New Roman" w:hAnsi="Times New Roman" w:cs="Times New Roman"/>
          <w:b/>
          <w:i/>
          <w:noProof/>
          <w:color w:val="auto"/>
          <w:sz w:val="24"/>
          <w:szCs w:val="24"/>
        </w:rPr>
      </w:pPr>
      <w:bookmarkStart w:id="21" w:name="_Toc6243390"/>
      <w:r>
        <w:rPr>
          <w:rFonts w:ascii="Times New Roman" w:hAnsi="Times New Roman" w:cs="Times New Roman"/>
          <w:b/>
          <w:i/>
          <w:noProof/>
          <w:color w:val="auto"/>
          <w:sz w:val="24"/>
          <w:szCs w:val="24"/>
        </w:rPr>
        <w:t>Chart 14: Number of targeted workers per sector (NACE Rev. 2) between 2007 and 2018</w:t>
      </w:r>
      <w:bookmarkEnd w:id="21"/>
    </w:p>
    <w:p>
      <w:pPr>
        <w:rPr>
          <w:noProof/>
        </w:rPr>
      </w:pPr>
    </w:p>
    <w:p>
      <w:pPr>
        <w:rPr>
          <w:noProof/>
        </w:rPr>
      </w:pPr>
      <w:r>
        <w:rPr>
          <w:noProof/>
          <w:lang w:eastAsia="en-GB"/>
        </w:rPr>
        <w:drawing>
          <wp:inline distT="0" distB="0" distL="0" distR="0">
            <wp:extent cx="8721969" cy="3618086"/>
            <wp:effectExtent l="0" t="0" r="317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721969" cy="3618086"/>
                    </a:xfrm>
                    <a:prstGeom prst="rect">
                      <a:avLst/>
                    </a:prstGeom>
                    <a:noFill/>
                  </pic:spPr>
                </pic:pic>
              </a:graphicData>
            </a:graphic>
          </wp:inline>
        </w:drawing>
      </w:r>
    </w:p>
    <w:p>
      <w:pPr>
        <w:spacing w:after="0" w:line="240" w:lineRule="auto"/>
        <w:jc w:val="both"/>
        <w:rPr>
          <w:rFonts w:ascii="Times New Roman" w:eastAsia="Times New Roman" w:hAnsi="Times New Roman" w:cs="Times New Roman"/>
          <w:i/>
          <w:iCs/>
          <w:noProof/>
          <w:color w:val="000000"/>
          <w:sz w:val="20"/>
          <w:szCs w:val="20"/>
          <w:lang w:eastAsia="en-GB"/>
        </w:rPr>
      </w:pPr>
      <w:r>
        <w:rPr>
          <w:rFonts w:ascii="Times New Roman" w:eastAsia="Times New Roman" w:hAnsi="Times New Roman" w:cs="Times New Roman"/>
          <w:i/>
          <w:iCs/>
          <w:noProof/>
          <w:color w:val="000000"/>
          <w:sz w:val="18"/>
          <w:szCs w:val="18"/>
          <w:lang w:eastAsia="en-GB"/>
        </w:rPr>
        <w:t>*</w:t>
      </w:r>
      <w:r>
        <w:rPr>
          <w:rFonts w:ascii="Times New Roman" w:eastAsia="Times New Roman" w:hAnsi="Times New Roman" w:cs="Times New Roman"/>
          <w:i/>
          <w:iCs/>
          <w:noProof/>
          <w:color w:val="000000"/>
          <w:sz w:val="20"/>
          <w:szCs w:val="20"/>
          <w:lang w:eastAsia="en-GB"/>
        </w:rPr>
        <w:t xml:space="preserve">EGF/2016/003 EE/Petroleum and chemicals case refers to two different sectors (19 and 20). The number of targeted workers in these sectors are provided on a prorate basis, reflecting the composition of the group of redundant workers. </w:t>
      </w:r>
    </w:p>
    <w:p>
      <w:pPr>
        <w:spacing w:after="0"/>
        <w:jc w:val="both"/>
        <w:rPr>
          <w:rFonts w:ascii="Times New Roman" w:eastAsia="Calibri" w:hAnsi="Times New Roman" w:cs="Times New Roman"/>
          <w:b/>
          <w:noProof/>
        </w:rPr>
      </w:pPr>
    </w:p>
    <w:p>
      <w:pPr>
        <w:spacing w:after="0"/>
        <w:jc w:val="both"/>
        <w:rPr>
          <w:rFonts w:ascii="Times New Roman" w:eastAsia="Calibri" w:hAnsi="Times New Roman" w:cs="Times New Roman"/>
          <w:b/>
          <w:noProof/>
        </w:rPr>
      </w:pPr>
      <w:r>
        <w:rPr>
          <w:rFonts w:ascii="Times New Roman" w:eastAsia="Calibri" w:hAnsi="Times New Roman" w:cs="Times New Roman"/>
          <w:b/>
          <w:noProof/>
        </w:rPr>
        <w:t xml:space="preserve">Total number of targeted workers in 37 sectors: </w:t>
      </w:r>
      <w:r>
        <w:rPr>
          <w:rFonts w:ascii="Times New Roman" w:eastAsia="Calibri" w:hAnsi="Times New Roman" w:cs="Times New Roman"/>
          <w:b/>
          <w:noProof/>
        </w:rPr>
        <w:tab/>
        <w:t>149 993</w:t>
      </w:r>
    </w:p>
    <w:p>
      <w:pPr>
        <w:spacing w:after="0"/>
        <w:jc w:val="both"/>
        <w:rPr>
          <w:rFonts w:ascii="Times New Roman" w:eastAsia="Calibri" w:hAnsi="Times New Roman" w:cs="Times New Roman"/>
          <w:b/>
          <w:noProof/>
        </w:rPr>
      </w:pPr>
    </w:p>
    <w:p>
      <w:pPr>
        <w:jc w:val="both"/>
        <w:rPr>
          <w:rFonts w:ascii="Times New Roman" w:eastAsia="Calibri" w:hAnsi="Times New Roman" w:cs="Times New Roman"/>
          <w:noProof/>
        </w:rPr>
      </w:pPr>
      <w:r>
        <w:rPr>
          <w:rFonts w:ascii="Times New Roman" w:eastAsia="Calibri" w:hAnsi="Times New Roman" w:cs="Times New Roman"/>
          <w:noProof/>
        </w:rPr>
        <w:t>From 2007 to 2018 the Commission received EGF applications submitted by 20 Member States for 149 993 workers made redundant in 37 different sectors. The greatest number of workers was targeted in the sector motor vehicles, trailers and semi-trailers (33 202), followed by the computer, electronic and optical products sector (21 263), and the machinery and equipment sector (11 657).</w:t>
      </w:r>
    </w:p>
    <w:sectPr>
      <w:headerReference w:type="even" r:id="rId67"/>
      <w:headerReference w:type="default" r:id="rId68"/>
      <w:footerReference w:type="even" r:id="rId69"/>
      <w:footerReference w:type="default" r:id="rId70"/>
      <w:headerReference w:type="first" r:id="rId71"/>
      <w:footerReference w:type="first" r:id="rId72"/>
      <w:pgSz w:w="16838" w:h="11906" w:orient="landscape"/>
      <w:pgMar w:top="810"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4975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noProof/>
          </w:rPr>
          <w:fldChar w:fldCharType="end"/>
        </w:r>
      </w:p>
    </w:sdtContent>
  </w:sdt>
  <w:p>
    <w:pPr>
      <w:pStyle w:val="Footer"/>
      <w:jc w:val="center"/>
      <w:rPr>
        <w:lang w:val="fr-B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037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w:t>
        </w:r>
        <w:r>
          <w:rPr>
            <w:rFonts w:ascii="Times New Roman" w:hAnsi="Times New Roman" w:cs="Times New Roman"/>
            <w:noProof/>
          </w:rPr>
          <w:fldChar w:fldCharType="end"/>
        </w:r>
      </w:p>
    </w:sdtContent>
  </w:sdt>
  <w:p>
    <w:pPr>
      <w:pStyle w:val="Footer"/>
      <w:jc w:val="center"/>
      <w:rPr>
        <w:lang w:val="fr-BE"/>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5567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noProof/>
          </w:rPr>
          <w:fldChar w:fldCharType="end"/>
        </w:r>
      </w:p>
    </w:sdtContent>
  </w:sdt>
  <w:p>
    <w:pPr>
      <w:pStyle w:val="Footer"/>
      <w:jc w:val="center"/>
      <w:rPr>
        <w:lang w:val="fr-B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0100669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22</w:t>
        </w:r>
        <w:r>
          <w:rPr>
            <w:rFonts w:ascii="Times New Roman" w:hAnsi="Times New Roman" w:cs="Times New Roman"/>
            <w:noProof/>
          </w:rPr>
          <w:fldChar w:fldCharType="end"/>
        </w:r>
      </w:p>
    </w:sdtContent>
  </w:sdt>
  <w:p>
    <w:pPr>
      <w:pStyle w:val="Footer"/>
    </w:pPr>
  </w:p>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983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jc w:val="cen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14485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noProof/>
          </w:rPr>
          <w:fldChar w:fldCharType="end"/>
        </w:r>
      </w:p>
    </w:sdtContent>
  </w:sdt>
  <w:p>
    <w:pPr>
      <w:pStyle w:val="Footer"/>
      <w:jc w:val="center"/>
      <w:rPr>
        <w:lang w:val="fr-B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Fonts w:cs="Times New Roman"/>
          <w:sz w:val="18"/>
          <w:szCs w:val="18"/>
        </w:rPr>
        <w:footnoteRef/>
      </w:r>
      <w:r>
        <w:rPr>
          <w:sz w:val="18"/>
          <w:szCs w:val="18"/>
        </w:rPr>
        <w:t xml:space="preserve">This figure rises to 51 if we take into account the three cases withdrawn. However, withdrawn and rejected cases are not considered in the statistics. </w:t>
      </w:r>
    </w:p>
  </w:footnote>
  <w:footnote w:id="2">
    <w:p>
      <w:pPr>
        <w:pStyle w:val="FootnoteText"/>
        <w:jc w:val="both"/>
        <w:rPr>
          <w:sz w:val="18"/>
          <w:szCs w:val="18"/>
        </w:rPr>
      </w:pPr>
      <w:r>
        <w:rPr>
          <w:rStyle w:val="FootnoteReference"/>
          <w:rFonts w:cs="Times New Roman"/>
          <w:sz w:val="18"/>
          <w:szCs w:val="18"/>
        </w:rPr>
        <w:footnoteRef/>
      </w:r>
      <w:r>
        <w:rPr>
          <w:rStyle w:val="FootnoteReference"/>
          <w:rFonts w:cs="Times New Roman"/>
          <w:sz w:val="18"/>
          <w:szCs w:val="18"/>
        </w:rPr>
        <w:t xml:space="preserve"> </w:t>
      </w:r>
      <w:r>
        <w:rPr>
          <w:sz w:val="18"/>
          <w:szCs w:val="18"/>
        </w:rPr>
        <w:t xml:space="preserve">Number of targeted beneficiaries estimated by the Member States at the application phase.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31194"/>
    <w:multiLevelType w:val="hybridMultilevel"/>
    <w:tmpl w:val="D8802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BD7614"/>
    <w:multiLevelType w:val="hybridMultilevel"/>
    <w:tmpl w:val="CE88D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5B7ACF"/>
    <w:multiLevelType w:val="hybridMultilevel"/>
    <w:tmpl w:val="ED44D5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89EB931A-F2E2-4159-BCE7-1F22936FFAA7"/>
    <w:docVar w:name="LW_COVERPAGE_TYPE" w:val="1"/>
    <w:docVar w:name="LW_CROSSREFERENCE" w:val="&lt;UNUSED&gt;"/>
    <w:docVar w:name="LW_DocType" w:val="NORMAL"/>
    <w:docVar w:name="LW_EMISSION" w:val="16.9.2019"/>
    <w:docVar w:name="LW_EMISSION_ISODATE" w:val="2019-09-16"/>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REPORT FROM THE COMMISSION TO THE EUROPEAN PARLIAMENT AND THE COUNCIL _x000b_on the activities of the European Globalisation Adjustment Fund in 2017 and 2018"/>
    <w:docVar w:name="LW_PART_NBR" w:val="1"/>
    <w:docVar w:name="LW_PART_NBR_TOTAL" w:val="1"/>
    <w:docVar w:name="LW_REF.INST.NEW" w:val="COM"/>
    <w:docVar w:name="LW_REF.INST.NEW_ADOPTED" w:val="final"/>
    <w:docVar w:name="LW_REF.INST.NEW_TEXT" w:val="(2019)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qFormat/>
    <w:pPr>
      <w:tabs>
        <w:tab w:val="right" w:leader="dot" w:pos="9062"/>
      </w:tabs>
      <w:spacing w:after="100"/>
    </w:pPr>
    <w:rPr>
      <w:rFonts w:ascii="Times New Roman" w:hAnsi="Times New Roman"/>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qFormat/>
    <w:pPr>
      <w:spacing w:after="100"/>
      <w:ind w:left="220"/>
    </w:pPr>
    <w:rPr>
      <w:rFonts w:ascii="Times New Roman" w:eastAsiaTheme="minorEastAsia" w:hAnsi="Times New Roman"/>
      <w:lang w:val="en-US" w:eastAsia="ja-JP"/>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rFonts w:asciiTheme="minorHAnsi" w:hAnsiTheme="minorHAnsi"/>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qFormat/>
    <w:pPr>
      <w:tabs>
        <w:tab w:val="right" w:leader="dot" w:pos="9062"/>
      </w:tabs>
      <w:spacing w:after="100"/>
    </w:pPr>
    <w:rPr>
      <w:rFonts w:ascii="Times New Roman" w:hAnsi="Times New Roman"/>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qFormat/>
    <w:pPr>
      <w:spacing w:after="100"/>
      <w:ind w:left="220"/>
    </w:pPr>
    <w:rPr>
      <w:rFonts w:ascii="Times New Roman" w:eastAsiaTheme="minorEastAsia" w:hAnsi="Times New Roman"/>
      <w:lang w:val="en-US" w:eastAsia="ja-JP"/>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rFonts w:asciiTheme="minorHAnsi" w:hAnsiTheme="minorHAnsi"/>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57126">
      <w:bodyDiv w:val="1"/>
      <w:marLeft w:val="0"/>
      <w:marRight w:val="0"/>
      <w:marTop w:val="0"/>
      <w:marBottom w:val="0"/>
      <w:divBdr>
        <w:top w:val="none" w:sz="0" w:space="0" w:color="auto"/>
        <w:left w:val="none" w:sz="0" w:space="0" w:color="auto"/>
        <w:bottom w:val="none" w:sz="0" w:space="0" w:color="auto"/>
        <w:right w:val="none" w:sz="0" w:space="0" w:color="auto"/>
      </w:divBdr>
    </w:div>
    <w:div w:id="1565725142">
      <w:bodyDiv w:val="1"/>
      <w:marLeft w:val="0"/>
      <w:marRight w:val="0"/>
      <w:marTop w:val="0"/>
      <w:marBottom w:val="0"/>
      <w:divBdr>
        <w:top w:val="none" w:sz="0" w:space="0" w:color="auto"/>
        <w:left w:val="none" w:sz="0" w:space="0" w:color="auto"/>
        <w:bottom w:val="none" w:sz="0" w:space="0" w:color="auto"/>
        <w:right w:val="none" w:sz="0" w:space="0" w:color="auto"/>
      </w:divBdr>
    </w:div>
    <w:div w:id="1654678320">
      <w:bodyDiv w:val="1"/>
      <w:marLeft w:val="0"/>
      <w:marRight w:val="0"/>
      <w:marTop w:val="0"/>
      <w:marBottom w:val="0"/>
      <w:divBdr>
        <w:top w:val="none" w:sz="0" w:space="0" w:color="auto"/>
        <w:left w:val="none" w:sz="0" w:space="0" w:color="auto"/>
        <w:bottom w:val="none" w:sz="0" w:space="0" w:color="auto"/>
        <w:right w:val="none" w:sz="0" w:space="0" w:color="auto"/>
      </w:divBdr>
    </w:div>
    <w:div w:id="2025982904">
      <w:bodyDiv w:val="1"/>
      <w:marLeft w:val="0"/>
      <w:marRight w:val="0"/>
      <w:marTop w:val="0"/>
      <w:marBottom w:val="0"/>
      <w:divBdr>
        <w:top w:val="none" w:sz="0" w:space="0" w:color="auto"/>
        <w:left w:val="none" w:sz="0" w:space="0" w:color="auto"/>
        <w:bottom w:val="none" w:sz="0" w:space="0" w:color="auto"/>
        <w:right w:val="none" w:sz="0" w:space="0" w:color="auto"/>
      </w:divBdr>
    </w:div>
    <w:div w:id="21028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9" Type="http://schemas.openxmlformats.org/officeDocument/2006/relationships/header" Target="header10.xml"/><Relationship Id="rId21" Type="http://schemas.openxmlformats.org/officeDocument/2006/relationships/image" Target="media/image7.png"/><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image" Target="media/image15.png"/><Relationship Id="rId50" Type="http://schemas.openxmlformats.org/officeDocument/2006/relationships/header" Target="header13.xml"/><Relationship Id="rId55" Type="http://schemas.openxmlformats.org/officeDocument/2006/relationships/footer" Target="footer15.xml"/><Relationship Id="rId63" Type="http://schemas.openxmlformats.org/officeDocument/2006/relationships/header" Target="header18.xml"/><Relationship Id="rId68" Type="http://schemas.openxmlformats.org/officeDocument/2006/relationships/header" Target="header20.xml"/><Relationship Id="rId7" Type="http://schemas.openxmlformats.org/officeDocument/2006/relationships/footnotes" Target="footnotes.xml"/><Relationship Id="rId71"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image" Target="media/image12.emf"/><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image" Target="media/image13.emf"/><Relationship Id="rId53" Type="http://schemas.openxmlformats.org/officeDocument/2006/relationships/footer" Target="footer14.xml"/><Relationship Id="rId58" Type="http://schemas.openxmlformats.org/officeDocument/2006/relationships/image" Target="media/image20.emf"/><Relationship Id="rId66" Type="http://schemas.openxmlformats.org/officeDocument/2006/relationships/image" Target="media/image22.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36" Type="http://schemas.openxmlformats.org/officeDocument/2006/relationships/footer" Target="footer8.xml"/><Relationship Id="rId49" Type="http://schemas.openxmlformats.org/officeDocument/2006/relationships/image" Target="media/image17.png"/><Relationship Id="rId57" Type="http://schemas.openxmlformats.org/officeDocument/2006/relationships/image" Target="media/image19.emf"/><Relationship Id="rId61" Type="http://schemas.openxmlformats.org/officeDocument/2006/relationships/footer" Target="footer1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1.emf"/><Relationship Id="rId44" Type="http://schemas.openxmlformats.org/officeDocument/2006/relationships/footer" Target="footer12.xml"/><Relationship Id="rId52" Type="http://schemas.openxmlformats.org/officeDocument/2006/relationships/footer" Target="footer13.xml"/><Relationship Id="rId60" Type="http://schemas.openxmlformats.org/officeDocument/2006/relationships/header" Target="header17.xml"/><Relationship Id="rId65" Type="http://schemas.openxmlformats.org/officeDocument/2006/relationships/image" Target="media/image21.pn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image" Target="media/image10.emf"/><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image" Target="media/image16.png"/><Relationship Id="rId56" Type="http://schemas.openxmlformats.org/officeDocument/2006/relationships/image" Target="media/image18.emf"/><Relationship Id="rId64" Type="http://schemas.openxmlformats.org/officeDocument/2006/relationships/footer" Target="footer18.xml"/><Relationship Id="rId69"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image" Target="media/image14.png"/><Relationship Id="rId59" Type="http://schemas.openxmlformats.org/officeDocument/2006/relationships/header" Target="header16.xml"/><Relationship Id="rId67" Type="http://schemas.openxmlformats.org/officeDocument/2006/relationships/header" Target="header19.xml"/><Relationship Id="rId20" Type="http://schemas.openxmlformats.org/officeDocument/2006/relationships/image" Target="media/image6.png"/><Relationship Id="rId41" Type="http://schemas.openxmlformats.org/officeDocument/2006/relationships/footer" Target="footer10.xml"/><Relationship Id="rId54" Type="http://schemas.openxmlformats.org/officeDocument/2006/relationships/header" Target="header15.xml"/><Relationship Id="rId62" Type="http://schemas.openxmlformats.org/officeDocument/2006/relationships/footer" Target="footer17.xml"/><Relationship Id="rId70"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57C0C8-A8F7-48F9-B6AD-08AE83C0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2118</Words>
  <Characters>10824</Characters>
  <Application>Microsoft Office Word</Application>
  <DocSecurity>0</DocSecurity>
  <Lines>292</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NYARI Barbara (EMPL)</dc:creator>
  <cp:lastModifiedBy>WES PDFC Administrator</cp:lastModifiedBy>
  <cp:revision>7</cp:revision>
  <cp:lastPrinted>2019-07-17T09:00:00Z</cp:lastPrinted>
  <dcterms:created xsi:type="dcterms:W3CDTF">2019-07-23T09:23:00Z</dcterms:created>
  <dcterms:modified xsi:type="dcterms:W3CDTF">2019-09-09T12:30:00Z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