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52679080-475E-4709-88CA-016154CF7C72" style="width:450.35pt;height:438.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w:t>
      </w:r>
    </w:p>
    <w:p>
      <w:pPr>
        <w:jc w:val="center"/>
        <w:rPr>
          <w:b/>
          <w:noProof/>
        </w:rPr>
      </w:pPr>
      <w:r>
        <w:rPr>
          <w:b/>
          <w:noProof/>
        </w:rPr>
        <w:t>Указания за водене на преговори</w:t>
      </w:r>
    </w:p>
    <w:p>
      <w:pPr>
        <w:rPr>
          <w:noProof/>
        </w:rPr>
      </w:pPr>
      <w:r>
        <w:rPr>
          <w:noProof/>
        </w:rPr>
        <w:t>В хода на преговорите Комисията следва да се стреми към постигане на целите, които са подробно описани по-долу.</w:t>
      </w:r>
    </w:p>
    <w:p>
      <w:pPr>
        <w:pStyle w:val="Heading1"/>
        <w:numPr>
          <w:ilvl w:val="0"/>
          <w:numId w:val="1"/>
        </w:numPr>
        <w:rPr>
          <w:noProof/>
        </w:rPr>
      </w:pPr>
      <w:r>
        <w:rPr>
          <w:noProof/>
        </w:rPr>
        <w:t>Цел и приложно поле на споразумението</w:t>
      </w:r>
    </w:p>
    <w:p>
      <w:pPr>
        <w:rPr>
          <w:noProof/>
        </w:rPr>
      </w:pPr>
      <w:r>
        <w:rPr>
          <w:noProof/>
        </w:rPr>
        <w:t>Целта на споразумението е да се измени действащото споразумение между Европейския съюз и Република Кабо Верде за улесняване на издаването на визи за краткосрочно пребиваване на граждани на Република Кабо Верде и на Европейския съюз (наричано по-нататък „действащото споразумение“)</w:t>
      </w:r>
      <w:r>
        <w:rPr>
          <w:rStyle w:val="FootnoteReference"/>
          <w:noProof/>
        </w:rPr>
        <w:footnoteReference w:id="1"/>
      </w:r>
      <w:r>
        <w:rPr>
          <w:noProof/>
        </w:rPr>
        <w:t xml:space="preserve">. Действащото споразумение, което влезе в сила на 1 декември 2014 г., се прилага към издаването на визи за граждани на Република Кабо Верде (наричана по-нататък „Кабо Верде“) за планиран престой в Шенгенското пространство с продължителност от не повече от 90 дни в рамките на период от 180 дни. </w:t>
      </w:r>
    </w:p>
    <w:p>
      <w:pPr>
        <w:rPr>
          <w:noProof/>
        </w:rPr>
      </w:pPr>
      <w:r>
        <w:rPr>
          <w:noProof/>
        </w:rPr>
        <w:t>От 1 януари 2019 г. гражданите на ЕС са освободени от изискването за притежаване на виза (за престой до 30 дни) за пътувания до Кабо Верде. По принцип гражданите на ЕС могат да се възползват от предвидените в Споразумението улеснения за престой с продължителност над 30 дни и до 90 дни в рамките на период от 180 дни.</w:t>
      </w:r>
    </w:p>
    <w:p>
      <w:pPr>
        <w:rPr>
          <w:noProof/>
        </w:rPr>
      </w:pPr>
      <w:r>
        <w:rPr>
          <w:noProof/>
        </w:rPr>
        <w:t xml:space="preserve">Споразумението за изменение ще се прилага изцяло, на основата на принципа за реципрочност, и ако Кабо Верде реши да наложи отново изискване за притежаване на виза за гражданите на ЕС. </w:t>
      </w:r>
    </w:p>
    <w:p>
      <w:pPr>
        <w:rPr>
          <w:noProof/>
        </w:rPr>
      </w:pPr>
      <w:r>
        <w:rPr>
          <w:noProof/>
        </w:rPr>
        <w:t>Споразумението за изменение следва да съдържа ясни, недвусмислени и правно обвързващи права и задължения за улесняване на процедурите за кандидатстване и издаване на визи за граждани на Кабо Верде, като се вземат под внимание правилата на преработения Визов кодекс</w:t>
      </w:r>
      <w:r>
        <w:rPr>
          <w:rStyle w:val="FootnoteReference"/>
          <w:noProof/>
        </w:rPr>
        <w:footnoteReference w:id="2"/>
      </w:r>
      <w:r>
        <w:rPr>
          <w:noProof/>
        </w:rPr>
        <w:t xml:space="preserve">. </w:t>
      </w:r>
    </w:p>
    <w:p>
      <w:pPr>
        <w:rPr>
          <w:noProof/>
        </w:rPr>
      </w:pPr>
      <w:r>
        <w:rPr>
          <w:noProof/>
        </w:rPr>
        <w:t xml:space="preserve"> </w:t>
      </w:r>
    </w:p>
    <w:p>
      <w:pPr>
        <w:pStyle w:val="Heading1"/>
        <w:spacing w:before="120"/>
        <w:rPr>
          <w:noProof/>
        </w:rPr>
      </w:pPr>
      <w:r>
        <w:rPr>
          <w:noProof/>
        </w:rPr>
        <w:t>Специфични въпроси</w:t>
      </w:r>
    </w:p>
    <w:p>
      <w:pPr>
        <w:rPr>
          <w:noProof/>
        </w:rPr>
      </w:pPr>
      <w:r>
        <w:rPr>
          <w:noProof/>
        </w:rPr>
        <w:t>Споразумението за изменение следва да взема под внимание действащото споразумение, предишни споразумения за облекчаване на визовия режим между Съюза и други трети държави и конкретната ситуация на Кабо Верде, която е първата несъседна на ЕС държава, с която ЕС е сключил споразумение за облекчаване на визовия режим успоредно със споразумение за обратно приемане.</w:t>
      </w:r>
    </w:p>
    <w:p>
      <w:pPr>
        <w:rPr>
          <w:noProof/>
        </w:rPr>
      </w:pPr>
      <w:r>
        <w:rPr>
          <w:noProof/>
        </w:rPr>
        <w:t xml:space="preserve">Освен това изменението на Визовия кодекс, което влезе в сила на 2 август 2019 г. и ще се прилага от 2 февруари 2020 г., предвижда промени в общите правила за процедурите за издаване на виза. Преработените правила също следва да се вземат под внимание, за да се гарантира, че предложените на Кабо Верде улеснения в споразумението за изменение продължават да надхвърлят общите правила, посочени в преработения Визов кодекс. </w:t>
      </w:r>
    </w:p>
    <w:p>
      <w:pPr>
        <w:rPr>
          <w:noProof/>
        </w:rPr>
      </w:pPr>
    </w:p>
    <w:p>
      <w:pPr>
        <w:pStyle w:val="Heading2"/>
        <w:rPr>
          <w:noProof/>
        </w:rPr>
      </w:pPr>
      <w:r>
        <w:rPr>
          <w:noProof/>
        </w:rPr>
        <w:t>Визова такса</w:t>
      </w:r>
    </w:p>
    <w:p>
      <w:pPr>
        <w:rPr>
          <w:noProof/>
        </w:rPr>
      </w:pPr>
      <w:r>
        <w:rPr>
          <w:noProof/>
        </w:rPr>
        <w:t xml:space="preserve">В споразумението за изменение следва да се определи таксата за обработване на заявленията за виза, която да се равнява на половината от размера, предвиден в националното законодателство на договарящите се страни. </w:t>
      </w:r>
    </w:p>
    <w:p>
      <w:pPr>
        <w:rPr>
          <w:noProof/>
        </w:rPr>
      </w:pPr>
      <w:r>
        <w:rPr>
          <w:noProof/>
        </w:rPr>
        <w:t>В допълнение към категориите, посочени в член 5, параграф 1 от действащото споразумение, таксата следва да бъде премахната и за кандидатите под 18-годишна възраст. Освен това може да бъде разгледана възможността за включването и на други категории кандидати, като например близки роднини на граждани на ЕС.</w:t>
      </w:r>
    </w:p>
    <w:p>
      <w:pPr>
        <w:rPr>
          <w:b/>
          <w:noProof/>
        </w:rPr>
      </w:pPr>
    </w:p>
    <w:p>
      <w:pPr>
        <w:rPr>
          <w:b/>
          <w:noProof/>
        </w:rPr>
      </w:pPr>
      <w:r>
        <w:rPr>
          <w:b/>
          <w:noProof/>
        </w:rPr>
        <w:t>2.2.</w:t>
      </w:r>
      <w:r>
        <w:rPr>
          <w:b/>
          <w:noProof/>
        </w:rPr>
        <w:tab/>
        <w:t>Многократни визи с дълъг срок на валидност</w:t>
      </w:r>
    </w:p>
    <w:p>
      <w:pPr>
        <w:rPr>
          <w:noProof/>
        </w:rPr>
      </w:pPr>
      <w:r>
        <w:rPr>
          <w:noProof/>
        </w:rPr>
        <w:t>Правилата за издаване на петгодишни многократни визи за някои категории граждани, определени в член 4, параграф 1 от действащото споразумение, следва да продължат да се прилагат.</w:t>
      </w:r>
    </w:p>
    <w:p>
      <w:pPr>
        <w:rPr>
          <w:noProof/>
        </w:rPr>
      </w:pPr>
      <w:r>
        <w:rPr>
          <w:noProof/>
        </w:rPr>
        <w:t xml:space="preserve">В допълнение споразумението за изменение следва да определи правилата за издаване на многократни визи за всички останали кандидати въз основа на разпоредбите на член 24 от преработения Визов кодекс. </w:t>
      </w:r>
    </w:p>
    <w:p>
      <w:pPr>
        <w:rPr>
          <w:noProof/>
        </w:rPr>
      </w:pPr>
      <w:r>
        <w:rPr>
          <w:noProof/>
        </w:rPr>
        <w:t>С член 24, параграф 2 от преработения Визов кодекс се установява обща система за издаване на визи на каскаден принцип за всички кандидати, независимо от целта на пътуването им. В споразумението за изменение следва да бъде установен сходен подход.</w:t>
      </w:r>
    </w:p>
    <w:p>
      <w:pPr>
        <w:rPr>
          <w:noProof/>
        </w:rPr>
      </w:pPr>
      <w:r>
        <w:rPr>
          <w:noProof/>
        </w:rPr>
        <w:t>Споразумението за изменение следва да улесни издаването на многократни визи чрез намаляване на броя на получените по-рано и правомерно използвани визи и/или чрез увеличаване на референтните периоди, през които следва да бъде получен и правомерно използван определеният брой визи. Такава система на каскаден принцип би могла например да бъде следната:</w:t>
      </w:r>
    </w:p>
    <w:p>
      <w:pPr>
        <w:pStyle w:val="Tiret0"/>
        <w:numPr>
          <w:ilvl w:val="0"/>
          <w:numId w:val="24"/>
        </w:numPr>
        <w:rPr>
          <w:noProof/>
        </w:rPr>
      </w:pPr>
      <w:r>
        <w:rPr>
          <w:noProof/>
        </w:rPr>
        <w:t>след получаването и правомерното използване на една или две визи през предходните 24 месеца, кандидатите следва да получат многократна виза със срок на валидност от една година, когато кандидатстват за следващата виза;</w:t>
      </w:r>
    </w:p>
    <w:p>
      <w:pPr>
        <w:pStyle w:val="Tiret0"/>
        <w:rPr>
          <w:noProof/>
        </w:rPr>
      </w:pPr>
      <w:r>
        <w:rPr>
          <w:noProof/>
        </w:rPr>
        <w:t>след правомерното използване на една едногодишна многократна виза през предходните 30 или 36 месеца, на кандидата следва да бъде издадена многократна виза с по-дълъг срок на валидност (например две или три години);</w:t>
      </w:r>
    </w:p>
    <w:p>
      <w:pPr>
        <w:pStyle w:val="Tiret0"/>
        <w:rPr>
          <w:i/>
          <w:noProof/>
        </w:rPr>
      </w:pPr>
      <w:r>
        <w:rPr>
          <w:noProof/>
        </w:rPr>
        <w:t>след правомерното използване на една двегодишна или тригодишна многократна виза през предходните 42 или 48 месеца, на кандидата следва да бъде издадена многократна виза с по-дълъг срок на валидност (например три или максимум пет години).</w:t>
      </w:r>
    </w:p>
    <w:p>
      <w:pPr>
        <w:rPr>
          <w:b/>
          <w:noProof/>
        </w:rPr>
      </w:pPr>
    </w:p>
    <w:p>
      <w:pPr>
        <w:rPr>
          <w:b/>
          <w:noProof/>
        </w:rPr>
      </w:pPr>
      <w:r>
        <w:rPr>
          <w:b/>
          <w:noProof/>
        </w:rPr>
        <w:t>2.3.</w:t>
      </w:r>
      <w:r>
        <w:rPr>
          <w:b/>
          <w:noProof/>
        </w:rPr>
        <w:tab/>
        <w:t>Придружаващи документи</w:t>
      </w:r>
    </w:p>
    <w:p>
      <w:pPr>
        <w:rPr>
          <w:noProof/>
        </w:rPr>
      </w:pPr>
      <w:r>
        <w:rPr>
          <w:noProof/>
        </w:rPr>
        <w:t>Измененото споразумение следва да предвижда улеснения във връзка с придружаващите документи, които трябва да бъдат представени при кандидатстване за виза.</w:t>
      </w:r>
    </w:p>
    <w:p>
      <w:pPr>
        <w:rPr>
          <w:noProof/>
        </w:rPr>
      </w:pPr>
      <w:r>
        <w:rPr>
          <w:noProof/>
        </w:rPr>
        <w:t>Броят на документите, които трябва да бъдат представени за доказване на целта на пътуването на кандидата, следва по принцип да бъде намален до един придружаващ документ за всяка категория кандидати, обхванати от споразумението за изменение.</w:t>
      </w:r>
    </w:p>
    <w:p>
      <w:pPr>
        <w:rPr>
          <w:noProof/>
        </w:rPr>
      </w:pPr>
      <w:r>
        <w:rPr>
          <w:noProof/>
        </w:rPr>
        <w:t xml:space="preserve">Кандидати, които вече са получили и правомерно използвали многократна виза (със срок на валидност от поне една година), следва по принцип да бъдат освободени от изискването за представяне на придружаващи документи във връзка с настаняване или на доказателство за достатъчно средства за настаняване. </w:t>
      </w:r>
    </w:p>
    <w:p>
      <w:pPr>
        <w:rPr>
          <w:noProof/>
        </w:rPr>
      </w:pPr>
    </w:p>
    <w:p>
      <w:pPr>
        <w:rPr>
          <w:b/>
          <w:noProof/>
        </w:rPr>
      </w:pPr>
      <w:r>
        <w:rPr>
          <w:b/>
          <w:noProof/>
        </w:rPr>
        <w:t>2.4.</w:t>
      </w:r>
      <w:r>
        <w:rPr>
          <w:b/>
          <w:noProof/>
        </w:rPr>
        <w:tab/>
        <w:t xml:space="preserve">Освобождаване от изискването за виза за притежателите на разрешения за преминаване на ЕС </w:t>
      </w:r>
    </w:p>
    <w:p>
      <w:pPr>
        <w:rPr>
          <w:noProof/>
        </w:rPr>
      </w:pPr>
      <w:r>
        <w:rPr>
          <w:noProof/>
        </w:rPr>
        <w:t>Споразумението за изменение следва да освобождава от изискването за виза притежателите на разрешение за преминаване на ЕС, издадено на някои служители на институциите на Съюза в съответствие с Регламент (ЕС) № 1417/2013 на Съвета.</w:t>
      </w:r>
    </w:p>
    <w:p>
      <w:pPr>
        <w:rPr>
          <w:noProof/>
        </w:rPr>
      </w:pPr>
    </w:p>
    <w:p>
      <w:pPr>
        <w:rPr>
          <w:b/>
          <w:noProof/>
        </w:rPr>
      </w:pPr>
      <w:r>
        <w:rPr>
          <w:b/>
          <w:noProof/>
        </w:rPr>
        <w:t>2.5.</w:t>
      </w:r>
      <w:r>
        <w:rPr>
          <w:b/>
          <w:noProof/>
        </w:rPr>
        <w:tab/>
        <w:t>Клауза за временно спиране на прилагането</w:t>
      </w:r>
    </w:p>
    <w:p>
      <w:pPr>
        <w:rPr>
          <w:noProof/>
        </w:rPr>
      </w:pPr>
      <w:r>
        <w:rPr>
          <w:noProof/>
        </w:rPr>
        <w:t xml:space="preserve">Споразумението за изменение следва да измени заключителните разпоредби на действащото споразумение, като предостави възможността договарящите страни да спрат временно прилагането му, изцяло или частично, независимо от причината и недвусмислено, ако бъде преценено, че сътрудничеството на Кабо Верде в сферата на обратното приемане не е достатъчно. </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426" w:hanging="436"/>
      </w:pPr>
      <w:r>
        <w:rPr>
          <w:rStyle w:val="FootnoteReference"/>
        </w:rPr>
        <w:footnoteRef/>
      </w:r>
      <w:r>
        <w:tab/>
        <w:t>OВ L 282, 24.10.2013 г., стр. 3.</w:t>
      </w:r>
    </w:p>
  </w:footnote>
  <w:footnote w:id="2">
    <w:p>
      <w:pPr>
        <w:pStyle w:val="FootnoteText"/>
        <w:ind w:left="426" w:hanging="436"/>
      </w:pPr>
      <w:r>
        <w:rPr>
          <w:rStyle w:val="FootnoteReference"/>
        </w:rPr>
        <w:footnoteRef/>
      </w:r>
      <w:r>
        <w:tab/>
        <w:t>Регламент (ЕС) 2019/1155 на Европейския парламент и на Съвета от 20 юни 2019 г. за изменение на Регламент (ЕО) № 810/2009 за създаване на Визов кодекс на Общността (Визов кодекс). OВ L 188, 12.7.2019 г., стр.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48E4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36CAD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1FA15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A5216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02F78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9DE48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02CCB98"/>
    <w:lvl w:ilvl="0">
      <w:start w:val="1"/>
      <w:numFmt w:val="decimal"/>
      <w:pStyle w:val="ListNumber"/>
      <w:lvlText w:val="%1."/>
      <w:lvlJc w:val="left"/>
      <w:pPr>
        <w:tabs>
          <w:tab w:val="num" w:pos="360"/>
        </w:tabs>
        <w:ind w:left="360" w:hanging="360"/>
      </w:pPr>
    </w:lvl>
  </w:abstractNum>
  <w:abstractNum w:abstractNumId="7">
    <w:nsid w:val="FFFFFF89"/>
    <w:multiLevelType w:val="singleLevel"/>
    <w:tmpl w:val="6128BEE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lvlOverride w:ilvl="0">
      <w:startOverride w:val="1"/>
    </w:lvlOverride>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13 14:09:2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52679080-475E-4709-88CA-016154CF7C72"/>
    <w:docVar w:name="LW_COVERPAGE_TYPE" w:val="1"/>
    <w:docVar w:name="LW_CROSSREFERENCE" w:val="&lt;UNUSED&gt;"/>
    <w:docVar w:name="LW_DocType" w:val="ANNEX"/>
    <w:docVar w:name="LW_EMISSION" w:val="13.9.2019"/>
    <w:docVar w:name="LW_EMISSION_ISODATE" w:val="2019-09-13"/>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8?\u1072?\u1079?\u1088?\u1077?\u1096?\u1072?\u1074?\u1072?\u1085?\u1077? \u1085?\u1072? \u1079?\u1072?\u1087?\u1086?\u1095?\u1074?\u1072?\u1085?\u1077?\u1090?\u1086? \u1085?\u1072? \u1087?\u1088?\u1077?\u1075?\u1086?\u1074?\u1086?\u1088?\u1080? \u1087?\u1086? \u1089?\u1087?\u1086?\u1088?\u1072?\u1079?\u1091?\u1084?\u1077?\u1085?\u1080?\u1077? \u1084?\u1077?\u1078?\u1076?\u1091? \u1045?\u1074?\u1088?\u1086?\u1087?\u1077?\u1081?\u1089?\u1082?\u1080?\u1103? \u1089?\u1098?\u1102?\u1079? \u1080? \u1056?\u1077?\u1087?\u1091?\u1073?\u1083?\u1080?\u1082?\u1072? \u1050?\u1072?\u1073?\u1086? \u1042?\u1077?\u1088?\u1076?\u1077? \u1079?\u1072? \u1080?\u1079?\u1084?\u1077?\u1085?\u1077?\u1085?\u1080?\u1077? \u1085?\u1072? \u1057?\u1087?\u1086?\u1088?\u1072?\u1079?\u1091?\u1084?\u1077?\u1085?\u1080?\u1077?\u1090?\u1086? \u1084?\u1077?\u1078?\u1076?\u1091? \u1045?\u1074?\u1088?\u1086?\u1087?\u1077?\u1081?\u1089?\u1082?\u1080?\u1103? \u1089?\u1098?\u1102?\u1079? \u1080? \u1056?\u1077?\u1087?\u1091?\u1073?\u1083?\u1080?\u1082?\u1072? \u1050?\u1072?\u1073?\u1086? \u1042?\u1077?\u1088?\u1076?\u1077? \u1079?\u1072? \u1091?\u1083?\u1077?\u1089?\u1085?\u1103?\u1074?\u1072?\u1085?\u1077? \u1085?\u1072? \u1080?\u1079?\u1076?\u1072?\u1074?\u1072?\u1085?\u1077?\u1090?\u1086? \u1085?\u1072? \u1074?\u1080?\u1079?\u1080? \u1079?\u1072? \u1082?\u1088?\u1072?\u1090?\u1082?\u1086?\u1089?\u1088?\u1086?\u1095?\u1085?\u1086? \u1087?\u1088?\u1077?\u1073?\u1080?\u1074?\u1072?\u1074?\u1072?\u1085?\u1077? \u1085?\u1072? \u1075?\u1088?\u1072?\u1078?\u1076?\u1072?\u1085?\u1080? \u1085?\u1072? \u1056?\u1077?\u1087?\u1091?\u1073?\u1083?\u1080?\u1082?\u1072? \u1050?\u1072?\u1073?\u1086? \u1042?\u1077?\u1088?\u1076?\u1077? \u1080? \u1085?\u1072? \u1045?\u1074?\u1088?\u1086?\u1087?\u1077?\u1081?\u1089?\u1082?\u1080?\u1103? \u1089?\u1098?\u1102?\u1079?_x000d__x000d__x000d__x000b_"/>
    <w:docVar w:name="LW_OBJETACTEPRINCIPAL.CP" w:val="\u1079?\u1072? \u1088?\u1072?\u1079?\u1088?\u1077?\u1096?\u1072?\u1074?\u1072?\u1085?\u1077? \u1085?\u1072? \u1079?\u1072?\u1087?\u1086?\u1095?\u1074?\u1072?\u1085?\u1077?\u1090?\u1086? \u1085?\u1072? \u1087?\u1088?\u1077?\u1075?\u1086?\u1074?\u1086?\u1088?\u1080? \u1087?\u1086? \u1089?\u1087?\u1086?\u1088?\u1072?\u1079?\u1091?\u1084?\u1077?\u1085?\u1080?\u1077? \u1084?\u1077?\u1078?\u1076?\u1091? \u1045?\u1074?\u1088?\u1086?\u1087?\u1077?\u1081?\u1089?\u1082?\u1080?\u1103? \u1089?\u1098?\u1102?\u1079? \u1080? \u1056?\u1077?\u1087?\u1091?\u1073?\u1083?\u1080?\u1082?\u1072? \u1050?\u1072?\u1073?\u1086? \u1042?\u1077?\u1088?\u1076?\u1077? \u1079?\u1072? \u1080?\u1079?\u1084?\u1077?\u1085?\u1077?\u1085?\u1080?\u1077? \u1085?\u1072? \u1057?\u1087?\u1086?\u1088?\u1072?\u1079?\u1091?\u1084?\u1077?\u1085?\u1080?\u1077?\u1090?\u1086? \u1084?\u1077?\u1078?\u1076?\u1091? \u1045?\u1074?\u1088?\u1086?\u1087?\u1077?\u1081?\u1089?\u1082?\u1080?\u1103? \u1089?\u1098?\u1102?\u1079? \u1080? \u1056?\u1077?\u1087?\u1091?\u1073?\u1083?\u1080?\u1082?\u1072? \u1050?\u1072?\u1073?\u1086? \u1042?\u1077?\u1088?\u1076?\u1077? \u1079?\u1072? \u1091?\u1083?\u1077?\u1089?\u1085?\u1103?\u1074?\u1072?\u1085?\u1077? \u1085?\u1072? \u1080?\u1079?\u1076?\u1072?\u1074?\u1072?\u1085?\u1077?\u1090?\u1086? \u1085?\u1072? \u1074?\u1080?\u1079?\u1080? \u1079?\u1072? \u1082?\u1088?\u1072?\u1090?\u1082?\u1086?\u1089?\u1088?\u1086?\u1095?\u1085?\u1086? \u1087?\u1088?\u1077?\u1073?\u1080?\u1074?\u1072?\u1074?\u1072?\u1085?\u1077? \u1085?\u1072? \u1075?\u1088?\u1072?\u1078?\u1076?\u1072?\u1085?\u1080? \u1085?\u1072? \u1056?\u1077?\u1087?\u1091?\u1073?\u1083?\u1080?\u1082?\u1072? \u1050?\u1072?\u1073?\u1086? \u1042?\u1077?\u1088?\u1076?\u1077? \u1080? \u1085?\u1072? \u1045?\u1074?\u1088?\u1086?\u1087?\u1077?\u1081?\u1089?\u1082?\u1080?\u1103? \u1089?\u1098?\u1102?\u1079?_x000d__x000d__x000d__x000b_"/>
    <w:docVar w:name="LW_PART_NBR" w:val="1"/>
    <w:docVar w:name="LW_PART_NBR_TOTAL" w:val="1"/>
    <w:docVar w:name="LW_REF.INST.NEW" w:val="COM"/>
    <w:docVar w:name="LW_REF.INST.NEW_ADOPTED" w:val="final"/>
    <w:docVar w:name="LW_REF.INST.NEW_TEXT" w:val="(2019) 4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87?\u1086?\u1088?\u1098?\u1082?\u1072? \u1079?\u1072? \u1056?\u1045?\u1064?\u1045?\u1053?\u1048?\u1045? \u1053?\u1040? \u1057?\u1066?\u1042?\u1045?\u1058?\u1040?"/>
    <w:docVar w:name="LW_TYPEACTEPRINCIPAL.CP" w:val="\u1055?\u1088?\u1077?\u1087?\u1086?\u1088?\u1098?\u1082?\u1072?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93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DCB64-7571-4A35-B6D7-939FF3E5D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904</Words>
  <Characters>5130</Characters>
  <Application>Microsoft Office Word</Application>
  <DocSecurity>0</DocSecurity>
  <Lines>100</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MONGE Giovanni (HOME)</dc:creator>
  <cp:lastModifiedBy>WES PDFC Administrator</cp:lastModifiedBy>
  <cp:revision>11</cp:revision>
  <cp:lastPrinted>2019-08-21T10:52:00Z</cp:lastPrinted>
  <dcterms:created xsi:type="dcterms:W3CDTF">2019-09-12T09:07:00Z</dcterms:created>
  <dcterms:modified xsi:type="dcterms:W3CDTF">2019-09-13T12:09:00Z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