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82D73B1-DEB7-4E00-B7B0-9C22F75DC03A" style="width:450.4pt;height:447.9pt">
            <v:imagedata r:id="rId9" o:title=""/>
          </v:shape>
        </w:pict>
      </w:r>
    </w:p>
    <w:bookmarkEnd w:id="0"/>
    <w:p>
      <w:pPr>
        <w:pStyle w:val="CorpsA"/>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26"/>
        </w:sectPr>
      </w:pPr>
    </w:p>
    <w:p>
      <w:pPr>
        <w:pStyle w:val="Annexetitre"/>
        <w:rPr>
          <w:noProof/>
        </w:rPr>
      </w:pPr>
      <w:bookmarkStart w:id="1" w:name="_GoBack"/>
      <w:bookmarkEnd w:id="1"/>
      <w:r>
        <w:rPr>
          <w:noProof/>
        </w:rPr>
        <w:lastRenderedPageBreak/>
        <w:t xml:space="preserve">ПРОЕКТ </w:t>
      </w:r>
    </w:p>
    <w:p>
      <w:pPr>
        <w:pStyle w:val="CorpsA"/>
        <w:spacing w:line="360" w:lineRule="auto"/>
        <w:jc w:val="center"/>
        <w:rPr>
          <w:rStyle w:val="Aucun"/>
          <w:b/>
          <w:bCs/>
          <w:noProof/>
        </w:rPr>
      </w:pPr>
      <w:r>
        <w:rPr>
          <w:rStyle w:val="Aucun"/>
          <w:b/>
          <w:bCs/>
          <w:noProof/>
        </w:rPr>
        <w:t>РЕШЕНИЕ № ../…..</w:t>
      </w:r>
      <w:r>
        <w:rPr>
          <w:rStyle w:val="Aucun"/>
          <w:rFonts w:ascii="Arial Unicode MS" w:hAnsi="Arial Unicode MS"/>
          <w:noProof/>
        </w:rPr>
        <w:br/>
      </w:r>
      <w:r>
        <w:rPr>
          <w:rStyle w:val="Aucun"/>
          <w:b/>
          <w:bCs/>
          <w:noProof/>
        </w:rPr>
        <w:t>НА КОМИТЕТА ЗА АСОЦИИРАНЕ ЕС—МАРОКО</w:t>
      </w:r>
    </w:p>
    <w:p>
      <w:pPr>
        <w:pStyle w:val="CorpsA"/>
        <w:spacing w:line="360" w:lineRule="auto"/>
        <w:jc w:val="center"/>
        <w:rPr>
          <w:rStyle w:val="Aucun"/>
          <w:b/>
          <w:bCs/>
          <w:noProof/>
        </w:rPr>
      </w:pPr>
      <w:r>
        <w:rPr>
          <w:rStyle w:val="Aucun"/>
          <w:b/>
          <w:bCs/>
          <w:noProof/>
        </w:rPr>
        <w:t>от ... година</w:t>
      </w:r>
    </w:p>
    <w:p>
      <w:pPr>
        <w:pStyle w:val="CorpsA"/>
        <w:spacing w:line="360" w:lineRule="auto"/>
        <w:jc w:val="center"/>
        <w:rPr>
          <w:rStyle w:val="Aucun"/>
          <w:b/>
          <w:bCs/>
          <w:noProof/>
        </w:rPr>
      </w:pPr>
      <w:r>
        <w:rPr>
          <w:rStyle w:val="Aucun"/>
          <w:b/>
          <w:bCs/>
          <w:noProof/>
        </w:rPr>
        <w:t>за обмен на информация между Европейския съюз и Кралство Мароко</w:t>
      </w:r>
      <w:r>
        <w:rPr>
          <w:rStyle w:val="Aucun"/>
          <w:b/>
          <w:bCs/>
          <w:noProof/>
        </w:rPr>
        <w:br/>
        <w:t>с цел оценка на въздействието на споразумението под формата на размяна на писма</w:t>
      </w:r>
      <w:r>
        <w:rPr>
          <w:rStyle w:val="Aucun"/>
          <w:b/>
          <w:bCs/>
          <w:noProof/>
        </w:rPr>
        <w:br/>
        <w:t xml:space="preserve">от 25 октомври 2018 г. </w:t>
      </w:r>
    </w:p>
    <w:p>
      <w:pPr>
        <w:pStyle w:val="CorpsA"/>
        <w:spacing w:line="360" w:lineRule="auto"/>
        <w:rPr>
          <w:noProof/>
        </w:rPr>
      </w:pPr>
    </w:p>
    <w:p>
      <w:pPr>
        <w:pStyle w:val="CorpsA"/>
        <w:spacing w:line="360" w:lineRule="auto"/>
        <w:rPr>
          <w:noProof/>
        </w:rPr>
      </w:pPr>
      <w:r>
        <w:rPr>
          <w:noProof/>
        </w:rPr>
        <w:t>КОМИТЕТЪТ ЗА АСОЦИИРАНЕ ЕС—МАРОКО,</w:t>
      </w:r>
    </w:p>
    <w:p>
      <w:pPr>
        <w:pStyle w:val="CorpsA"/>
        <w:spacing w:line="360" w:lineRule="auto"/>
        <w:rPr>
          <w:rStyle w:val="Aucun"/>
          <w:noProof/>
        </w:rPr>
      </w:pPr>
      <w:r>
        <w:rPr>
          <w:noProof/>
        </w:rPr>
        <w:t>като взе предвид споразумението под формата на размяна на писма между Европейския съюз и Кралство Мароко от 25 октомври 2018 г. за изменение на протоколи № 1 и № 4 към Евро</w:t>
      </w:r>
      <w:r>
        <w:rPr>
          <w:noProof/>
        </w:rPr>
        <w:noBreakHyphen/>
        <w:t>средиземноморското споразумение за асоцииране между Европейските общности и техните държави членки, от една страна, и Кралство Мароко, от друга страна,</w:t>
      </w:r>
    </w:p>
    <w:p>
      <w:pPr>
        <w:pStyle w:val="CorpsA"/>
        <w:spacing w:line="360" w:lineRule="auto"/>
        <w:rPr>
          <w:noProof/>
        </w:rPr>
      </w:pPr>
      <w:r>
        <w:rPr>
          <w:noProof/>
        </w:rPr>
        <w:t>като взе предвид Евро-средиземноморското споразумение от 26 февруари 1996 г. за асоцииране между Европейските общности и техните държави членки, от една страна, и Кралство Мароко, от друга страна, и по-специално член 83 от него,</w:t>
      </w:r>
    </w:p>
    <w:p>
      <w:pPr>
        <w:pStyle w:val="CorpsA"/>
        <w:spacing w:line="360" w:lineRule="auto"/>
        <w:rPr>
          <w:noProof/>
        </w:rPr>
      </w:pPr>
      <w:r>
        <w:rPr>
          <w:noProof/>
        </w:rPr>
        <w:br w:type="page"/>
      </w:r>
    </w:p>
    <w:p>
      <w:pPr>
        <w:pStyle w:val="CorpsA"/>
        <w:spacing w:line="360" w:lineRule="auto"/>
        <w:rPr>
          <w:noProof/>
        </w:rPr>
      </w:pPr>
      <w:r>
        <w:rPr>
          <w:noProof/>
        </w:rPr>
        <w:lastRenderedPageBreak/>
        <w:t>като има предвид, че:</w:t>
      </w:r>
    </w:p>
    <w:p>
      <w:pPr>
        <w:pStyle w:val="Considrant"/>
        <w:numPr>
          <w:ilvl w:val="0"/>
          <w:numId w:val="2"/>
        </w:numPr>
        <w:rPr>
          <w:noProof/>
        </w:rPr>
      </w:pPr>
      <w:r>
        <w:rPr>
          <w:noProof/>
        </w:rPr>
        <w:t>Споразумението под формата на размяна на писма между Европейския съюз и Кралство Мароко за изменение на протоколи № 1 и № 4 към Евро-средиземноморското споразумение за асоцииране между Европейските общности и техните държави членки, от една страна, и Кралство Мароко, от друга страна, влезе в сила на 19 юли 2019 г.</w:t>
      </w:r>
    </w:p>
    <w:p>
      <w:pPr>
        <w:pStyle w:val="Considrant"/>
        <w:numPr>
          <w:ilvl w:val="0"/>
          <w:numId w:val="2"/>
        </w:numPr>
        <w:rPr>
          <w:noProof/>
        </w:rPr>
      </w:pPr>
      <w:r>
        <w:rPr>
          <w:noProof/>
        </w:rPr>
        <w:t xml:space="preserve">По силата на това споразумение продуктите с произход от Западна Сахара (наричана по-долу „съответните територии“), които подлежат на контрол от страна на митническите органи на Кралство Мароко, се ползват със същите търговски преференции като предоставените от Европейския съюз за продуктите, обхванати от Споразумението за асоцииране между Европейския съюз и Кралство Мароко. </w:t>
      </w:r>
    </w:p>
    <w:p>
      <w:pPr>
        <w:pStyle w:val="Considrant"/>
        <w:numPr>
          <w:ilvl w:val="0"/>
          <w:numId w:val="2"/>
        </w:numPr>
        <w:rPr>
          <w:noProof/>
        </w:rPr>
      </w:pPr>
      <w:r>
        <w:rPr>
          <w:noProof/>
        </w:rPr>
        <w:t>В дух на партньорство и за да се даде възможност на страните да направят оценка на въздействието на споразумението, в частност върху устойчивото развитие, и по-специално по отношение на ползите за съответното население и експлоатирането на природните ресурси на съответните територии, Европейският съюз и Кралство Мароко се споразумяха поне веднъж годишно да обменят информация помежду си в рамките на Комитета за асоцииране.</w:t>
      </w:r>
    </w:p>
    <w:p>
      <w:pPr>
        <w:pStyle w:val="Considrant"/>
        <w:numPr>
          <w:ilvl w:val="0"/>
          <w:numId w:val="2"/>
        </w:numPr>
        <w:rPr>
          <w:noProof/>
        </w:rPr>
      </w:pPr>
      <w:r>
        <w:rPr>
          <w:noProof/>
        </w:rPr>
        <w:t>Специфичните ред и условия за тази оценка трябва да бъдат приети от Комитета за асоцииране не по-късно от два месеца след влизането на споразумението в сила,</w:t>
      </w:r>
    </w:p>
    <w:p>
      <w:pPr>
        <w:pStyle w:val="CorpsA"/>
        <w:spacing w:line="360" w:lineRule="auto"/>
        <w:rPr>
          <w:noProof/>
        </w:rPr>
      </w:pPr>
      <w:r>
        <w:rPr>
          <w:noProof/>
        </w:rPr>
        <w:t>ПРИЕ НАСТОЯЩОТО РЕШЕНИЕ:</w:t>
      </w:r>
    </w:p>
    <w:p>
      <w:pPr>
        <w:pStyle w:val="CorpsA"/>
        <w:spacing w:line="360" w:lineRule="auto"/>
        <w:rPr>
          <w:noProof/>
        </w:rPr>
      </w:pPr>
      <w:r>
        <w:rPr>
          <w:noProof/>
        </w:rPr>
        <w:br w:type="page"/>
      </w:r>
    </w:p>
    <w:p>
      <w:pPr>
        <w:pStyle w:val="CorpsA"/>
        <w:spacing w:line="360" w:lineRule="auto"/>
        <w:jc w:val="center"/>
        <w:rPr>
          <w:rStyle w:val="Aucun"/>
          <w:i/>
          <w:iCs/>
          <w:noProof/>
        </w:rPr>
      </w:pPr>
      <w:r>
        <w:rPr>
          <w:rStyle w:val="Aucun"/>
          <w:i/>
          <w:iCs/>
          <w:noProof/>
        </w:rPr>
        <w:t>Член 1</w:t>
      </w:r>
    </w:p>
    <w:p>
      <w:pPr>
        <w:pStyle w:val="CorpsA"/>
        <w:rPr>
          <w:noProof/>
        </w:rPr>
      </w:pPr>
      <w:r>
        <w:rPr>
          <w:rStyle w:val="Aucun"/>
          <w:noProof/>
        </w:rPr>
        <w:t>1.</w:t>
      </w:r>
      <w:r>
        <w:rPr>
          <w:rStyle w:val="Aucun"/>
          <w:noProof/>
        </w:rPr>
        <w:tab/>
        <w:t>За да се даде възможност на страните да направят оценка на въздействието на споразумението по време на прилагането му като инструмент, подпомагащ устойчивото развитие, Европейският съюз и Кралство Мароко се споразумяха за следното:</w:t>
      </w:r>
    </w:p>
    <w:p>
      <w:pPr>
        <w:pStyle w:val="CorpsA"/>
        <w:ind w:left="567" w:hanging="567"/>
        <w:rPr>
          <w:noProof/>
        </w:rPr>
      </w:pPr>
      <w:r>
        <w:rPr>
          <w:rStyle w:val="Aucun"/>
          <w:noProof/>
        </w:rPr>
        <w:t>—</w:t>
      </w:r>
      <w:r>
        <w:rPr>
          <w:rStyle w:val="Aucun"/>
          <w:noProof/>
        </w:rPr>
        <w:tab/>
        <w:t>Европейският съюз и Мароко обменят считаните за относими данни за съответните основни сектори на дейност, както и статистическа, икономическа, социална и свързана с околната среда информация, по-специално по отношение на ползите от споразумението за съответното население и експлоатирането на природните ресурси на съответните територии. Списък на относимата информация се съдържа в приложението към настоящото решение.</w:t>
      </w:r>
    </w:p>
    <w:p>
      <w:pPr>
        <w:pStyle w:val="CorpsA"/>
        <w:ind w:left="567" w:hanging="567"/>
        <w:rPr>
          <w:noProof/>
        </w:rPr>
      </w:pPr>
      <w:r>
        <w:rPr>
          <w:rStyle w:val="Aucun"/>
          <w:noProof/>
        </w:rPr>
        <w:t>—</w:t>
      </w:r>
      <w:r>
        <w:rPr>
          <w:rStyle w:val="Aucun"/>
          <w:noProof/>
        </w:rPr>
        <w:tab/>
        <w:t>Обменът ще се осъществява въз основа на писмено съобщение, предадено най-малко два месеца преди заседанието на Комитета за асоцииране; съобщението може да бъде последвано от искания за пояснения и допълнителни въпроси от тематичните области, определени в настоящото решение, които трябва да бъдат изпратени най-малко един месец преди заседанието.</w:t>
      </w:r>
    </w:p>
    <w:p>
      <w:pPr>
        <w:pStyle w:val="CorpsA"/>
        <w:rPr>
          <w:noProof/>
        </w:rPr>
      </w:pPr>
      <w:r>
        <w:rPr>
          <w:rStyle w:val="Aucun"/>
          <w:noProof/>
        </w:rPr>
        <w:t>2.</w:t>
      </w:r>
      <w:r>
        <w:rPr>
          <w:rStyle w:val="Aucun"/>
          <w:noProof/>
        </w:rPr>
        <w:tab/>
      </w:r>
      <w:r>
        <w:rPr>
          <w:noProof/>
        </w:rPr>
        <w:t>В дух на партньорство и за да се даде възможност на страните да направят оценка на въздействието на споразумението, страните също така се споразумяха, че Мароко може да иска, въз основа на вече съществуващите информационни системи, информация от Европейския съюз за производството и търговията със специфични категории продукти от особен интерес за Мароко.</w:t>
      </w:r>
      <w:r>
        <w:rPr>
          <w:rStyle w:val="Aucun"/>
          <w:noProof/>
        </w:rPr>
        <w:t xml:space="preserve"> Европейският съюз и Кралство Мароко се споразумяха за следното:</w:t>
      </w:r>
    </w:p>
    <w:p>
      <w:pPr>
        <w:pStyle w:val="CorpsA"/>
        <w:ind w:left="567" w:hanging="567"/>
        <w:rPr>
          <w:noProof/>
        </w:rPr>
      </w:pPr>
      <w:r>
        <w:rPr>
          <w:rStyle w:val="Aucun"/>
          <w:noProof/>
        </w:rPr>
        <w:t>—</w:t>
      </w:r>
      <w:r>
        <w:rPr>
          <w:rStyle w:val="Aucun"/>
          <w:noProof/>
        </w:rPr>
        <w:tab/>
        <w:t xml:space="preserve">Мароко ще отправя писмено искането си до Европейския съюз три месеца преди заседанието на Комитета за асоцииране. </w:t>
      </w:r>
    </w:p>
    <w:p>
      <w:pPr>
        <w:pStyle w:val="CorpsA"/>
        <w:ind w:left="567" w:hanging="567"/>
        <w:rPr>
          <w:noProof/>
        </w:rPr>
      </w:pPr>
      <w:r>
        <w:rPr>
          <w:rStyle w:val="Aucun"/>
          <w:noProof/>
        </w:rPr>
        <w:t>—</w:t>
      </w:r>
      <w:r>
        <w:rPr>
          <w:rStyle w:val="Aucun"/>
          <w:noProof/>
        </w:rPr>
        <w:tab/>
        <w:t>Обменът ще се осъществява въз основа на писмено съобщение, предадено от Европейския съюз най-малко два месеца преди заседанието на Комитета за асоцииране; съобщението може да бъде последвано от искания за пояснения и допълнителни въпроси, които трябва да бъдат изпратени най-малко един месец преди заседанието.</w:t>
      </w:r>
    </w:p>
    <w:p>
      <w:pPr>
        <w:pStyle w:val="CorpsA"/>
        <w:rPr>
          <w:noProof/>
        </w:rPr>
      </w:pPr>
      <w:r>
        <w:rPr>
          <w:rStyle w:val="Aucun"/>
          <w:noProof/>
        </w:rPr>
        <w:t>3.</w:t>
      </w:r>
      <w:r>
        <w:rPr>
          <w:rStyle w:val="Aucun"/>
          <w:noProof/>
        </w:rPr>
        <w:tab/>
        <w:t xml:space="preserve">Страните ще обменят помежду си съответните свои заключения в рамките на Комитета за асоцииране не по-късно от (хх) всяка година. </w:t>
      </w:r>
    </w:p>
    <w:p>
      <w:pPr>
        <w:pStyle w:val="CorpsA"/>
        <w:rPr>
          <w:noProof/>
        </w:rPr>
      </w:pPr>
      <w:r>
        <w:rPr>
          <w:rStyle w:val="Aucun"/>
          <w:noProof/>
        </w:rPr>
        <w:t>4.</w:t>
      </w:r>
      <w:r>
        <w:rPr>
          <w:rStyle w:val="Aucun"/>
          <w:noProof/>
        </w:rPr>
        <w:tab/>
        <w:t>Протоколът със заключенията на Комитета за асоцииране трябва да бъде одобрен от страните в рамките на един месец след заседанието.</w:t>
      </w:r>
    </w:p>
    <w:p>
      <w:pPr>
        <w:pStyle w:val="CorpsA"/>
        <w:spacing w:line="360" w:lineRule="auto"/>
        <w:jc w:val="center"/>
        <w:rPr>
          <w:rStyle w:val="Aucun"/>
          <w:i/>
          <w:iCs/>
          <w:noProof/>
        </w:rPr>
      </w:pPr>
      <w:r>
        <w:rPr>
          <w:rStyle w:val="Aucun"/>
          <w:i/>
          <w:iCs/>
          <w:noProof/>
        </w:rPr>
        <w:t>Член 2</w:t>
      </w:r>
    </w:p>
    <w:p>
      <w:pPr>
        <w:pStyle w:val="CorpsA"/>
        <w:spacing w:line="360" w:lineRule="auto"/>
        <w:rPr>
          <w:noProof/>
        </w:rPr>
      </w:pPr>
      <w:r>
        <w:rPr>
          <w:noProof/>
        </w:rPr>
        <w:t>Приложението съставлява неразделна част от настоящото решение.</w:t>
      </w:r>
    </w:p>
    <w:p>
      <w:pPr>
        <w:pStyle w:val="CorpsA"/>
        <w:spacing w:line="360" w:lineRule="auto"/>
        <w:jc w:val="center"/>
        <w:rPr>
          <w:rStyle w:val="Aucun"/>
          <w:i/>
          <w:iCs/>
          <w:noProof/>
        </w:rPr>
      </w:pPr>
      <w:r>
        <w:rPr>
          <w:rStyle w:val="Aucun"/>
          <w:i/>
          <w:iCs/>
          <w:noProof/>
        </w:rPr>
        <w:t>Член 3</w:t>
      </w:r>
    </w:p>
    <w:p>
      <w:pPr>
        <w:pStyle w:val="CorpsA"/>
        <w:spacing w:line="360" w:lineRule="auto"/>
        <w:rPr>
          <w:noProof/>
        </w:rPr>
      </w:pPr>
      <w:r>
        <w:rPr>
          <w:noProof/>
        </w:rPr>
        <w:t>Настоящото решение влиза в сила в деня на приемането му от Комитета за асоцииране.</w:t>
      </w:r>
    </w:p>
    <w:p>
      <w:pPr>
        <w:pStyle w:val="CorpsA"/>
        <w:spacing w:line="360" w:lineRule="auto"/>
        <w:rPr>
          <w:noProof/>
        </w:rPr>
      </w:pPr>
      <w:r>
        <w:rPr>
          <w:rStyle w:val="Aucun"/>
          <w:noProof/>
        </w:rPr>
        <w:t>Съставено в [Рабат] [Брюксел] на [x/x/] 2019 година.</w:t>
      </w:r>
    </w:p>
    <w:p>
      <w:pPr>
        <w:pStyle w:val="CorpsA"/>
        <w:jc w:val="right"/>
        <w:rPr>
          <w:rStyle w:val="Aucun"/>
          <w:i/>
          <w:iCs/>
          <w:noProof/>
        </w:rPr>
      </w:pPr>
      <w:r>
        <w:rPr>
          <w:rStyle w:val="Aucun"/>
          <w:i/>
          <w:iCs/>
          <w:noProof/>
        </w:rPr>
        <w:t>За Комитета за асоцииране ЕС—Мароко</w:t>
      </w:r>
    </w:p>
    <w:p>
      <w:pPr>
        <w:pStyle w:val="CorpsA"/>
        <w:rPr>
          <w:noProof/>
        </w:rPr>
        <w:sectPr>
          <w:headerReference w:type="even" r:id="rId16"/>
          <w:headerReference w:type="default" r:id="rId17"/>
          <w:footerReference w:type="even" r:id="rId18"/>
          <w:footerReference w:type="default" r:id="rId19"/>
          <w:headerReference w:type="first" r:id="rId20"/>
          <w:footerReference w:type="first" r:id="rId21"/>
          <w:pgSz w:w="11900" w:h="16840"/>
          <w:pgMar w:top="1134" w:right="1134" w:bottom="1134" w:left="1134" w:header="567" w:footer="567" w:gutter="0"/>
          <w:cols w:space="720"/>
        </w:sectPr>
      </w:pPr>
    </w:p>
    <w:p>
      <w:pPr>
        <w:pStyle w:val="CorpsA"/>
        <w:jc w:val="center"/>
        <w:rPr>
          <w:rStyle w:val="Aucun"/>
          <w:b/>
          <w:bCs/>
          <w:noProof/>
          <w:u w:val="single"/>
        </w:rPr>
      </w:pPr>
      <w:r>
        <w:rPr>
          <w:rStyle w:val="Aucun"/>
          <w:b/>
          <w:bCs/>
          <w:noProof/>
          <w:u w:val="single"/>
        </w:rPr>
        <w:t>ПРИЛОЖЕНИЕ</w:t>
      </w:r>
    </w:p>
    <w:p>
      <w:pPr>
        <w:pStyle w:val="CorpsA"/>
        <w:spacing w:line="360" w:lineRule="auto"/>
        <w:jc w:val="center"/>
        <w:rPr>
          <w:rStyle w:val="Aucun"/>
          <w:caps/>
          <w:noProof/>
        </w:rPr>
      </w:pPr>
    </w:p>
    <w:p>
      <w:pPr>
        <w:pStyle w:val="CorpsA"/>
        <w:spacing w:line="360" w:lineRule="auto"/>
        <w:jc w:val="center"/>
        <w:rPr>
          <w:rStyle w:val="Aucun"/>
          <w:caps/>
          <w:noProof/>
        </w:rPr>
      </w:pPr>
      <w:r>
        <w:rPr>
          <w:rStyle w:val="Aucun"/>
          <w:caps/>
          <w:noProof/>
        </w:rPr>
        <w:t>Относима информация в рамките на предвидения</w:t>
      </w:r>
      <w:r>
        <w:rPr>
          <w:rStyle w:val="Aucun"/>
          <w:caps/>
          <w:noProof/>
        </w:rPr>
        <w:br/>
        <w:t>в споразумението обмен на информация</w:t>
      </w:r>
    </w:p>
    <w:p>
      <w:pPr>
        <w:pStyle w:val="CorpsA"/>
        <w:rPr>
          <w:noProof/>
        </w:rPr>
      </w:pPr>
    </w:p>
    <w:p>
      <w:pPr>
        <w:pStyle w:val="CorpsA"/>
        <w:spacing w:after="0"/>
        <w:rPr>
          <w:noProof/>
        </w:rPr>
      </w:pPr>
      <w:r>
        <w:rPr>
          <w:noProof/>
        </w:rPr>
        <w:t>Информацията, която се обменя, трябва да се използва за осъвременяване на изготвения на 11 юни 2018 г. от службите на Комисията съвместно с Европейската служба за външна дейност (ЕСВД) доклад, в който са посочени ползите за съответното население от разширяването на обхвата на тарифните преференции с включването в него на продуктите с произход от съответните територии</w:t>
      </w:r>
      <w:r>
        <w:rPr>
          <w:rStyle w:val="Aucun"/>
          <w:noProof/>
        </w:rPr>
        <w:t xml:space="preserve">. </w:t>
      </w:r>
      <w:r>
        <w:rPr>
          <w:noProof/>
        </w:rPr>
        <w:t>По тази причина обменът на информация трябва да обхваща подробна информация, позволяваща да се оцени въздействието на споразумението по време на прилагането му, включително информация от общ характер за съответните територии и население.</w:t>
      </w:r>
      <w:r>
        <w:rPr>
          <w:rStyle w:val="Aucun"/>
          <w:noProof/>
        </w:rPr>
        <w:t xml:space="preserve"> Тази информация е предназначена да се използва единствено за целите на оценката и при изготвянето на актуализираните издания на горепосочения доклад от службите на Комисията и от ЕСВД. По-долу е посочена с информативна цел относимата информация:</w:t>
      </w:r>
    </w:p>
    <w:p>
      <w:pPr>
        <w:pStyle w:val="CorpsA"/>
        <w:spacing w:before="0" w:after="0"/>
        <w:rPr>
          <w:noProof/>
        </w:rPr>
      </w:pPr>
    </w:p>
    <w:p>
      <w:pPr>
        <w:pStyle w:val="ListParagraph"/>
        <w:numPr>
          <w:ilvl w:val="0"/>
          <w:numId w:val="4"/>
        </w:numPr>
        <w:spacing w:before="0"/>
        <w:rPr>
          <w:b/>
          <w:bCs/>
          <w:noProof/>
        </w:rPr>
      </w:pPr>
      <w:r>
        <w:rPr>
          <w:b/>
          <w:bCs/>
          <w:noProof/>
        </w:rPr>
        <w:t>Информация от общ характер</w:t>
      </w:r>
    </w:p>
    <w:p>
      <w:pPr>
        <w:jc w:val="both"/>
        <w:rPr>
          <w:noProof/>
        </w:rPr>
      </w:pPr>
      <w:r>
        <w:rPr>
          <w:noProof/>
        </w:rPr>
        <w:t>Социална статистическа информация за съответните територии, чиито продукти подлежат на контрол от страна на митническите органи на Кралство Мароко, като например население (по възможност разпределено по възраст и полова принадлежност), заетост (абсолютна численост, численост, зависеща от износа и от износа за Европейския съюз), равнище на заплащането, индекс на човешкото развитие, образование (например брой учебни заведения, места, учащи се, процент на посещаващите училище), здравеопазване (например брой болнични заведения, легла и лекари), основни услуги (например достъп до питейна вода и електричество), равнища на бедност, транспорт.</w:t>
      </w:r>
    </w:p>
    <w:p>
      <w:pPr>
        <w:ind w:left="708" w:firstLine="3"/>
        <w:jc w:val="both"/>
        <w:rPr>
          <w:noProof/>
        </w:rPr>
      </w:pPr>
    </w:p>
    <w:p>
      <w:pPr>
        <w:jc w:val="both"/>
        <w:rPr>
          <w:noProof/>
        </w:rPr>
      </w:pPr>
      <w:r>
        <w:rPr>
          <w:noProof/>
        </w:rPr>
        <w:t>Икономическа статистическа информация за територията, като например годишен темп на растеж на БВП и на БВП на глава от населението, важни сектори, мащаб на производството, процентен дял на износа и на износа за Европейския съюз.</w:t>
      </w:r>
    </w:p>
    <w:p>
      <w:pPr>
        <w:rPr>
          <w:noProof/>
        </w:rPr>
      </w:pPr>
    </w:p>
    <w:p>
      <w:pPr>
        <w:jc w:val="both"/>
        <w:rPr>
          <w:noProof/>
        </w:rPr>
      </w:pPr>
      <w:r>
        <w:rPr>
          <w:noProof/>
        </w:rPr>
        <w:t>Статистическа информация за околната среда в конкретната територия, като например използване на природните ресурси, в частност — на водите, преработване на отпадъците (селско стопанство, минно дело), устойчиво управление на рибните запаси, замърсяване.</w:t>
      </w:r>
    </w:p>
    <w:p>
      <w:pPr>
        <w:pStyle w:val="ListParagraph"/>
        <w:rPr>
          <w:noProof/>
        </w:rPr>
      </w:pPr>
    </w:p>
    <w:p>
      <w:pPr>
        <w:pStyle w:val="ListParagraph"/>
        <w:numPr>
          <w:ilvl w:val="0"/>
          <w:numId w:val="7"/>
        </w:numPr>
        <w:rPr>
          <w:b/>
          <w:bCs/>
          <w:noProof/>
        </w:rPr>
      </w:pPr>
      <w:r>
        <w:rPr>
          <w:b/>
          <w:bCs/>
          <w:noProof/>
        </w:rPr>
        <w:t>Данни за основните икономически сектори, осъществяващи износ</w:t>
      </w:r>
    </w:p>
    <w:p>
      <w:pPr>
        <w:jc w:val="both"/>
        <w:rPr>
          <w:noProof/>
        </w:rPr>
      </w:pPr>
      <w:r>
        <w:rPr>
          <w:noProof/>
        </w:rPr>
        <w:t>По-специално за секторите на селското стопанство и рибарството, както и за други сектори, осъществяващи износ от съответните територии за Европейския съюз, такива данни, като например:</w:t>
      </w:r>
    </w:p>
    <w:p>
      <w:pPr>
        <w:numPr>
          <w:ilvl w:val="0"/>
          <w:numId w:val="14"/>
        </w:numPr>
        <w:spacing w:before="120" w:after="120"/>
        <w:jc w:val="both"/>
        <w:rPr>
          <w:noProof/>
        </w:rPr>
      </w:pPr>
      <w:r>
        <w:rPr>
          <w:noProof/>
        </w:rPr>
        <w:t>производство по видове продукти (например домати, пъпеши и т.н.) и по видове риба в случай на риболов</w:t>
      </w:r>
    </w:p>
    <w:p>
      <w:pPr>
        <w:numPr>
          <w:ilvl w:val="0"/>
          <w:numId w:val="14"/>
        </w:numPr>
        <w:spacing w:before="120" w:after="120"/>
        <w:jc w:val="both"/>
        <w:rPr>
          <w:noProof/>
        </w:rPr>
      </w:pPr>
      <w:r>
        <w:rPr>
          <w:noProof/>
        </w:rPr>
        <w:t>стопанисвани площи (напоявани и оранжерийни) и събрани количества реколта</w:t>
      </w:r>
    </w:p>
    <w:p>
      <w:pPr>
        <w:numPr>
          <w:ilvl w:val="0"/>
          <w:numId w:val="14"/>
        </w:numPr>
        <w:spacing w:before="120" w:after="120"/>
        <w:jc w:val="both"/>
        <w:rPr>
          <w:noProof/>
        </w:rPr>
      </w:pPr>
      <w:r>
        <w:rPr>
          <w:noProof/>
        </w:rPr>
        <w:t>осъществен износ за Европейския съюз (а при необходимост — и за други дестинации) в количествено и стойностно изражение</w:t>
      </w:r>
    </w:p>
    <w:p>
      <w:pPr>
        <w:numPr>
          <w:ilvl w:val="0"/>
          <w:numId w:val="14"/>
        </w:numPr>
        <w:spacing w:before="120" w:after="120"/>
        <w:jc w:val="both"/>
        <w:rPr>
          <w:noProof/>
        </w:rPr>
      </w:pPr>
      <w:r>
        <w:rPr>
          <w:noProof/>
        </w:rPr>
        <w:t>преработвателни предприятия по сектори и осъществени в тях дейности</w:t>
      </w:r>
    </w:p>
    <w:p>
      <w:pPr>
        <w:numPr>
          <w:ilvl w:val="0"/>
          <w:numId w:val="14"/>
        </w:numPr>
        <w:spacing w:before="120" w:after="120"/>
        <w:jc w:val="both"/>
        <w:rPr>
          <w:noProof/>
        </w:rPr>
      </w:pPr>
      <w:r>
        <w:rPr>
          <w:noProof/>
        </w:rPr>
        <w:t>заетост (временна или постоянна), която е пряко и непряко (транспорт, доставчици, складова дейност и т.н.) породена от тези дейности и в тези предприятия</w:t>
      </w:r>
    </w:p>
    <w:p>
      <w:pPr>
        <w:numPr>
          <w:ilvl w:val="0"/>
          <w:numId w:val="14"/>
        </w:numPr>
        <w:spacing w:before="120" w:after="120"/>
        <w:jc w:val="both"/>
        <w:rPr>
          <w:noProof/>
        </w:rPr>
      </w:pPr>
      <w:r>
        <w:rPr>
          <w:noProof/>
        </w:rPr>
        <w:t>или въведени мерки за устойчиво управление на ресурсите, в т.ч. на потреблението на вода (средностатистическо потребление на вода и източници на водоснабдяване).</w:t>
      </w:r>
    </w:p>
    <w:p>
      <w:pPr>
        <w:pStyle w:val="ListParagraph"/>
        <w:rPr>
          <w:noProof/>
        </w:rPr>
      </w:pPr>
    </w:p>
    <w:p>
      <w:pPr>
        <w:pStyle w:val="ListParagraph"/>
        <w:numPr>
          <w:ilvl w:val="0"/>
          <w:numId w:val="12"/>
        </w:numPr>
        <w:rPr>
          <w:b/>
          <w:bCs/>
          <w:noProof/>
        </w:rPr>
      </w:pPr>
      <w:r>
        <w:rPr>
          <w:b/>
          <w:bCs/>
          <w:noProof/>
        </w:rPr>
        <w:t>Проекти, чието изпълнение е в ход</w:t>
      </w:r>
    </w:p>
    <w:p>
      <w:pPr>
        <w:pStyle w:val="CorpsA"/>
        <w:rPr>
          <w:noProof/>
        </w:rPr>
      </w:pPr>
      <w:r>
        <w:rPr>
          <w:noProof/>
        </w:rPr>
        <w:t>Проекти, чието изпълнение е в ход, имащи значимо въздействие върху развитието на съответните територии, включително върху устойчивото развитие (енергия от възобновяеми източници, рационално управление на природните ресурси) на територията.</w:t>
      </w:r>
    </w:p>
    <w:p>
      <w:pPr>
        <w:pStyle w:val="ListParagraph"/>
        <w:rPr>
          <w:noProof/>
        </w:rPr>
      </w:pPr>
    </w:p>
    <w:p>
      <w:pPr>
        <w:pStyle w:val="ListParagraph"/>
        <w:numPr>
          <w:ilvl w:val="0"/>
          <w:numId w:val="7"/>
        </w:numPr>
        <w:rPr>
          <w:b/>
          <w:bCs/>
          <w:noProof/>
        </w:rPr>
      </w:pPr>
      <w:r>
        <w:rPr>
          <w:b/>
          <w:bCs/>
          <w:noProof/>
        </w:rPr>
        <w:t>Друга относима информация</w:t>
      </w:r>
    </w:p>
    <w:p>
      <w:pPr>
        <w:pStyle w:val="CorpsA"/>
        <w:rPr>
          <w:rStyle w:val="Aucun"/>
          <w:noProof/>
        </w:rPr>
      </w:pPr>
      <w:r>
        <w:rPr>
          <w:noProof/>
        </w:rPr>
        <w:t>Всяка информация, която позволява да се оцени дейността на местните стопански субекти, засегнати от споразумението, като например в областта на социалната отговорност на предприятията („корпоративната социална отговорност“).</w:t>
      </w:r>
    </w:p>
    <w:p>
      <w:pPr>
        <w:pStyle w:val="CorpsA"/>
        <w:rPr>
          <w:rStyle w:val="Aucun"/>
          <w:rFonts w:eastAsia="Arial Unicode MS" w:cs="Arial Unicode MS"/>
          <w:noProof/>
        </w:rPr>
      </w:pPr>
    </w:p>
    <w:p>
      <w:pPr>
        <w:spacing w:before="120" w:after="120"/>
        <w:jc w:val="both"/>
        <w:rPr>
          <w:rFonts w:cs="Arial Unicode MS"/>
          <w:noProof/>
          <w:color w:val="000000"/>
          <w:u w:color="000000"/>
        </w:rPr>
      </w:pPr>
      <w:r>
        <w:rPr>
          <w:noProof/>
        </w:rPr>
        <w:t>В съответствие с предвиденото в разменената на 6 декември 2018 г. кореспонденция между Комисията и посолството на Кралство Мароко, Мароко въвежда механизъм за събиране на информация за износа, попадащ в обхвата на Споразумението за асоцииране, така както е изменено в рамките на извършената размяна на писма, който системно и редовно ще предоставя и ежемесечно ще осигурява достъп до достоверни данни, така че Европейският съюз и компетентните органи на неговите държави членки да могат да разполагат с прозрачна и надеждна информация за произхода на този износ за Съюза, по региони.</w:t>
      </w:r>
    </w:p>
    <w:p>
      <w:pPr>
        <w:spacing w:before="120" w:after="120"/>
        <w:jc w:val="both"/>
        <w:rPr>
          <w:rFonts w:cs="Arial Unicode MS"/>
          <w:noProof/>
          <w:color w:val="000000"/>
          <w:u w:color="000000"/>
        </w:rPr>
      </w:pPr>
    </w:p>
    <w:p>
      <w:pPr>
        <w:pStyle w:val="ListParagraph"/>
        <w:numPr>
          <w:ilvl w:val="0"/>
          <w:numId w:val="7"/>
        </w:numPr>
        <w:rPr>
          <w:b/>
          <w:bCs/>
          <w:noProof/>
        </w:rPr>
      </w:pPr>
      <w:r>
        <w:rPr>
          <w:b/>
          <w:bCs/>
          <w:noProof/>
        </w:rPr>
        <w:t>Информация, предоставяна от Европейския съюз</w:t>
      </w:r>
    </w:p>
    <w:p>
      <w:pPr>
        <w:jc w:val="both"/>
        <w:rPr>
          <w:rFonts w:cs="Arial Unicode MS"/>
          <w:noProof/>
        </w:rPr>
      </w:pPr>
      <w:r>
        <w:rPr>
          <w:noProof/>
        </w:rPr>
        <w:t>Информация за търговията със специфични продукти, изнасяни за Мароко, по видове продукти, в количествено и стойностно изражение, както и — доколкото тези данни са налични — за тяхното производство.</w:t>
      </w:r>
    </w:p>
    <w:p>
      <w:pPr>
        <w:spacing w:before="120" w:after="120"/>
        <w:jc w:val="both"/>
        <w:rPr>
          <w:rFonts w:cs="Arial Unicode MS"/>
          <w:noProof/>
          <w:color w:val="000000"/>
          <w:u w:color="000000"/>
        </w:rPr>
      </w:pPr>
    </w:p>
    <w:p>
      <w:pPr>
        <w:pStyle w:val="CorpsA"/>
        <w:rPr>
          <w:noProof/>
        </w:rPr>
      </w:pPr>
    </w:p>
    <w:sectPr>
      <w:headerReference w:type="even" r:id="rId22"/>
      <w:headerReference w:type="default" r:id="rId23"/>
      <w:footerReference w:type="even" r:id="rId24"/>
      <w:footerReference w:type="default" r:id="rId25"/>
      <w:headerReference w:type="first" r:id="rId26"/>
      <w:footerReference w:type="first" r:id="rId27"/>
      <w:pgSz w:w="11900" w:h="16840"/>
      <w:pgMar w:top="1134" w:right="1417" w:bottom="1134" w:left="141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921"/>
        <w:tab w:val="right" w:pos="9612"/>
      </w:tabs>
    </w:pPr>
    <w:r>
      <w:rPr>
        <w:rStyle w:val="Aucun"/>
        <w:rFonts w:ascii="Arial" w:hAnsi="Arial"/>
        <w:b/>
        <w:bCs/>
        <w:sz w:val="48"/>
        <w:szCs w:val="48"/>
      </w:rPr>
      <w:t>BG</w:t>
    </w:r>
    <w:r>
      <w:rPr>
        <w:rStyle w:val="Aucun"/>
        <w:rFonts w:ascii="Arial" w:hAnsi="Arial"/>
        <w:b/>
        <w:bCs/>
        <w:sz w:val="48"/>
        <w:szCs w:val="48"/>
      </w:rPr>
      <w:tab/>
    </w:r>
    <w:r>
      <w:fldChar w:fldCharType="begin"/>
    </w:r>
    <w:r>
      <w:instrText xml:space="preserve"> PAGE </w:instrText>
    </w:r>
    <w:r>
      <w:fldChar w:fldCharType="separate"/>
    </w:r>
    <w:r>
      <w:rPr>
        <w:noProof/>
      </w:rPr>
      <w:t>2</w:t>
    </w:r>
    <w:r>
      <w:fldChar w:fldCharType="end"/>
    </w:r>
    <w:r>
      <w:tab/>
    </w:r>
    <w:r>
      <w:rPr>
        <w:rStyle w:val="Aucun"/>
        <w:rFonts w:ascii="Arial" w:hAnsi="Arial"/>
        <w:b/>
        <w:bCs/>
        <w:sz w:val="48"/>
        <w:szCs w:val="48"/>
      </w:rPr>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921"/>
        <w:tab w:val="right" w:pos="9612"/>
      </w:tabs>
    </w:pPr>
    <w:r>
      <w:rPr>
        <w:rStyle w:val="Aucun"/>
        <w:rFonts w:ascii="Arial" w:hAnsi="Arial"/>
        <w:b/>
        <w:bCs/>
        <w:sz w:val="48"/>
        <w:szCs w:val="48"/>
      </w:rPr>
      <w:t>BG</w:t>
    </w:r>
    <w:r>
      <w:rPr>
        <w:rStyle w:val="Aucun"/>
        <w:rFonts w:ascii="Arial" w:hAnsi="Arial"/>
        <w:b/>
        <w:bCs/>
        <w:sz w:val="48"/>
        <w:szCs w:val="48"/>
      </w:rPr>
      <w:tab/>
    </w:r>
    <w:r>
      <w:fldChar w:fldCharType="begin"/>
    </w:r>
    <w:r>
      <w:instrText xml:space="preserve"> PAGE </w:instrText>
    </w:r>
    <w:r>
      <w:fldChar w:fldCharType="separate"/>
    </w:r>
    <w:r>
      <w:rPr>
        <w:noProof/>
      </w:rPr>
      <w:t>5</w:t>
    </w:r>
    <w:r>
      <w:fldChar w:fldCharType="end"/>
    </w:r>
    <w:r>
      <w:tab/>
    </w:r>
    <w:r>
      <w:rPr>
        <w:rStyle w:val="Aucun"/>
        <w:rFonts w:ascii="Arial" w:hAnsi="Arial"/>
        <w:b/>
        <w:bCs/>
        <w:sz w:val="48"/>
        <w:szCs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47C60"/>
    <w:multiLevelType w:val="hybridMultilevel"/>
    <w:tmpl w:val="6682FA56"/>
    <w:styleLink w:val="Style5import"/>
    <w:lvl w:ilvl="0" w:tplc="420673E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1AC4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74419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8AAC6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4A38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047C7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020FC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3AFB4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605A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A8F6E02"/>
    <w:multiLevelType w:val="hybridMultilevel"/>
    <w:tmpl w:val="FF4813F8"/>
    <w:styleLink w:val="Style3import1"/>
    <w:lvl w:ilvl="0" w:tplc="847CFC82">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75A5738">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89BEC">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5042720C">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D25EF26C">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9E769AC2">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8C1EEC2A">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8812A0A2">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0FA8DB3A">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2E3B3F33"/>
    <w:multiLevelType w:val="hybridMultilevel"/>
    <w:tmpl w:val="2820AB84"/>
    <w:numStyleLink w:val="Style4import"/>
  </w:abstractNum>
  <w:abstractNum w:abstractNumId="3">
    <w:nsid w:val="31B80BED"/>
    <w:multiLevelType w:val="hybridMultilevel"/>
    <w:tmpl w:val="6682FA56"/>
    <w:numStyleLink w:val="Style5import"/>
  </w:abstractNum>
  <w:abstractNum w:abstractNumId="4">
    <w:nsid w:val="3DBB773A"/>
    <w:multiLevelType w:val="hybridMultilevel"/>
    <w:tmpl w:val="664623B4"/>
    <w:styleLink w:val="Style2import"/>
    <w:lvl w:ilvl="0" w:tplc="3DE84CC0">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DC8ED6C8">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3056B318">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4DD662E8">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DFAC78C2">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3498F73E">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8992098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A9A0F32C">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64406D2A">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DF65590"/>
    <w:multiLevelType w:val="hybridMultilevel"/>
    <w:tmpl w:val="9BD83552"/>
    <w:numStyleLink w:val="Style3import"/>
  </w:abstractNum>
  <w:abstractNum w:abstractNumId="6">
    <w:nsid w:val="439268C5"/>
    <w:multiLevelType w:val="hybridMultilevel"/>
    <w:tmpl w:val="1608A102"/>
    <w:styleLink w:val="Style4import1"/>
    <w:lvl w:ilvl="0" w:tplc="3E9A2926">
      <w:start w:val="1"/>
      <w:numFmt w:val="bullet"/>
      <w:lvlText w:val="-"/>
      <w:lvlJc w:val="left"/>
      <w:pPr>
        <w:ind w:left="99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BC8B0BE">
      <w:start w:val="1"/>
      <w:numFmt w:val="bullet"/>
      <w:lvlText w:val="o"/>
      <w:lvlJc w:val="left"/>
      <w:pPr>
        <w:ind w:left="171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4182C18">
      <w:start w:val="1"/>
      <w:numFmt w:val="bullet"/>
      <w:lvlText w:val="▪"/>
      <w:lvlJc w:val="left"/>
      <w:pPr>
        <w:ind w:left="243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940FE5E">
      <w:start w:val="1"/>
      <w:numFmt w:val="bullet"/>
      <w:lvlText w:val="•"/>
      <w:lvlJc w:val="left"/>
      <w:pPr>
        <w:ind w:left="315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8E643A0">
      <w:start w:val="1"/>
      <w:numFmt w:val="bullet"/>
      <w:lvlText w:val="o"/>
      <w:lvlJc w:val="left"/>
      <w:pPr>
        <w:ind w:left="387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80E54E4">
      <w:start w:val="1"/>
      <w:numFmt w:val="bullet"/>
      <w:lvlText w:val="▪"/>
      <w:lvlJc w:val="left"/>
      <w:pPr>
        <w:ind w:left="459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0AA1CD8">
      <w:start w:val="1"/>
      <w:numFmt w:val="bullet"/>
      <w:lvlText w:val="•"/>
      <w:lvlJc w:val="left"/>
      <w:pPr>
        <w:ind w:left="531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754F8C4">
      <w:start w:val="1"/>
      <w:numFmt w:val="bullet"/>
      <w:lvlText w:val="o"/>
      <w:lvlJc w:val="left"/>
      <w:pPr>
        <w:ind w:left="603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F1A22E8">
      <w:start w:val="1"/>
      <w:numFmt w:val="bullet"/>
      <w:lvlText w:val="▪"/>
      <w:lvlJc w:val="left"/>
      <w:pPr>
        <w:ind w:left="675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4AD754F7"/>
    <w:multiLevelType w:val="hybridMultilevel"/>
    <w:tmpl w:val="303E2C34"/>
    <w:lvl w:ilvl="0" w:tplc="8306FC22">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4E46C7C"/>
    <w:multiLevelType w:val="hybridMultilevel"/>
    <w:tmpl w:val="FF4813F8"/>
    <w:numStyleLink w:val="Style3import1"/>
  </w:abstractNum>
  <w:abstractNum w:abstractNumId="9">
    <w:nsid w:val="602664F8"/>
    <w:multiLevelType w:val="hybridMultilevel"/>
    <w:tmpl w:val="9BD83552"/>
    <w:styleLink w:val="Style3import"/>
    <w:lvl w:ilvl="0" w:tplc="D23CC386">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91EEEEF6">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06D21A7C">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501469E6">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1248BE3A">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2B887AB8">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58FC558A">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F42CE3AE">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2BEA0A38">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67EF798B"/>
    <w:multiLevelType w:val="hybridMultilevel"/>
    <w:tmpl w:val="664623B4"/>
    <w:numStyleLink w:val="Style2import"/>
  </w:abstractNum>
  <w:abstractNum w:abstractNumId="11">
    <w:nsid w:val="69D27C15"/>
    <w:multiLevelType w:val="hybridMultilevel"/>
    <w:tmpl w:val="2820AB84"/>
    <w:styleLink w:val="Style4import"/>
    <w:lvl w:ilvl="0" w:tplc="614648A2">
      <w:start w:val="1"/>
      <w:numFmt w:val="bullet"/>
      <w:lvlText w:val="-"/>
      <w:lvlJc w:val="left"/>
      <w:pPr>
        <w:ind w:left="99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74AC3B4">
      <w:start w:val="1"/>
      <w:numFmt w:val="bullet"/>
      <w:lvlText w:val="o"/>
      <w:lvlJc w:val="left"/>
      <w:pPr>
        <w:ind w:left="171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3504430">
      <w:start w:val="1"/>
      <w:numFmt w:val="bullet"/>
      <w:lvlText w:val="▪"/>
      <w:lvlJc w:val="left"/>
      <w:pPr>
        <w:ind w:left="243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66AAA7C">
      <w:start w:val="1"/>
      <w:numFmt w:val="bullet"/>
      <w:lvlText w:val="•"/>
      <w:lvlJc w:val="left"/>
      <w:pPr>
        <w:ind w:left="315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060148E">
      <w:start w:val="1"/>
      <w:numFmt w:val="bullet"/>
      <w:lvlText w:val="o"/>
      <w:lvlJc w:val="left"/>
      <w:pPr>
        <w:ind w:left="387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B943744">
      <w:start w:val="1"/>
      <w:numFmt w:val="bullet"/>
      <w:lvlText w:val="▪"/>
      <w:lvlJc w:val="left"/>
      <w:pPr>
        <w:ind w:left="459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E6E2F02">
      <w:start w:val="1"/>
      <w:numFmt w:val="bullet"/>
      <w:lvlText w:val="•"/>
      <w:lvlJc w:val="left"/>
      <w:pPr>
        <w:ind w:left="531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5581736">
      <w:start w:val="1"/>
      <w:numFmt w:val="bullet"/>
      <w:lvlText w:val="o"/>
      <w:lvlJc w:val="left"/>
      <w:pPr>
        <w:ind w:left="603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6142994">
      <w:start w:val="1"/>
      <w:numFmt w:val="bullet"/>
      <w:lvlText w:val="▪"/>
      <w:lvlJc w:val="left"/>
      <w:pPr>
        <w:ind w:left="675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0"/>
  </w:num>
  <w:num w:numId="3">
    <w:abstractNumId w:val="9"/>
  </w:num>
  <w:num w:numId="4">
    <w:abstractNumId w:val="5"/>
  </w:num>
  <w:num w:numId="5">
    <w:abstractNumId w:val="11"/>
  </w:num>
  <w:num w:numId="6">
    <w:abstractNumId w:val="2"/>
  </w:num>
  <w:num w:numId="7">
    <w:abstractNumId w:val="5"/>
    <w:lvlOverride w:ilvl="0">
      <w:startOverride w:val="2"/>
      <w:lvl w:ilvl="0" w:tplc="7996ECF6">
        <w:start w:val="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B9A609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12EBB7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BE09EB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B62DB3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400CA80">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2E6E7A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17C804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06D652">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0"/>
  </w:num>
  <w:num w:numId="9">
    <w:abstractNumId w:val="3"/>
  </w:num>
  <w:num w:numId="10">
    <w:abstractNumId w:val="3"/>
    <w:lvlOverride w:ilvl="0">
      <w:startOverride w:val="2"/>
    </w:lvlOverride>
  </w:num>
  <w:num w:numId="11">
    <w:abstractNumId w:val="3"/>
    <w:lvlOverride w:ilvl="0">
      <w:startOverride w:val="3"/>
    </w:lvlOverride>
  </w:num>
  <w:num w:numId="12">
    <w:abstractNumId w:val="5"/>
    <w:lvlOverride w:ilvl="0">
      <w:startOverride w:val="3"/>
      <w:lvl w:ilvl="0" w:tplc="7996ECF6">
        <w:start w:val="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B9A609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12EBB7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BE09EB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B62DB3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400CA80">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2E6E7A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17C804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06D652">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6"/>
  </w:num>
  <w:num w:numId="14">
    <w:abstractNumId w:val="7"/>
  </w:num>
  <w:num w:numId="15">
    <w:abstractNumId w:val="1"/>
  </w:num>
  <w:num w:numId="16">
    <w:abstractNumId w:val="8"/>
    <w:lvlOverride w:ilvl="0">
      <w:startOverride w:val="2"/>
      <w:lvl w:ilvl="0" w:tplc="D8C0CE66">
        <w:start w:val="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ADE252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860E610">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53C4A3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7AC3E3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A2AC468">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BB80D6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548406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8B48FD4">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C82D73B1-DEB7-4E00-B7B0-9C22F75DC03A"/>
    <w:docVar w:name="LW_COVERPAGE_TYPE" w:val="1"/>
    <w:docVar w:name="LW_CROSSREFERENCE" w:val="&lt;UNUSED&gt;"/>
    <w:docVar w:name="LW_DocType" w:val="NORMAL"/>
    <w:docVar w:name="LW_EMISSION" w:val="20.9.2019"/>
    <w:docVar w:name="LW_EMISSION_ISODATE" w:val="2019-09-20"/>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79?\u1072? \u1072?\u1089?\u1086?\u1094?\u1080?\u1080?\u1088?\u1072?\u1085?\u1077?, \u1091?\u1095?\u1088?\u1077?\u1076?\u1077?\u1085? \u1087?\u1086? \u1089?\u1080?\u1083?\u1072?\u1090?\u1072? \u1085?\u1072? \u1045?\u1074?\u1088?\u1086?\u8209?\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0?\u1088?\u1072?\u1083?\u1089?\u1090?\u1074?\u1086? \u1052?\u1072?\u1088?\u1086?\u1082?\u1086?, \u1086?\u1090? \u1076?\u1088?\u1091?\u1075?\u1072? \u1089?\u1090?\u1088?\u1072?\u1085?\u1072?, \u1074?\u1098?\u1074? \u1074?\u1088?\u1098?\u1079?\u1082?\u1072? \u1089? \u1086?\u1073?\u1084?\u1077?\u1085?\u1072? \u1085?\u1072? \u1080?\u1085?\u1092?\u1086?\u1088?\u1084?\u1072?\u1094?\u1080?\u1103? \u1089? \u1094?\u1077?\u1083? \u1086?\u1094?\u1077?\u1085?\u1082?\u1072? \u1085?\u1072? \u1074?\u1098?\u1079?\u1076?\u1077?\u1081?\u1089?\u1090?\u1074?\u1080?\u1077?\u1090?\u1086? \u1085?\u1072? \u1089?\u1087?\u1086?\u1088?\u1072?\u1079?\u1091?\u1084?\u1077?\u1085?\u1080?\u1077?\u1090?\u1086? \u1087?\u1086?\u1076? \u1092?\u1086?\u1088?\u1084?\u1072?\u1090?\u1072? \u1085?\u1072? \u1088?\u1072?\u1079?\u1084?\u1103?\u1085?\u1072? \u1085?\u1072? \u1087?\u1080?\u1089?\u1084?\u1072? \u1079?\u1072? \u1080?\u1079?\u1084?\u1077?\u1085?\u1077?\u1085?\u1080?\u1077? \u1085?\u1072? \u1045?\u1074?\u1088?\u1086?-\u1089?\u1088?\u1077?\u1076?\u1080?\u1079?\u1077?\u1084?\u1085?\u1086?\u1084?\u1086?\u1088?\u1089?\u1082?\u1086?\u1090?\u1086? \u1089?\u1087?\u1086?\u1088?\u1072?\u1079?\u1091?\u1084?\u1077?\u1085?\u1080?\u1077?"/>
    <w:docVar w:name="LW_PART_NBR" w:val="1"/>
    <w:docVar w:name="LW_PART_NBR_TOTAL" w:val="1"/>
    <w:docVar w:name="LW_REF.INST.NEW" w:val="COM"/>
    <w:docVar w:name="LW_REF.INST.NEW_ADOPTED" w:val="final"/>
    <w:docVar w:name="LW_REF.INST.NEW_TEXT" w:val="(2019) 4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right" w:pos="9020"/>
      </w:tabs>
    </w:pPr>
    <w:rPr>
      <w:rFonts w:ascii="Helvetica Neue" w:hAnsi="Helvetica Neue" w:cs="Arial Unicode MS"/>
      <w:color w:val="000000"/>
      <w:sz w:val="24"/>
      <w:szCs w:val="24"/>
    </w:rPr>
  </w:style>
  <w:style w:type="paragraph" w:styleId="Footer">
    <w:name w:val="footer"/>
    <w:pPr>
      <w:tabs>
        <w:tab w:val="center" w:pos="4535"/>
        <w:tab w:val="right" w:pos="9071"/>
        <w:tab w:val="right" w:pos="9921"/>
      </w:tabs>
      <w:spacing w:before="360"/>
    </w:pPr>
    <w:rPr>
      <w:rFonts w:cs="Arial Unicode MS"/>
      <w:color w:val="000000"/>
      <w:sz w:val="24"/>
      <w:szCs w:val="24"/>
      <w:u w:color="000000"/>
    </w:rPr>
  </w:style>
  <w:style w:type="character" w:customStyle="1" w:styleId="Aucun">
    <w:name w:val="Aucun"/>
    <w:rPr>
      <w:lang w:val="bg-BG"/>
    </w:rPr>
  </w:style>
  <w:style w:type="paragraph" w:customStyle="1" w:styleId="Pagedecouverture">
    <w:name w:val="Page de couverture"/>
    <w:next w:val="CorpsA"/>
    <w:pPr>
      <w:jc w:val="both"/>
    </w:pPr>
    <w:rPr>
      <w:rFonts w:eastAsia="Times New Roman"/>
      <w:color w:val="000000"/>
      <w:sz w:val="24"/>
      <w:szCs w:val="24"/>
      <w:u w:color="000000"/>
    </w:rPr>
  </w:style>
  <w:style w:type="paragraph" w:customStyle="1" w:styleId="CorpsA">
    <w:name w:val="Corps A"/>
    <w:pPr>
      <w:spacing w:before="120" w:after="120"/>
      <w:jc w:val="both"/>
    </w:pPr>
    <w:rPr>
      <w:rFonts w:eastAsia="Times New Roman"/>
      <w:color w:val="000000"/>
      <w:sz w:val="24"/>
      <w:szCs w:val="24"/>
      <w:u w:color="000000"/>
    </w:rPr>
  </w:style>
  <w:style w:type="paragraph" w:customStyle="1" w:styleId="Annexetitre">
    <w:name w:val="Annexe titre"/>
    <w:next w:val="CorpsA"/>
    <w:link w:val="AnnexetitreChar"/>
    <w:pPr>
      <w:spacing w:before="120" w:after="120"/>
      <w:jc w:val="center"/>
    </w:pPr>
    <w:rPr>
      <w:rFonts w:cs="Arial Unicode MS"/>
      <w:b/>
      <w:bCs/>
      <w:color w:val="000000"/>
      <w:sz w:val="24"/>
      <w:szCs w:val="24"/>
      <w:u w:val="single" w:color="000000"/>
    </w:rPr>
  </w:style>
  <w:style w:type="paragraph" w:customStyle="1" w:styleId="Considrant">
    <w:name w:val="Considérant"/>
    <w:pPr>
      <w:tabs>
        <w:tab w:val="left" w:pos="709"/>
      </w:tabs>
      <w:spacing w:before="120" w:after="120"/>
      <w:jc w:val="both"/>
    </w:pPr>
    <w:rPr>
      <w:rFonts w:cs="Arial Unicode MS"/>
      <w:color w:val="000000"/>
      <w:sz w:val="24"/>
      <w:szCs w:val="24"/>
      <w:u w:color="000000"/>
    </w:rPr>
  </w:style>
  <w:style w:type="numbering" w:customStyle="1" w:styleId="Style2import">
    <w:name w:val="Style 2 importé"/>
    <w:pPr>
      <w:numPr>
        <w:numId w:val="1"/>
      </w:numPr>
    </w:pPr>
  </w:style>
  <w:style w:type="paragraph" w:styleId="ListParagraph">
    <w:name w:val="List Paragraph"/>
    <w:pPr>
      <w:spacing w:before="120" w:after="120"/>
      <w:ind w:left="720"/>
      <w:jc w:val="both"/>
    </w:pPr>
    <w:rPr>
      <w:rFonts w:cs="Arial Unicode MS"/>
      <w:color w:val="000000"/>
      <w:sz w:val="24"/>
      <w:szCs w:val="24"/>
      <w:u w:color="000000"/>
    </w:rPr>
  </w:style>
  <w:style w:type="numbering" w:customStyle="1" w:styleId="Style3import">
    <w:name w:val="Style 3 importé"/>
    <w:pPr>
      <w:numPr>
        <w:numId w:val="3"/>
      </w:numPr>
    </w:pPr>
  </w:style>
  <w:style w:type="numbering" w:customStyle="1" w:styleId="Style4import">
    <w:name w:val="Style 4 importé"/>
    <w:pPr>
      <w:numPr>
        <w:numId w:val="5"/>
      </w:numPr>
    </w:pPr>
  </w:style>
  <w:style w:type="numbering" w:customStyle="1" w:styleId="Style5import">
    <w:name w:val="Style 5 importé"/>
    <w:pPr>
      <w:numPr>
        <w:numId w:val="8"/>
      </w:numPr>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bg-BG" w:eastAsia="en-US"/>
    </w:rPr>
  </w:style>
  <w:style w:type="character" w:styleId="FootnoteReference">
    <w:name w:val="footnote reference"/>
    <w:basedOn w:val="DefaultParagraphFont"/>
    <w:uiPriority w:val="99"/>
    <w:semiHidden/>
    <w:unhideWhenUsed/>
    <w:rPr>
      <w:vertAlign w:val="superscript"/>
    </w:rPr>
  </w:style>
  <w:style w:type="numbering" w:customStyle="1" w:styleId="Style4import1">
    <w:name w:val="Style 4 importé1"/>
    <w:pPr>
      <w:numPr>
        <w:numId w:val="13"/>
      </w:numPr>
    </w:pPr>
  </w:style>
  <w:style w:type="numbering" w:customStyle="1" w:styleId="Style3import1">
    <w:name w:val="Style 3 importé1"/>
    <w:pPr>
      <w:numPr>
        <w:numId w:val="15"/>
      </w:numPr>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AnnexetitreChar">
    <w:name w:val="Annexe titre Char"/>
    <w:basedOn w:val="DefaultParagraphFont"/>
    <w:link w:val="Annexetitre"/>
    <w:rPr>
      <w:rFonts w:cs="Arial Unicode MS"/>
      <w:b/>
      <w:bCs/>
      <w:color w:val="000000"/>
      <w:sz w:val="24"/>
      <w:szCs w:val="24"/>
      <w:u w:val="single" w:color="000000"/>
    </w:rPr>
  </w:style>
  <w:style w:type="character" w:customStyle="1" w:styleId="FooterCoverPageChar">
    <w:name w:val="Footer Cover Page Char"/>
    <w:basedOn w:val="AnnexetitreChar"/>
    <w:link w:val="FooterCoverPage"/>
    <w:rPr>
      <w:rFonts w:cs="Arial Unicode MS"/>
      <w:b w:val="0"/>
      <w:bCs w:val="0"/>
      <w:color w:val="000000"/>
      <w:sz w:val="24"/>
      <w:szCs w:val="24"/>
      <w:u w:val="single" w:color="000000"/>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AnnexetitreChar"/>
    <w:link w:val="FooterSensitivity"/>
    <w:rPr>
      <w:rFonts w:cs="Arial Unicode MS"/>
      <w:b/>
      <w:bCs w:val="0"/>
      <w:color w:val="000000"/>
      <w:sz w:val="32"/>
      <w:szCs w:val="24"/>
      <w:u w:val="single" w:color="000000"/>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AnnexetitreChar"/>
    <w:link w:val="HeaderCoverPage"/>
    <w:rPr>
      <w:rFonts w:cs="Arial Unicode MS"/>
      <w:b w:val="0"/>
      <w:bCs w:val="0"/>
      <w:color w:val="000000"/>
      <w:sz w:val="24"/>
      <w:szCs w:val="24"/>
      <w:u w:val="single" w:color="000000"/>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AnnexetitreChar"/>
    <w:link w:val="HeaderSensitivity"/>
    <w:rPr>
      <w:rFonts w:cs="Arial Unicode MS"/>
      <w:b/>
      <w:bCs w:val="0"/>
      <w:color w:val="000000"/>
      <w:sz w:val="32"/>
      <w:szCs w:val="24"/>
      <w:u w:val="single" w:color="000000"/>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en-US"/>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HeaderSensitivityRight">
    <w:name w:val="Header Sensitivity Right"/>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right" w:pos="9020"/>
      </w:tabs>
    </w:pPr>
    <w:rPr>
      <w:rFonts w:ascii="Helvetica Neue" w:hAnsi="Helvetica Neue" w:cs="Arial Unicode MS"/>
      <w:color w:val="000000"/>
      <w:sz w:val="24"/>
      <w:szCs w:val="24"/>
    </w:rPr>
  </w:style>
  <w:style w:type="paragraph" w:styleId="Footer">
    <w:name w:val="footer"/>
    <w:pPr>
      <w:tabs>
        <w:tab w:val="center" w:pos="4535"/>
        <w:tab w:val="right" w:pos="9071"/>
        <w:tab w:val="right" w:pos="9921"/>
      </w:tabs>
      <w:spacing w:before="360"/>
    </w:pPr>
    <w:rPr>
      <w:rFonts w:cs="Arial Unicode MS"/>
      <w:color w:val="000000"/>
      <w:sz w:val="24"/>
      <w:szCs w:val="24"/>
      <w:u w:color="000000"/>
    </w:rPr>
  </w:style>
  <w:style w:type="character" w:customStyle="1" w:styleId="Aucun">
    <w:name w:val="Aucun"/>
    <w:rPr>
      <w:lang w:val="bg-BG"/>
    </w:rPr>
  </w:style>
  <w:style w:type="paragraph" w:customStyle="1" w:styleId="Pagedecouverture">
    <w:name w:val="Page de couverture"/>
    <w:next w:val="CorpsA"/>
    <w:pPr>
      <w:jc w:val="both"/>
    </w:pPr>
    <w:rPr>
      <w:rFonts w:eastAsia="Times New Roman"/>
      <w:color w:val="000000"/>
      <w:sz w:val="24"/>
      <w:szCs w:val="24"/>
      <w:u w:color="000000"/>
    </w:rPr>
  </w:style>
  <w:style w:type="paragraph" w:customStyle="1" w:styleId="CorpsA">
    <w:name w:val="Corps A"/>
    <w:pPr>
      <w:spacing w:before="120" w:after="120"/>
      <w:jc w:val="both"/>
    </w:pPr>
    <w:rPr>
      <w:rFonts w:eastAsia="Times New Roman"/>
      <w:color w:val="000000"/>
      <w:sz w:val="24"/>
      <w:szCs w:val="24"/>
      <w:u w:color="000000"/>
    </w:rPr>
  </w:style>
  <w:style w:type="paragraph" w:customStyle="1" w:styleId="Annexetitre">
    <w:name w:val="Annexe titre"/>
    <w:next w:val="CorpsA"/>
    <w:link w:val="AnnexetitreChar"/>
    <w:pPr>
      <w:spacing w:before="120" w:after="120"/>
      <w:jc w:val="center"/>
    </w:pPr>
    <w:rPr>
      <w:rFonts w:cs="Arial Unicode MS"/>
      <w:b/>
      <w:bCs/>
      <w:color w:val="000000"/>
      <w:sz w:val="24"/>
      <w:szCs w:val="24"/>
      <w:u w:val="single" w:color="000000"/>
    </w:rPr>
  </w:style>
  <w:style w:type="paragraph" w:customStyle="1" w:styleId="Considrant">
    <w:name w:val="Considérant"/>
    <w:pPr>
      <w:tabs>
        <w:tab w:val="left" w:pos="709"/>
      </w:tabs>
      <w:spacing w:before="120" w:after="120"/>
      <w:jc w:val="both"/>
    </w:pPr>
    <w:rPr>
      <w:rFonts w:cs="Arial Unicode MS"/>
      <w:color w:val="000000"/>
      <w:sz w:val="24"/>
      <w:szCs w:val="24"/>
      <w:u w:color="000000"/>
    </w:rPr>
  </w:style>
  <w:style w:type="numbering" w:customStyle="1" w:styleId="Style2import">
    <w:name w:val="Style 2 importé"/>
    <w:pPr>
      <w:numPr>
        <w:numId w:val="1"/>
      </w:numPr>
    </w:pPr>
  </w:style>
  <w:style w:type="paragraph" w:styleId="ListParagraph">
    <w:name w:val="List Paragraph"/>
    <w:pPr>
      <w:spacing w:before="120" w:after="120"/>
      <w:ind w:left="720"/>
      <w:jc w:val="both"/>
    </w:pPr>
    <w:rPr>
      <w:rFonts w:cs="Arial Unicode MS"/>
      <w:color w:val="000000"/>
      <w:sz w:val="24"/>
      <w:szCs w:val="24"/>
      <w:u w:color="000000"/>
    </w:rPr>
  </w:style>
  <w:style w:type="numbering" w:customStyle="1" w:styleId="Style3import">
    <w:name w:val="Style 3 importé"/>
    <w:pPr>
      <w:numPr>
        <w:numId w:val="3"/>
      </w:numPr>
    </w:pPr>
  </w:style>
  <w:style w:type="numbering" w:customStyle="1" w:styleId="Style4import">
    <w:name w:val="Style 4 importé"/>
    <w:pPr>
      <w:numPr>
        <w:numId w:val="5"/>
      </w:numPr>
    </w:pPr>
  </w:style>
  <w:style w:type="numbering" w:customStyle="1" w:styleId="Style5import">
    <w:name w:val="Style 5 importé"/>
    <w:pPr>
      <w:numPr>
        <w:numId w:val="8"/>
      </w:numPr>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bg-BG" w:eastAsia="en-US"/>
    </w:rPr>
  </w:style>
  <w:style w:type="character" w:styleId="FootnoteReference">
    <w:name w:val="footnote reference"/>
    <w:basedOn w:val="DefaultParagraphFont"/>
    <w:uiPriority w:val="99"/>
    <w:semiHidden/>
    <w:unhideWhenUsed/>
    <w:rPr>
      <w:vertAlign w:val="superscript"/>
    </w:rPr>
  </w:style>
  <w:style w:type="numbering" w:customStyle="1" w:styleId="Style4import1">
    <w:name w:val="Style 4 importé1"/>
    <w:pPr>
      <w:numPr>
        <w:numId w:val="13"/>
      </w:numPr>
    </w:pPr>
  </w:style>
  <w:style w:type="numbering" w:customStyle="1" w:styleId="Style3import1">
    <w:name w:val="Style 3 importé1"/>
    <w:pPr>
      <w:numPr>
        <w:numId w:val="15"/>
      </w:numPr>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AnnexetitreChar">
    <w:name w:val="Annexe titre Char"/>
    <w:basedOn w:val="DefaultParagraphFont"/>
    <w:link w:val="Annexetitre"/>
    <w:rPr>
      <w:rFonts w:cs="Arial Unicode MS"/>
      <w:b/>
      <w:bCs/>
      <w:color w:val="000000"/>
      <w:sz w:val="24"/>
      <w:szCs w:val="24"/>
      <w:u w:val="single" w:color="000000"/>
    </w:rPr>
  </w:style>
  <w:style w:type="character" w:customStyle="1" w:styleId="FooterCoverPageChar">
    <w:name w:val="Footer Cover Page Char"/>
    <w:basedOn w:val="AnnexetitreChar"/>
    <w:link w:val="FooterCoverPage"/>
    <w:rPr>
      <w:rFonts w:cs="Arial Unicode MS"/>
      <w:b w:val="0"/>
      <w:bCs w:val="0"/>
      <w:color w:val="000000"/>
      <w:sz w:val="24"/>
      <w:szCs w:val="24"/>
      <w:u w:val="single" w:color="000000"/>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AnnexetitreChar"/>
    <w:link w:val="FooterSensitivity"/>
    <w:rPr>
      <w:rFonts w:cs="Arial Unicode MS"/>
      <w:b/>
      <w:bCs w:val="0"/>
      <w:color w:val="000000"/>
      <w:sz w:val="32"/>
      <w:szCs w:val="24"/>
      <w:u w:val="single" w:color="000000"/>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AnnexetitreChar"/>
    <w:link w:val="HeaderCoverPage"/>
    <w:rPr>
      <w:rFonts w:cs="Arial Unicode MS"/>
      <w:b w:val="0"/>
      <w:bCs w:val="0"/>
      <w:color w:val="000000"/>
      <w:sz w:val="24"/>
      <w:szCs w:val="24"/>
      <w:u w:val="single" w:color="000000"/>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AnnexetitreChar"/>
    <w:link w:val="HeaderSensitivity"/>
    <w:rPr>
      <w:rFonts w:cs="Arial Unicode MS"/>
      <w:b/>
      <w:bCs w:val="0"/>
      <w:color w:val="000000"/>
      <w:sz w:val="32"/>
      <w:szCs w:val="24"/>
      <w:u w:val="single" w:color="000000"/>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en-US"/>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HeaderSensitivityRight">
    <w:name w:val="Header Sensitivity Right"/>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D6511-A056-4346-9F9C-9D03F8B0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1291</Words>
  <Characters>7649</Characters>
  <Application>Microsoft Office Word</Application>
  <DocSecurity>0</DocSecurity>
  <Lines>159</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DIGIT/C6</cp:lastModifiedBy>
  <cp:revision>18</cp:revision>
  <cp:lastPrinted>2019-05-06T08:15:00Z</cp:lastPrinted>
  <dcterms:created xsi:type="dcterms:W3CDTF">2019-08-05T12:04:00Z</dcterms:created>
  <dcterms:modified xsi:type="dcterms:W3CDTF">2019-09-19T09:12:00Z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7.0, Build 20190717</vt:lpwstr>
  </property>
  <property fmtid="{D5CDD505-2E9C-101B-9397-08002B2CF9AE}" pid="11" name="CPTemplateID">
    <vt:lpwstr>CP-036</vt:lpwstr>
  </property>
</Properties>
</file>