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BBFED8D-20DA-4914-A19E-6F313B44684D" style="width:450.7pt;height:420.5pt">
            <v:imagedata r:id="rId9" o:title=""/>
          </v:shape>
        </w:pict>
      </w:r>
    </w:p>
    <w:bookmarkEnd w:id="0"/>
    <w:p>
      <w:pPr>
        <w:pStyle w:val="CorpsA"/>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Annexetitre"/>
        <w:rPr>
          <w:noProof/>
        </w:rPr>
      </w:pPr>
      <w:bookmarkStart w:id="1" w:name="_GoBack"/>
      <w:bookmarkEnd w:id="1"/>
      <w:r>
        <w:rPr>
          <w:noProof/>
        </w:rPr>
        <w:lastRenderedPageBreak/>
        <w:t xml:space="preserve">PROJET </w:t>
      </w:r>
    </w:p>
    <w:p>
      <w:pPr>
        <w:pStyle w:val="CorpsA"/>
        <w:spacing w:line="360" w:lineRule="auto"/>
        <w:jc w:val="center"/>
        <w:rPr>
          <w:rStyle w:val="Aucun"/>
          <w:b/>
          <w:bCs/>
          <w:noProof/>
        </w:rPr>
      </w:pPr>
      <w:r>
        <w:rPr>
          <w:rStyle w:val="Aucun"/>
          <w:b/>
          <w:bCs/>
          <w:noProof/>
        </w:rPr>
        <w:t>DÉ</w:t>
      </w:r>
      <w:r>
        <w:rPr>
          <w:rStyle w:val="Aucun"/>
          <w:b/>
          <w:bCs/>
          <w:noProof/>
          <w:lang w:val="fr-BE"/>
        </w:rPr>
        <w:t>CISION N</w:t>
      </w:r>
      <w:r>
        <w:rPr>
          <w:rStyle w:val="Aucun"/>
          <w:b/>
          <w:bCs/>
          <w:noProof/>
        </w:rPr>
        <w:t>º ../…..</w:t>
      </w:r>
      <w:r>
        <w:rPr>
          <w:rStyle w:val="Aucun"/>
          <w:rFonts w:ascii="Arial Unicode MS" w:eastAsia="Arial Unicode MS" w:hAnsi="Arial Unicode MS" w:cs="Arial Unicode MS"/>
          <w:noProof/>
        </w:rPr>
        <w:br/>
      </w:r>
      <w:r>
        <w:rPr>
          <w:rStyle w:val="Aucun"/>
          <w:b/>
          <w:bCs/>
          <w:noProof/>
        </w:rPr>
        <w:t>DU COMIT</w:t>
      </w:r>
      <w:r>
        <w:rPr>
          <w:rStyle w:val="Aucun"/>
          <w:b/>
          <w:bCs/>
          <w:noProof/>
          <w:lang w:val="pt-PT"/>
        </w:rPr>
        <w:t xml:space="preserve">É </w:t>
      </w:r>
      <w:r>
        <w:rPr>
          <w:rStyle w:val="Aucun"/>
          <w:b/>
          <w:bCs/>
          <w:noProof/>
          <w:lang w:val="fr-BE"/>
        </w:rPr>
        <w:t>D'ASSOCIATION UE-MAROC</w:t>
      </w:r>
    </w:p>
    <w:p>
      <w:pPr>
        <w:pStyle w:val="CorpsA"/>
        <w:spacing w:line="360" w:lineRule="auto"/>
        <w:jc w:val="center"/>
        <w:rPr>
          <w:rStyle w:val="Aucun"/>
          <w:b/>
          <w:bCs/>
          <w:noProof/>
        </w:rPr>
      </w:pPr>
      <w:r>
        <w:rPr>
          <w:rStyle w:val="Aucun"/>
          <w:b/>
          <w:bCs/>
          <w:noProof/>
        </w:rPr>
        <w:t>du...</w:t>
      </w:r>
    </w:p>
    <w:p>
      <w:pPr>
        <w:pStyle w:val="CorpsA"/>
        <w:spacing w:line="360" w:lineRule="auto"/>
        <w:jc w:val="center"/>
        <w:rPr>
          <w:rStyle w:val="Aucun"/>
          <w:b/>
          <w:bCs/>
          <w:noProof/>
        </w:rPr>
      </w:pPr>
      <w:r>
        <w:rPr>
          <w:rStyle w:val="Aucun"/>
          <w:b/>
          <w:bCs/>
          <w:noProof/>
        </w:rPr>
        <w:t xml:space="preserve">relative à l’échange d’informations entre l’Union européenne et le Royaume du Maroc en vue d’évaluer l’impact de l’accord sous forme d’échange de lettres du 25 octobre 2018 </w:t>
      </w:r>
    </w:p>
    <w:p>
      <w:pPr>
        <w:pStyle w:val="CorpsA"/>
        <w:spacing w:line="360" w:lineRule="auto"/>
        <w:rPr>
          <w:noProof/>
        </w:rPr>
      </w:pPr>
    </w:p>
    <w:p>
      <w:pPr>
        <w:pStyle w:val="CorpsA"/>
        <w:spacing w:line="360" w:lineRule="auto"/>
        <w:rPr>
          <w:noProof/>
        </w:rPr>
      </w:pPr>
      <w:r>
        <w:rPr>
          <w:noProof/>
        </w:rPr>
        <w:t>LE COMIT</w:t>
      </w:r>
      <w:r>
        <w:rPr>
          <w:rStyle w:val="Aucun"/>
          <w:noProof/>
          <w:lang w:val="pt-PT"/>
        </w:rPr>
        <w:t xml:space="preserve">É </w:t>
      </w:r>
      <w:r>
        <w:rPr>
          <w:rStyle w:val="Aucun"/>
          <w:noProof/>
          <w:lang w:val="es-ES_tradnl"/>
        </w:rPr>
        <w:t>D'ASSOCIATION UE-MAROC,</w:t>
      </w:r>
    </w:p>
    <w:p>
      <w:pPr>
        <w:pStyle w:val="CorpsA"/>
        <w:spacing w:line="360" w:lineRule="auto"/>
        <w:rPr>
          <w:rStyle w:val="Aucun"/>
          <w:noProof/>
        </w:rPr>
      </w:pPr>
      <w:r>
        <w:rPr>
          <w:noProof/>
        </w:rPr>
        <w:t>vu l’</w:t>
      </w:r>
      <w:r>
        <w:rPr>
          <w:rStyle w:val="Aucun"/>
          <w:noProof/>
        </w:rPr>
        <w:t>accord sous forme d'</w:t>
      </w:r>
      <w:r>
        <w:rPr>
          <w:noProof/>
        </w:rPr>
        <w:t>é</w:t>
      </w:r>
      <w:r>
        <w:rPr>
          <w:rStyle w:val="Aucun"/>
          <w:noProof/>
        </w:rPr>
        <w:t>change de lettres entre l'Union europ</w:t>
      </w:r>
      <w:r>
        <w:rPr>
          <w:noProof/>
        </w:rPr>
        <w:t>é</w:t>
      </w:r>
      <w:r>
        <w:rPr>
          <w:rStyle w:val="Aucun"/>
          <w:noProof/>
        </w:rPr>
        <w:t>enne et le Royaume du Maroc du 25 octobre 2018 sur la modification des protocoles n</w:t>
      </w:r>
      <w:r>
        <w:rPr>
          <w:rStyle w:val="Aucun"/>
          <w:noProof/>
          <w:lang w:val="fr-BE"/>
        </w:rPr>
        <w:t xml:space="preserve">° </w:t>
      </w:r>
      <w:r>
        <w:rPr>
          <w:rStyle w:val="Aucun"/>
          <w:noProof/>
        </w:rPr>
        <w:t>1 et n</w:t>
      </w:r>
      <w:r>
        <w:rPr>
          <w:rStyle w:val="Aucun"/>
          <w:noProof/>
          <w:lang w:val="fr-BE"/>
        </w:rPr>
        <w:t xml:space="preserve">° </w:t>
      </w:r>
      <w:r>
        <w:rPr>
          <w:rStyle w:val="Aucun"/>
          <w:noProof/>
        </w:rPr>
        <w:t>4 de l'accord euro-m</w:t>
      </w:r>
      <w:r>
        <w:rPr>
          <w:noProof/>
        </w:rPr>
        <w:t>é</w:t>
      </w:r>
      <w:r>
        <w:rPr>
          <w:rStyle w:val="Aucun"/>
          <w:noProof/>
          <w:lang w:val="fr-BE"/>
        </w:rPr>
        <w:t>diterran</w:t>
      </w:r>
      <w:r>
        <w:rPr>
          <w:noProof/>
        </w:rPr>
        <w:t>éen é</w:t>
      </w:r>
      <w:r>
        <w:rPr>
          <w:rStyle w:val="Aucun"/>
          <w:noProof/>
        </w:rPr>
        <w:t>tablissant une association entre les Communaut</w:t>
      </w:r>
      <w:r>
        <w:rPr>
          <w:noProof/>
        </w:rPr>
        <w:t>é</w:t>
      </w:r>
      <w:r>
        <w:rPr>
          <w:rStyle w:val="Aucun"/>
          <w:noProof/>
        </w:rPr>
        <w:t>s europ</w:t>
      </w:r>
      <w:r>
        <w:rPr>
          <w:noProof/>
        </w:rPr>
        <w:t>é</w:t>
      </w:r>
      <w:r>
        <w:rPr>
          <w:rStyle w:val="Aucun"/>
          <w:noProof/>
        </w:rPr>
        <w:t>ennes et leurs États membres, d'une part, et le Royaume du Maroc, d'autre part,</w:t>
      </w:r>
    </w:p>
    <w:p>
      <w:pPr>
        <w:pStyle w:val="CorpsA"/>
        <w:spacing w:line="360" w:lineRule="auto"/>
        <w:rPr>
          <w:noProof/>
        </w:rPr>
      </w:pPr>
      <w:r>
        <w:rPr>
          <w:rStyle w:val="Aucun"/>
          <w:noProof/>
        </w:rPr>
        <w:t xml:space="preserve">vu </w:t>
      </w:r>
      <w:r>
        <w:rPr>
          <w:noProof/>
        </w:rPr>
        <w:t>l’accord euro-méditerranéen du 26 février 1996 établissant une association entre les Communautés européennes et leurs Etats membres, d’une part, et le Royaume du Maroc, d’autre part, et notamment son article 83,</w:t>
      </w:r>
    </w:p>
    <w:p>
      <w:pPr>
        <w:pStyle w:val="CorpsA"/>
        <w:spacing w:line="360" w:lineRule="auto"/>
        <w:rPr>
          <w:noProof/>
        </w:rPr>
      </w:pPr>
      <w:r>
        <w:rPr>
          <w:rStyle w:val="Aucun"/>
          <w:rFonts w:ascii="Arial Unicode MS" w:eastAsia="Arial Unicode MS" w:hAnsi="Arial Unicode MS" w:cs="Arial Unicode MS"/>
          <w:noProof/>
        </w:rPr>
        <w:br w:type="page"/>
      </w:r>
    </w:p>
    <w:p>
      <w:pPr>
        <w:pStyle w:val="CorpsA"/>
        <w:spacing w:line="360" w:lineRule="auto"/>
        <w:rPr>
          <w:noProof/>
        </w:rPr>
      </w:pPr>
      <w:r>
        <w:rPr>
          <w:noProof/>
        </w:rPr>
        <w:t>considé</w:t>
      </w:r>
      <w:r>
        <w:rPr>
          <w:rStyle w:val="Aucun"/>
          <w:noProof/>
        </w:rPr>
        <w:t>rant ce qui suit:</w:t>
      </w:r>
    </w:p>
    <w:p>
      <w:pPr>
        <w:pStyle w:val="Considrant"/>
        <w:numPr>
          <w:ilvl w:val="0"/>
          <w:numId w:val="2"/>
        </w:numPr>
        <w:rPr>
          <w:noProof/>
        </w:rPr>
      </w:pPr>
      <w:r>
        <w:rPr>
          <w:noProof/>
        </w:rPr>
        <w:t>L’accord sous forme d'échange de lettres entre l'Union européenne et le Royaume du Maroc sur la modification des protocoles n° 1 et n° 4 de l'accord euro-méditerranéen établissant une association entre les Communautés européennes et leurs États membres, d'une part, et le Royaume du Maroc, d'autre part, est entré en vigueur le 19 juillet 2019.</w:t>
      </w:r>
    </w:p>
    <w:p>
      <w:pPr>
        <w:pStyle w:val="Considrant"/>
        <w:numPr>
          <w:ilvl w:val="0"/>
          <w:numId w:val="2"/>
        </w:numPr>
        <w:rPr>
          <w:noProof/>
        </w:rPr>
      </w:pPr>
      <w:r>
        <w:rPr>
          <w:noProof/>
        </w:rPr>
        <w:t xml:space="preserve">Par cet accord, les produits originaires du Sahara occidental </w:t>
      </w:r>
      <w:r>
        <w:rPr>
          <w:rFonts w:cs="Times New Roman"/>
          <w:noProof/>
          <w:color w:val="auto"/>
          <w:lang w:val="fr-BE" w:eastAsia="en-US"/>
        </w:rPr>
        <w:t>(dorénavant référé comme « territoires concernés »)</w:t>
      </w:r>
      <w:r>
        <w:rPr>
          <w:noProof/>
        </w:rPr>
        <w:t xml:space="preserve"> qui sont soumis au contrôle des autorités douanières du Royaume du Maroc </w:t>
      </w:r>
      <w:r>
        <w:rPr>
          <w:rFonts w:cs="Times New Roman"/>
          <w:noProof/>
          <w:color w:val="auto"/>
          <w:lang w:val="fr-BE" w:eastAsia="en-US"/>
        </w:rPr>
        <w:t xml:space="preserve"> </w:t>
      </w:r>
      <w:r>
        <w:rPr>
          <w:noProof/>
        </w:rPr>
        <w:t xml:space="preserve">bénéficient des mêmes préférences commerciales que celles accordées par l'Union européenne aux produits couverts par l'accord d'association entre l’Union européenne et le Royaume du Maroc. </w:t>
      </w:r>
    </w:p>
    <w:p>
      <w:pPr>
        <w:pStyle w:val="Considrant"/>
        <w:numPr>
          <w:ilvl w:val="0"/>
          <w:numId w:val="2"/>
        </w:numPr>
        <w:rPr>
          <w:noProof/>
        </w:rPr>
      </w:pPr>
      <w:r>
        <w:rPr>
          <w:noProof/>
        </w:rPr>
        <w:t>Dans un esprit de partenariat et afin de permettre aux parties d'évaluer l'impact de l’accord, en particulier sur le développement durable, notamment en ce qui concerne les avantages pour les populations concernées et l’exploitation des ressources naturelles des territoires concernés, l'Union européenne et le Royaume du Maroc sont convenus d'échanger des informations dans le cadre du comité d'association au moins une fois par an.</w:t>
      </w:r>
    </w:p>
    <w:p>
      <w:pPr>
        <w:pStyle w:val="Considrant"/>
        <w:numPr>
          <w:ilvl w:val="0"/>
          <w:numId w:val="2"/>
        </w:numPr>
        <w:rPr>
          <w:noProof/>
        </w:rPr>
      </w:pPr>
      <w:r>
        <w:rPr>
          <w:noProof/>
        </w:rPr>
        <w:t>Les modalités spécifiques de cet exercice d'évaluation doivent être adoptées par le comité d'association au plus tard deux mois après l'entrée en vigueur de l’accord,</w:t>
      </w:r>
    </w:p>
    <w:p>
      <w:pPr>
        <w:pStyle w:val="CorpsA"/>
        <w:spacing w:line="360" w:lineRule="auto"/>
        <w:rPr>
          <w:noProof/>
        </w:rPr>
      </w:pPr>
      <w:r>
        <w:rPr>
          <w:noProof/>
        </w:rPr>
        <w:t>A ADOPT</w:t>
      </w:r>
      <w:r>
        <w:rPr>
          <w:rStyle w:val="Aucun"/>
          <w:noProof/>
          <w:lang w:val="pt-PT"/>
        </w:rPr>
        <w:t xml:space="preserve">É </w:t>
      </w:r>
      <w:r>
        <w:rPr>
          <w:noProof/>
        </w:rPr>
        <w:t>LA PR</w:t>
      </w:r>
      <w:r>
        <w:rPr>
          <w:rStyle w:val="Aucun"/>
          <w:noProof/>
        </w:rPr>
        <w:t>É</w:t>
      </w:r>
      <w:r>
        <w:rPr>
          <w:rStyle w:val="Aucun"/>
          <w:noProof/>
          <w:lang w:val="fr-BE"/>
        </w:rPr>
        <w:t>SENTE D</w:t>
      </w:r>
      <w:r>
        <w:rPr>
          <w:rStyle w:val="Aucun"/>
          <w:noProof/>
        </w:rPr>
        <w:t>É</w:t>
      </w:r>
      <w:r>
        <w:rPr>
          <w:rStyle w:val="Aucun"/>
          <w:noProof/>
          <w:lang w:val="fr-BE"/>
        </w:rPr>
        <w:t>CISION:</w:t>
      </w:r>
    </w:p>
    <w:p>
      <w:pPr>
        <w:pStyle w:val="CorpsA"/>
        <w:spacing w:line="360" w:lineRule="auto"/>
        <w:rPr>
          <w:noProof/>
        </w:rPr>
      </w:pPr>
      <w:r>
        <w:rPr>
          <w:rStyle w:val="Aucun"/>
          <w:rFonts w:ascii="Arial Unicode MS" w:eastAsia="Arial Unicode MS" w:hAnsi="Arial Unicode MS" w:cs="Arial Unicode MS"/>
          <w:noProof/>
        </w:rPr>
        <w:br w:type="page"/>
      </w:r>
    </w:p>
    <w:p>
      <w:pPr>
        <w:pStyle w:val="CorpsA"/>
        <w:spacing w:line="360" w:lineRule="auto"/>
        <w:jc w:val="center"/>
        <w:rPr>
          <w:rStyle w:val="Aucun"/>
          <w:i/>
          <w:iCs/>
          <w:noProof/>
        </w:rPr>
      </w:pPr>
      <w:r>
        <w:rPr>
          <w:rStyle w:val="Aucun"/>
          <w:i/>
          <w:iCs/>
          <w:noProof/>
          <w:lang w:val="pt-PT"/>
        </w:rPr>
        <w:t>Article</w:t>
      </w:r>
      <w:r>
        <w:rPr>
          <w:rStyle w:val="Aucun"/>
          <w:i/>
          <w:iCs/>
          <w:noProof/>
        </w:rPr>
        <w:t> premier</w:t>
      </w:r>
    </w:p>
    <w:p>
      <w:pPr>
        <w:pStyle w:val="CorpsA"/>
        <w:rPr>
          <w:noProof/>
        </w:rPr>
      </w:pPr>
      <w:r>
        <w:rPr>
          <w:rStyle w:val="Aucun"/>
          <w:rFonts w:eastAsia="Arial Unicode MS" w:cs="Arial Unicode MS"/>
          <w:noProof/>
        </w:rPr>
        <w:t>1.</w:t>
      </w:r>
      <w:r>
        <w:rPr>
          <w:rStyle w:val="Aucun"/>
          <w:rFonts w:eastAsia="Arial Unicode MS" w:cs="Arial Unicode MS"/>
          <w:noProof/>
        </w:rPr>
        <w:tab/>
        <w:t>Afin de permettre aux Parties d’évaluer l’impact de l'accord pendant son application dans une optique de développement durable, l’Union européenne et le Royaume du Maroc sont convenus de ce qui suit:</w:t>
      </w:r>
    </w:p>
    <w:p>
      <w:pPr>
        <w:pStyle w:val="CorpsA"/>
        <w:ind w:left="567" w:hanging="567"/>
        <w:rPr>
          <w:noProof/>
        </w:rPr>
      </w:pPr>
      <w:r>
        <w:rPr>
          <w:rStyle w:val="Aucun"/>
          <w:noProof/>
        </w:rPr>
        <w:t>-</w:t>
      </w:r>
      <w:r>
        <w:rPr>
          <w:rStyle w:val="Aucun"/>
          <w:noProof/>
        </w:rPr>
        <w:tab/>
        <w:t>L'Union européenne et le Maroc échangent les données jugées pertinentes dans les principaux secteurs d’activité concernés ainsi que les informations statistiques, économiques, sociales et environnementales, notamment sur les avantages de l'accord pour les populations concernées et l’exploitation des ressources naturelles des territoires concernés. Une liste d'informations pertinentes figure à l’annexe de la présente décision.</w:t>
      </w:r>
    </w:p>
    <w:p>
      <w:pPr>
        <w:pStyle w:val="CorpsA"/>
        <w:ind w:left="567" w:hanging="567"/>
        <w:rPr>
          <w:noProof/>
        </w:rPr>
      </w:pPr>
      <w:r>
        <w:rPr>
          <w:rStyle w:val="Aucun"/>
          <w:noProof/>
        </w:rPr>
        <w:t>-</w:t>
      </w:r>
      <w:r>
        <w:rPr>
          <w:rStyle w:val="Aucun"/>
          <w:noProof/>
        </w:rPr>
        <w:tab/>
        <w:t>Cet échange se fera sur la base d'une communication écrite préalablement transmise au plus tard deux mois avant la réunion du comité d’association; cette communication peut être suivie de demandes d'éclaircissement et de questions complémentaires, cernées dans les thématiques arrêtées par cette décision, qui devront être transmises au plus tard un mois avant la réunion.</w:t>
      </w:r>
    </w:p>
    <w:p>
      <w:pPr>
        <w:pStyle w:val="CorpsA"/>
        <w:rPr>
          <w:noProof/>
        </w:rPr>
      </w:pPr>
      <w:r>
        <w:rPr>
          <w:rStyle w:val="Aucun"/>
          <w:rFonts w:eastAsia="Arial Unicode MS" w:cs="Arial Unicode MS"/>
          <w:noProof/>
        </w:rPr>
        <w:t>2.</w:t>
      </w:r>
      <w:r>
        <w:rPr>
          <w:rStyle w:val="Aucun"/>
          <w:rFonts w:eastAsia="Arial Unicode MS" w:cs="Arial Unicode MS"/>
          <w:noProof/>
        </w:rPr>
        <w:tab/>
        <w:t>Par ailleurs, il a également été convenu entre les Parties</w:t>
      </w:r>
      <w:r>
        <w:rPr>
          <w:rFonts w:eastAsia="Arial Unicode MS" w:cs="Arial Unicode MS"/>
          <w:noProof/>
          <w:color w:val="auto"/>
          <w:lang w:val="fr-BE" w:eastAsia="en-US"/>
        </w:rPr>
        <w:t>, dans un esprit de partenariat et afin de permettre aux parties d'évaluer l'impact de l’accord,</w:t>
      </w:r>
      <w:r>
        <w:rPr>
          <w:rStyle w:val="Aucun"/>
          <w:rFonts w:eastAsia="Arial Unicode MS" w:cs="Arial Unicode MS"/>
          <w:noProof/>
        </w:rPr>
        <w:t xml:space="preserve"> que le Maroc peut demander à l’Union européenne des informations sur la production et le commerce de catégories de produits spécifiques présentant un intérêt particulier pour le Maroc, sur base des systèmes d’information déjà existants. L’Union européenne et le Royaume du Maroc sont convenus de ce qui suit:</w:t>
      </w:r>
    </w:p>
    <w:p>
      <w:pPr>
        <w:pStyle w:val="CorpsA"/>
        <w:ind w:left="567" w:hanging="567"/>
        <w:rPr>
          <w:noProof/>
        </w:rPr>
      </w:pPr>
      <w:r>
        <w:rPr>
          <w:rStyle w:val="Aucun"/>
          <w:noProof/>
        </w:rPr>
        <w:t>-</w:t>
      </w:r>
      <w:r>
        <w:rPr>
          <w:rStyle w:val="Aucun"/>
          <w:noProof/>
        </w:rPr>
        <w:tab/>
        <w:t xml:space="preserve">Le Maroc transmettra sa demande par écrit à l’Union européenne trois mois avant la réunion du comité d’association. </w:t>
      </w:r>
    </w:p>
    <w:p>
      <w:pPr>
        <w:pStyle w:val="CorpsA"/>
        <w:ind w:left="567" w:hanging="567"/>
        <w:rPr>
          <w:noProof/>
        </w:rPr>
      </w:pPr>
      <w:r>
        <w:rPr>
          <w:rStyle w:val="Aucun"/>
          <w:noProof/>
        </w:rPr>
        <w:t>-</w:t>
      </w:r>
      <w:r>
        <w:rPr>
          <w:rStyle w:val="Aucun"/>
          <w:noProof/>
        </w:rPr>
        <w:tab/>
        <w:t>L’échange se fera sur la base d'une communication écrite préalablement transmise par l’Union européenne au plus tard deux mois avant la réunion du comité d’association; cette communication peut être suivie de demandes d'éclaircissement et de questions complémentaires qui devront être transmises au plus tard un mois avant la réunion.</w:t>
      </w:r>
    </w:p>
    <w:p>
      <w:pPr>
        <w:pStyle w:val="CorpsA"/>
        <w:rPr>
          <w:noProof/>
        </w:rPr>
      </w:pPr>
      <w:r>
        <w:rPr>
          <w:rStyle w:val="Aucun"/>
          <w:rFonts w:eastAsia="Arial Unicode MS" w:cs="Arial Unicode MS"/>
          <w:noProof/>
        </w:rPr>
        <w:t>3.</w:t>
      </w:r>
      <w:r>
        <w:rPr>
          <w:rStyle w:val="Aucun"/>
          <w:rFonts w:eastAsia="Arial Unicode MS" w:cs="Arial Unicode MS"/>
          <w:noProof/>
        </w:rPr>
        <w:tab/>
        <w:t xml:space="preserve">Les Parties échangeront leurs conclusions respectives dans le cadre du comité d'association au plus tard le (xx) de chaque année. </w:t>
      </w:r>
    </w:p>
    <w:p>
      <w:pPr>
        <w:pStyle w:val="CorpsA"/>
        <w:rPr>
          <w:noProof/>
        </w:rPr>
      </w:pPr>
      <w:r>
        <w:rPr>
          <w:rStyle w:val="Aucun"/>
          <w:rFonts w:eastAsia="Arial Unicode MS" w:cs="Arial Unicode MS"/>
          <w:noProof/>
        </w:rPr>
        <w:t>4.</w:t>
      </w:r>
      <w:r>
        <w:rPr>
          <w:rStyle w:val="Aucun"/>
          <w:rFonts w:eastAsia="Arial Unicode MS" w:cs="Arial Unicode MS"/>
          <w:noProof/>
        </w:rPr>
        <w:tab/>
        <w:t>Le procès-verbal comprenant les conclusions du comité d’association doit être agréé par les Parties dans le mois qui suit la réunion.</w:t>
      </w:r>
    </w:p>
    <w:p>
      <w:pPr>
        <w:pStyle w:val="CorpsA"/>
        <w:spacing w:line="360" w:lineRule="auto"/>
        <w:jc w:val="center"/>
        <w:rPr>
          <w:rStyle w:val="Aucun"/>
          <w:i/>
          <w:iCs/>
          <w:noProof/>
        </w:rPr>
      </w:pPr>
      <w:r>
        <w:rPr>
          <w:rStyle w:val="Aucun"/>
          <w:i/>
          <w:iCs/>
          <w:noProof/>
          <w:lang w:val="pt-PT"/>
        </w:rPr>
        <w:t>Article</w:t>
      </w:r>
      <w:r>
        <w:rPr>
          <w:rStyle w:val="Aucun"/>
          <w:i/>
          <w:iCs/>
          <w:noProof/>
        </w:rPr>
        <w:t> 2</w:t>
      </w:r>
    </w:p>
    <w:p>
      <w:pPr>
        <w:pStyle w:val="CorpsA"/>
        <w:spacing w:line="360" w:lineRule="auto"/>
        <w:rPr>
          <w:noProof/>
        </w:rPr>
      </w:pPr>
      <w:r>
        <w:rPr>
          <w:rStyle w:val="Aucun"/>
          <w:noProof/>
        </w:rPr>
        <w:t>L'annexe fait partie int</w:t>
      </w:r>
      <w:r>
        <w:rPr>
          <w:noProof/>
        </w:rPr>
        <w:t>é</w:t>
      </w:r>
      <w:r>
        <w:rPr>
          <w:rStyle w:val="Aucun"/>
          <w:noProof/>
          <w:lang w:val="es-ES_tradnl"/>
        </w:rPr>
        <w:t>grante de la pr</w:t>
      </w:r>
      <w:r>
        <w:rPr>
          <w:noProof/>
        </w:rPr>
        <w:t>é</w:t>
      </w:r>
      <w:r>
        <w:rPr>
          <w:rStyle w:val="Aucun"/>
          <w:noProof/>
          <w:lang w:val="fr-BE"/>
        </w:rPr>
        <w:t>sente d</w:t>
      </w:r>
      <w:r>
        <w:rPr>
          <w:noProof/>
        </w:rPr>
        <w:t>écision.</w:t>
      </w:r>
    </w:p>
    <w:p>
      <w:pPr>
        <w:pStyle w:val="CorpsA"/>
        <w:spacing w:line="360" w:lineRule="auto"/>
        <w:jc w:val="center"/>
        <w:rPr>
          <w:rStyle w:val="Aucun"/>
          <w:i/>
          <w:iCs/>
          <w:noProof/>
        </w:rPr>
      </w:pPr>
      <w:r>
        <w:rPr>
          <w:rStyle w:val="Aucun"/>
          <w:i/>
          <w:iCs/>
          <w:noProof/>
          <w:lang w:val="pt-PT"/>
        </w:rPr>
        <w:t>Article</w:t>
      </w:r>
      <w:r>
        <w:rPr>
          <w:rStyle w:val="Aucun"/>
          <w:i/>
          <w:iCs/>
          <w:noProof/>
        </w:rPr>
        <w:t> 3</w:t>
      </w:r>
    </w:p>
    <w:p>
      <w:pPr>
        <w:pStyle w:val="CorpsA"/>
        <w:spacing w:line="360" w:lineRule="auto"/>
        <w:rPr>
          <w:noProof/>
        </w:rPr>
      </w:pPr>
      <w:r>
        <w:rPr>
          <w:rStyle w:val="Aucun"/>
          <w:noProof/>
          <w:lang w:val="fr-BE"/>
        </w:rPr>
        <w:t>La pr</w:t>
      </w:r>
      <w:r>
        <w:rPr>
          <w:noProof/>
        </w:rPr>
        <w:t>é</w:t>
      </w:r>
      <w:r>
        <w:rPr>
          <w:rStyle w:val="Aucun"/>
          <w:noProof/>
          <w:lang w:val="fr-BE"/>
        </w:rPr>
        <w:t>sente d</w:t>
      </w:r>
      <w:r>
        <w:rPr>
          <w:noProof/>
        </w:rPr>
        <w:t>é</w:t>
      </w:r>
      <w:r>
        <w:rPr>
          <w:rStyle w:val="Aucun"/>
          <w:noProof/>
        </w:rPr>
        <w:t>cision entre en vigueur le jour de son adoption par le comité d'association.</w:t>
      </w:r>
    </w:p>
    <w:p>
      <w:pPr>
        <w:pStyle w:val="CorpsA"/>
        <w:spacing w:line="360" w:lineRule="auto"/>
        <w:rPr>
          <w:noProof/>
        </w:rPr>
      </w:pPr>
      <w:r>
        <w:rPr>
          <w:rStyle w:val="Aucun"/>
          <w:noProof/>
        </w:rPr>
        <w:t>Fait à [Rabat][Bruxelles], le [x/x/]2019</w:t>
      </w:r>
    </w:p>
    <w:p>
      <w:pPr>
        <w:pStyle w:val="CorpsA"/>
        <w:jc w:val="right"/>
        <w:rPr>
          <w:rStyle w:val="Aucun"/>
          <w:i/>
          <w:iCs/>
          <w:noProof/>
        </w:rPr>
      </w:pPr>
      <w:r>
        <w:rPr>
          <w:rStyle w:val="Aucun"/>
          <w:i/>
          <w:iCs/>
          <w:noProof/>
        </w:rPr>
        <w:t>Par le comité d'association UE-Maroc</w:t>
      </w:r>
    </w:p>
    <w:p>
      <w:pPr>
        <w:pStyle w:val="CorpsA"/>
        <w:rPr>
          <w:noProof/>
        </w:rPr>
        <w:sectPr>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567" w:footer="567" w:gutter="0"/>
          <w:cols w:space="720"/>
        </w:sectPr>
      </w:pPr>
    </w:p>
    <w:p>
      <w:pPr>
        <w:pStyle w:val="CorpsA"/>
        <w:jc w:val="center"/>
        <w:rPr>
          <w:rStyle w:val="Aucun"/>
          <w:b/>
          <w:bCs/>
          <w:noProof/>
          <w:u w:val="single"/>
        </w:rPr>
      </w:pPr>
      <w:r>
        <w:rPr>
          <w:rStyle w:val="Aucun"/>
          <w:b/>
          <w:bCs/>
          <w:noProof/>
          <w:u w:val="single"/>
          <w:lang w:val="fr-BE"/>
        </w:rPr>
        <w:t>ANNEXE</w:t>
      </w:r>
    </w:p>
    <w:p>
      <w:pPr>
        <w:pStyle w:val="CorpsA"/>
        <w:spacing w:line="360" w:lineRule="auto"/>
        <w:jc w:val="center"/>
        <w:rPr>
          <w:rStyle w:val="Aucun"/>
          <w:caps/>
          <w:noProof/>
        </w:rPr>
      </w:pPr>
    </w:p>
    <w:p>
      <w:pPr>
        <w:pStyle w:val="CorpsA"/>
        <w:spacing w:line="360" w:lineRule="auto"/>
        <w:jc w:val="center"/>
        <w:rPr>
          <w:rStyle w:val="Aucun"/>
          <w:caps/>
          <w:noProof/>
        </w:rPr>
      </w:pPr>
      <w:r>
        <w:rPr>
          <w:rStyle w:val="Aucun"/>
          <w:caps/>
          <w:noProof/>
        </w:rPr>
        <w:t>Informations pertinentes dans le cadre de l’échange d’informations prévu par l’</w:t>
      </w:r>
      <w:r>
        <w:rPr>
          <w:rStyle w:val="Aucun"/>
          <w:caps/>
          <w:noProof/>
          <w:lang w:val="fr-BE"/>
        </w:rPr>
        <w:t>accord</w:t>
      </w:r>
    </w:p>
    <w:p>
      <w:pPr>
        <w:pStyle w:val="CorpsA"/>
        <w:rPr>
          <w:noProof/>
        </w:rPr>
      </w:pPr>
    </w:p>
    <w:p>
      <w:pPr>
        <w:pStyle w:val="CorpsA"/>
        <w:spacing w:after="0"/>
        <w:rPr>
          <w:noProof/>
        </w:rPr>
      </w:pPr>
      <w:r>
        <w:rPr>
          <w:rStyle w:val="Aucun"/>
          <w:noProof/>
        </w:rPr>
        <w:t xml:space="preserve">Les informations </w:t>
      </w:r>
      <w:r>
        <w:rPr>
          <w:noProof/>
        </w:rPr>
        <w:t>é</w:t>
      </w:r>
      <w:r>
        <w:rPr>
          <w:rStyle w:val="Aucun"/>
          <w:noProof/>
        </w:rPr>
        <w:t>chang</w:t>
      </w:r>
      <w:r>
        <w:rPr>
          <w:noProof/>
        </w:rPr>
        <w:t>é</w:t>
      </w:r>
      <w:r>
        <w:rPr>
          <w:rStyle w:val="Aucun"/>
          <w:noProof/>
        </w:rPr>
        <w:t xml:space="preserve">es doivent permettre de mettre à jour le rapport </w:t>
      </w:r>
      <w:r>
        <w:rPr>
          <w:noProof/>
        </w:rPr>
        <w:t>élabor</w:t>
      </w:r>
      <w:r>
        <w:rPr>
          <w:rStyle w:val="Aucun"/>
          <w:noProof/>
        </w:rPr>
        <w:t>é par les services de la Commission conjointement avec le Service Europ</w:t>
      </w:r>
      <w:r>
        <w:rPr>
          <w:noProof/>
        </w:rPr>
        <w:t>éen d’</w:t>
      </w:r>
      <w:r>
        <w:rPr>
          <w:rStyle w:val="Aucun"/>
          <w:noProof/>
        </w:rPr>
        <w:t>Action Ext</w:t>
      </w:r>
      <w:r>
        <w:rPr>
          <w:noProof/>
        </w:rPr>
        <w:t>é</w:t>
      </w:r>
      <w:r>
        <w:rPr>
          <w:rStyle w:val="Aucun"/>
          <w:noProof/>
        </w:rPr>
        <w:t xml:space="preserve">rieure (SEAE) du 11 juin </w:t>
      </w:r>
      <w:r>
        <w:rPr>
          <w:rFonts w:eastAsia="Arial Unicode MS"/>
          <w:noProof/>
          <w:color w:val="auto"/>
          <w:lang w:val="fr-BE" w:eastAsia="en-US"/>
        </w:rPr>
        <w:t>2018</w:t>
      </w:r>
      <w:r>
        <w:rPr>
          <w:rFonts w:eastAsia="Arial Unicode MS"/>
          <w:noProof/>
          <w:color w:val="auto"/>
          <w:vertAlign w:val="superscript"/>
          <w:lang w:val="en-US" w:eastAsia="en-US"/>
        </w:rPr>
        <w:footnoteReference w:id="1"/>
      </w:r>
      <w:r>
        <w:rPr>
          <w:rStyle w:val="Aucun"/>
          <w:noProof/>
        </w:rPr>
        <w:t xml:space="preserve"> </w:t>
      </w:r>
      <w:r>
        <w:rPr>
          <w:rFonts w:eastAsia="Arial Unicode MS"/>
          <w:noProof/>
          <w:color w:val="auto"/>
          <w:lang w:val="fr-BE" w:eastAsia="en-US"/>
        </w:rPr>
        <w:t>qui a démontré les bénéfices pour la population concernée, de l'extension de préférences tarifaires aux produits originaires des territoires concernés</w:t>
      </w:r>
      <w:r>
        <w:rPr>
          <w:rStyle w:val="Aucun"/>
          <w:noProof/>
        </w:rPr>
        <w:t>. L'</w:t>
      </w:r>
      <w:r>
        <w:rPr>
          <w:noProof/>
        </w:rPr>
        <w:t>é</w:t>
      </w:r>
      <w:r>
        <w:rPr>
          <w:rStyle w:val="Aucun"/>
          <w:noProof/>
        </w:rPr>
        <w:t>change d'informations doit ainsi comprendre des informations d</w:t>
      </w:r>
      <w:r>
        <w:rPr>
          <w:noProof/>
        </w:rPr>
        <w:t>é</w:t>
      </w:r>
      <w:r>
        <w:rPr>
          <w:rStyle w:val="Aucun"/>
          <w:noProof/>
        </w:rPr>
        <w:t>taill</w:t>
      </w:r>
      <w:r>
        <w:rPr>
          <w:noProof/>
        </w:rPr>
        <w:t>é</w:t>
      </w:r>
      <w:r>
        <w:rPr>
          <w:rStyle w:val="Aucun"/>
          <w:noProof/>
        </w:rPr>
        <w:t>es permettant d’é</w:t>
      </w:r>
      <w:r>
        <w:rPr>
          <w:noProof/>
        </w:rPr>
        <w:t>valuer l’</w:t>
      </w:r>
      <w:r>
        <w:rPr>
          <w:rStyle w:val="Aucun"/>
          <w:noProof/>
        </w:rPr>
        <w:t>impact de l</w:t>
      </w:r>
      <w:r>
        <w:rPr>
          <w:noProof/>
        </w:rPr>
        <w:t>’</w:t>
      </w:r>
      <w:r>
        <w:rPr>
          <w:rStyle w:val="Aucun"/>
          <w:noProof/>
        </w:rPr>
        <w:t>accord pendant sa mise en œuvre</w:t>
      </w:r>
      <w:r>
        <w:rPr>
          <w:noProof/>
        </w:rPr>
        <w:t xml:space="preserve"> </w:t>
      </w:r>
      <w:r>
        <w:rPr>
          <w:rStyle w:val="Aucun"/>
          <w:noProof/>
        </w:rPr>
        <w:t>y compris des informations g</w:t>
      </w:r>
      <w:r>
        <w:rPr>
          <w:noProof/>
        </w:rPr>
        <w:t>éné</w:t>
      </w:r>
      <w:r>
        <w:rPr>
          <w:rStyle w:val="Aucun"/>
          <w:noProof/>
        </w:rPr>
        <w:t xml:space="preserve">rales sur </w:t>
      </w:r>
      <w:r>
        <w:rPr>
          <w:rFonts w:eastAsia="Arial Unicode MS"/>
          <w:noProof/>
          <w:color w:val="auto"/>
          <w:lang w:val="fr-BE" w:eastAsia="en-US"/>
        </w:rPr>
        <w:t>les territoires et populations concernés</w:t>
      </w:r>
      <w:r>
        <w:rPr>
          <w:rStyle w:val="Aucun"/>
          <w:noProof/>
        </w:rPr>
        <w:t>. Ces informations sont destinées uniquement à des fins d’évaluation et à l’élaboration des mises à jour dudit rapport par les services de la Commission et du SEAE.  A titre indicatif, les informations pertinentes sont les suivantes:</w:t>
      </w:r>
    </w:p>
    <w:p>
      <w:pPr>
        <w:pStyle w:val="CorpsA"/>
        <w:spacing w:before="0" w:after="0"/>
        <w:rPr>
          <w:noProof/>
        </w:rPr>
      </w:pPr>
    </w:p>
    <w:p>
      <w:pPr>
        <w:pStyle w:val="ListParagraph"/>
        <w:numPr>
          <w:ilvl w:val="0"/>
          <w:numId w:val="4"/>
        </w:numPr>
        <w:spacing w:before="0"/>
        <w:rPr>
          <w:b/>
          <w:bCs/>
          <w:noProof/>
        </w:rPr>
      </w:pPr>
      <w:r>
        <w:rPr>
          <w:b/>
          <w:bCs/>
          <w:noProof/>
        </w:rPr>
        <w:t>Informations générales</w:t>
      </w:r>
    </w:p>
    <w:p>
      <w:pPr>
        <w:jc w:val="both"/>
        <w:rPr>
          <w:noProof/>
          <w:lang w:val="fr-BE"/>
        </w:rPr>
      </w:pPr>
      <w:r>
        <w:rPr>
          <w:noProof/>
          <w:lang w:val="fr-BE"/>
        </w:rPr>
        <w:t>Informations statistiques sociales pour les territoires concernés dont les produits sont soumis au contrôle des autorités douanières du Royaume du Maroc, telles que population (si possible par âge et sexe), emploi (nombre absolu, nombre dépendant de l’export et de l’export vers l’Union européenne), niveau des salaires, indice de développement humain, éducation (par exemple nombre d’établissements, de places, d’élèves, taux de scolarisation), santé (par exemple nombre d’hôpitaux, de lits et de médecins), services de base (par exemple accès à l’eau potable et à l’électricité), taux de pauvreté, transport.</w:t>
      </w:r>
    </w:p>
    <w:p>
      <w:pPr>
        <w:ind w:left="708" w:firstLine="3"/>
        <w:jc w:val="both"/>
        <w:rPr>
          <w:noProof/>
          <w:lang w:val="fr-BE"/>
        </w:rPr>
      </w:pPr>
    </w:p>
    <w:p>
      <w:pPr>
        <w:jc w:val="both"/>
        <w:rPr>
          <w:noProof/>
          <w:lang w:val="fr-BE"/>
        </w:rPr>
      </w:pPr>
      <w:r>
        <w:rPr>
          <w:noProof/>
          <w:lang w:val="fr-BE"/>
        </w:rPr>
        <w:t>Informations statistiques économiques pour le territoire, telles que taux de croissance annuel du PIB et du PIB par habitant, secteurs importants, taille de la production, pourcentage pour l'export et pour l'export vers l’Union européenne.</w:t>
      </w:r>
    </w:p>
    <w:p>
      <w:pPr>
        <w:rPr>
          <w:noProof/>
          <w:lang w:val="fr-BE"/>
        </w:rPr>
      </w:pPr>
    </w:p>
    <w:p>
      <w:pPr>
        <w:jc w:val="both"/>
        <w:rPr>
          <w:noProof/>
          <w:lang w:val="fr-BE"/>
        </w:rPr>
      </w:pPr>
      <w:r>
        <w:rPr>
          <w:noProof/>
          <w:lang w:val="fr-BE"/>
        </w:rPr>
        <w:t>Informations statistiques environnementales pour le territoire, telles que: utilisation des ressources naturelles et de l’eau en particulier, le traitement des déchets (agriculture, activité minière), gestion durable des stocks de poisson, pollution.</w:t>
      </w:r>
    </w:p>
    <w:p>
      <w:pPr>
        <w:pStyle w:val="ListParagraph"/>
        <w:rPr>
          <w:noProof/>
        </w:rPr>
      </w:pPr>
    </w:p>
    <w:p>
      <w:pPr>
        <w:pStyle w:val="ListParagraph"/>
        <w:numPr>
          <w:ilvl w:val="0"/>
          <w:numId w:val="7"/>
        </w:numPr>
        <w:rPr>
          <w:b/>
          <w:bCs/>
          <w:noProof/>
        </w:rPr>
      </w:pPr>
      <w:r>
        <w:rPr>
          <w:b/>
          <w:bCs/>
          <w:noProof/>
        </w:rPr>
        <w:t>Données pour les principaux secteurs économiques d’exportation</w:t>
      </w:r>
    </w:p>
    <w:p>
      <w:pPr>
        <w:jc w:val="both"/>
        <w:rPr>
          <w:noProof/>
          <w:lang w:val="fr-BE"/>
        </w:rPr>
      </w:pPr>
      <w:r>
        <w:rPr>
          <w:bCs/>
          <w:noProof/>
          <w:lang w:val="fr-BE"/>
        </w:rPr>
        <w:t xml:space="preserve">Notamment pour les secteurs de l’agriculture et de la pêche, ainsi que d’autres secteurs où des exportations </w:t>
      </w:r>
      <w:r>
        <w:rPr>
          <w:noProof/>
          <w:lang w:val="fr-BE"/>
        </w:rPr>
        <w:t xml:space="preserve">des territoires concernés </w:t>
      </w:r>
      <w:r>
        <w:rPr>
          <w:bCs/>
          <w:noProof/>
          <w:lang w:val="fr-BE"/>
        </w:rPr>
        <w:t xml:space="preserve">vers l’Union européenne ont lieu, des données </w:t>
      </w:r>
      <w:r>
        <w:rPr>
          <w:noProof/>
          <w:lang w:val="fr-BE"/>
        </w:rPr>
        <w:t>telles que:</w:t>
      </w:r>
    </w:p>
    <w:p>
      <w:pPr>
        <w:numPr>
          <w:ilvl w:val="0"/>
          <w:numId w:val="14"/>
        </w:numPr>
        <w:spacing w:before="120" w:after="120"/>
        <w:jc w:val="both"/>
        <w:rPr>
          <w:noProof/>
          <w:lang w:val="fr-BE"/>
        </w:rPr>
      </w:pPr>
      <w:r>
        <w:rPr>
          <w:rFonts w:cs="Arial Unicode MS"/>
          <w:noProof/>
          <w:color w:val="000000"/>
          <w:u w:color="000000"/>
          <w:lang w:val="fr-FR" w:eastAsia="fr-FR"/>
        </w:rPr>
        <w:t xml:space="preserve"> la production par type de produit (par exemple tomates, melons, etc. et par espèce dans le cas de la pêche)</w:t>
      </w:r>
    </w:p>
    <w:p>
      <w:pPr>
        <w:numPr>
          <w:ilvl w:val="0"/>
          <w:numId w:val="14"/>
        </w:numPr>
        <w:spacing w:before="120" w:after="120"/>
        <w:jc w:val="both"/>
        <w:rPr>
          <w:noProof/>
          <w:lang w:val="fr-BE"/>
        </w:rPr>
      </w:pPr>
      <w:r>
        <w:rPr>
          <w:rFonts w:cs="Arial Unicode MS"/>
          <w:noProof/>
          <w:color w:val="000000"/>
          <w:u w:color="000000"/>
          <w:lang w:val="fr-FR" w:eastAsia="fr-FR"/>
        </w:rPr>
        <w:t>les surfaces exploitées (irriguées et sous serre) et volumes récoltées</w:t>
      </w:r>
    </w:p>
    <w:p>
      <w:pPr>
        <w:numPr>
          <w:ilvl w:val="0"/>
          <w:numId w:val="14"/>
        </w:numPr>
        <w:spacing w:before="120" w:after="120"/>
        <w:jc w:val="both"/>
        <w:rPr>
          <w:noProof/>
          <w:lang w:val="fr-BE"/>
        </w:rPr>
      </w:pPr>
      <w:r>
        <w:rPr>
          <w:rFonts w:cs="Arial Unicode MS"/>
          <w:noProof/>
          <w:color w:val="000000"/>
          <w:u w:color="000000"/>
          <w:lang w:val="fr-FR" w:eastAsia="fr-FR"/>
        </w:rPr>
        <w:t>les exportations vers l’Union européenne (et le cas échéant d’autres destinations) en volume et en valeur</w:t>
      </w:r>
    </w:p>
    <w:p>
      <w:pPr>
        <w:numPr>
          <w:ilvl w:val="0"/>
          <w:numId w:val="14"/>
        </w:numPr>
        <w:spacing w:before="120" w:after="120"/>
        <w:jc w:val="both"/>
        <w:rPr>
          <w:noProof/>
          <w:lang w:val="fr-BE"/>
        </w:rPr>
      </w:pPr>
      <w:r>
        <w:rPr>
          <w:rFonts w:cs="Arial Unicode MS"/>
          <w:noProof/>
          <w:color w:val="000000"/>
          <w:u w:color="000000"/>
          <w:lang w:val="fr-FR" w:eastAsia="fr-FR"/>
        </w:rPr>
        <w:t>les établissements de transformation par secteur et les activités y réalisées</w:t>
      </w:r>
    </w:p>
    <w:p>
      <w:pPr>
        <w:numPr>
          <w:ilvl w:val="0"/>
          <w:numId w:val="14"/>
        </w:numPr>
        <w:spacing w:before="120" w:after="120"/>
        <w:jc w:val="both"/>
        <w:rPr>
          <w:noProof/>
          <w:lang w:val="fr-BE"/>
        </w:rPr>
      </w:pPr>
      <w:r>
        <w:rPr>
          <w:rFonts w:cs="Arial Unicode MS"/>
          <w:noProof/>
          <w:color w:val="000000"/>
          <w:u w:color="000000"/>
          <w:lang w:val="fr-FR" w:eastAsia="fr-FR"/>
        </w:rPr>
        <w:t>l’emploi (temporaire ou permanent) généré directement et indirectement (transport, fournisseurs, entreposage…) par ces activités et dans ces établissements</w:t>
      </w:r>
    </w:p>
    <w:p>
      <w:pPr>
        <w:numPr>
          <w:ilvl w:val="0"/>
          <w:numId w:val="14"/>
        </w:numPr>
        <w:spacing w:before="120" w:after="120"/>
        <w:jc w:val="both"/>
        <w:rPr>
          <w:noProof/>
          <w:lang w:val="fr-BE"/>
        </w:rPr>
      </w:pPr>
      <w:r>
        <w:rPr>
          <w:rFonts w:cs="Arial Unicode MS"/>
          <w:noProof/>
          <w:color w:val="000000"/>
          <w:u w:color="000000"/>
          <w:lang w:val="fr-FR" w:eastAsia="fr-FR"/>
        </w:rPr>
        <w:t>ou les mesures en place pour une gestion durable des ressources y compris l’eau (utilisation moyenne d’eau et les sources d’approvisionnement de l’eau).</w:t>
      </w:r>
    </w:p>
    <w:p>
      <w:pPr>
        <w:pStyle w:val="ListParagraph"/>
        <w:rPr>
          <w:noProof/>
        </w:rPr>
      </w:pPr>
    </w:p>
    <w:p>
      <w:pPr>
        <w:pStyle w:val="ListParagraph"/>
        <w:numPr>
          <w:ilvl w:val="0"/>
          <w:numId w:val="12"/>
        </w:numPr>
        <w:rPr>
          <w:b/>
          <w:bCs/>
          <w:noProof/>
        </w:rPr>
      </w:pPr>
      <w:r>
        <w:rPr>
          <w:b/>
          <w:bCs/>
          <w:noProof/>
        </w:rPr>
        <w:t>Projets en cours</w:t>
      </w:r>
    </w:p>
    <w:p>
      <w:pPr>
        <w:pStyle w:val="CorpsA"/>
        <w:rPr>
          <w:noProof/>
        </w:rPr>
      </w:pPr>
      <w:r>
        <w:rPr>
          <w:rStyle w:val="Aucun"/>
          <w:rFonts w:eastAsia="Arial Unicode MS" w:cs="Arial Unicode MS"/>
          <w:noProof/>
        </w:rPr>
        <w:t>Projets en cours ayant un impact notable sur le d</w:t>
      </w:r>
      <w:r>
        <w:rPr>
          <w:rFonts w:eastAsia="Arial Unicode MS" w:cs="Arial Unicode MS"/>
          <w:noProof/>
        </w:rPr>
        <w:t>é</w:t>
      </w:r>
      <w:r>
        <w:rPr>
          <w:rStyle w:val="Aucun"/>
          <w:rFonts w:eastAsia="Arial Unicode MS" w:cs="Arial Unicode MS"/>
          <w:noProof/>
        </w:rPr>
        <w:t xml:space="preserve">veloppement </w:t>
      </w:r>
      <w:r>
        <w:rPr>
          <w:rFonts w:eastAsia="Arial Unicode MS"/>
          <w:noProof/>
          <w:color w:val="auto"/>
          <w:lang w:val="fr-BE" w:eastAsia="en-US"/>
        </w:rPr>
        <w:t xml:space="preserve">des territoires concernés </w:t>
      </w:r>
      <w:r>
        <w:rPr>
          <w:rStyle w:val="Aucun"/>
          <w:rFonts w:eastAsia="Arial Unicode MS" w:cs="Arial Unicode MS"/>
          <w:noProof/>
        </w:rPr>
        <w:t>y compris sur le d</w:t>
      </w:r>
      <w:r>
        <w:rPr>
          <w:rFonts w:eastAsia="Arial Unicode MS" w:cs="Arial Unicode MS"/>
          <w:noProof/>
        </w:rPr>
        <w:t>é</w:t>
      </w:r>
      <w:r>
        <w:rPr>
          <w:rStyle w:val="Aucun"/>
          <w:rFonts w:eastAsia="Arial Unicode MS" w:cs="Arial Unicode MS"/>
          <w:noProof/>
        </w:rPr>
        <w:t>veloppement durable</w:t>
      </w:r>
      <w:r>
        <w:rPr>
          <w:rFonts w:eastAsia="Arial Unicode MS" w:cs="Arial Unicode MS"/>
          <w:noProof/>
          <w:color w:val="auto"/>
          <w:lang w:val="fr-BE" w:eastAsia="en-US"/>
        </w:rPr>
        <w:t xml:space="preserve"> </w:t>
      </w:r>
      <w:r>
        <w:rPr>
          <w:rFonts w:eastAsia="Arial Unicode MS"/>
          <w:noProof/>
          <w:color w:val="auto"/>
          <w:lang w:val="fr-BE" w:eastAsia="en-US"/>
        </w:rPr>
        <w:t>(énergie renouvelable, gestion raisonnée des ressources naturelles) du territoire</w:t>
      </w:r>
      <w:r>
        <w:rPr>
          <w:rStyle w:val="Aucun"/>
          <w:rFonts w:eastAsia="Arial Unicode MS" w:cs="Arial Unicode MS"/>
          <w:noProof/>
        </w:rPr>
        <w:t>.</w:t>
      </w:r>
    </w:p>
    <w:p>
      <w:pPr>
        <w:pStyle w:val="ListParagraph"/>
        <w:rPr>
          <w:noProof/>
        </w:rPr>
      </w:pPr>
    </w:p>
    <w:p>
      <w:pPr>
        <w:pStyle w:val="ListParagraph"/>
        <w:numPr>
          <w:ilvl w:val="0"/>
          <w:numId w:val="7"/>
        </w:numPr>
        <w:rPr>
          <w:b/>
          <w:bCs/>
          <w:noProof/>
        </w:rPr>
      </w:pPr>
      <w:r>
        <w:rPr>
          <w:b/>
          <w:bCs/>
          <w:noProof/>
        </w:rPr>
        <w:t>Autres informations pertinentes</w:t>
      </w:r>
    </w:p>
    <w:p>
      <w:pPr>
        <w:pStyle w:val="CorpsA"/>
        <w:rPr>
          <w:rStyle w:val="Aucun"/>
          <w:noProof/>
        </w:rPr>
      </w:pPr>
      <w:r>
        <w:rPr>
          <w:rStyle w:val="Aucun"/>
          <w:rFonts w:eastAsia="Arial Unicode MS" w:cs="Arial Unicode MS"/>
          <w:noProof/>
        </w:rPr>
        <w:t>Toute information permettant d'appr</w:t>
      </w:r>
      <w:r>
        <w:rPr>
          <w:rStyle w:val="Aucun"/>
          <w:noProof/>
        </w:rPr>
        <w:t>é</w:t>
      </w:r>
      <w:r>
        <w:rPr>
          <w:rStyle w:val="Aucun"/>
          <w:rFonts w:eastAsia="Arial Unicode MS" w:cs="Arial Unicode MS"/>
          <w:noProof/>
        </w:rPr>
        <w:t>cier les activit</w:t>
      </w:r>
      <w:r>
        <w:rPr>
          <w:rStyle w:val="Aucun"/>
          <w:noProof/>
        </w:rPr>
        <w:t>é</w:t>
      </w:r>
      <w:r>
        <w:rPr>
          <w:rStyle w:val="Aucun"/>
          <w:rFonts w:eastAsia="Arial Unicode MS" w:cs="Arial Unicode MS"/>
          <w:noProof/>
        </w:rPr>
        <w:t>s des op</w:t>
      </w:r>
      <w:r>
        <w:rPr>
          <w:rStyle w:val="Aucun"/>
          <w:noProof/>
        </w:rPr>
        <w:t>é</w:t>
      </w:r>
      <w:r>
        <w:rPr>
          <w:rStyle w:val="Aucun"/>
          <w:rFonts w:eastAsia="Arial Unicode MS" w:cs="Arial Unicode MS"/>
          <w:noProof/>
        </w:rPr>
        <w:t xml:space="preserve">rateurs </w:t>
      </w:r>
      <w:r>
        <w:rPr>
          <w:rStyle w:val="Aucun"/>
          <w:noProof/>
        </w:rPr>
        <w:t>é</w:t>
      </w:r>
      <w:r>
        <w:rPr>
          <w:rStyle w:val="Aucun"/>
          <w:rFonts w:eastAsia="Arial Unicode MS" w:cs="Arial Unicode MS"/>
          <w:noProof/>
        </w:rPr>
        <w:t>conomiques locaux concern</w:t>
      </w:r>
      <w:r>
        <w:rPr>
          <w:rStyle w:val="Aucun"/>
          <w:noProof/>
        </w:rPr>
        <w:t>é</w:t>
      </w:r>
      <w:r>
        <w:rPr>
          <w:rStyle w:val="Aucun"/>
          <w:rFonts w:eastAsia="Arial Unicode MS" w:cs="Arial Unicode MS"/>
          <w:noProof/>
        </w:rPr>
        <w:t>s par l'accord</w:t>
      </w:r>
      <w:r>
        <w:rPr>
          <w:rFonts w:eastAsia="Arial Unicode MS" w:cs="Arial Unicode MS"/>
          <w:noProof/>
          <w:color w:val="auto"/>
          <w:lang w:val="fr-BE" w:eastAsia="en-US"/>
        </w:rPr>
        <w:t xml:space="preserve">, </w:t>
      </w:r>
      <w:r>
        <w:rPr>
          <w:rFonts w:eastAsia="Arial Unicode MS"/>
          <w:noProof/>
          <w:color w:val="auto"/>
          <w:lang w:val="fr-BE" w:eastAsia="en-US"/>
        </w:rPr>
        <w:t>telle qu’en matière de responsabilité sociale des entreprises (« corporate social responsibility »)</w:t>
      </w:r>
      <w:r>
        <w:rPr>
          <w:rStyle w:val="Aucun"/>
          <w:rFonts w:eastAsia="Arial Unicode MS" w:cs="Arial Unicode MS"/>
          <w:noProof/>
        </w:rPr>
        <w:t>.</w:t>
      </w:r>
    </w:p>
    <w:p>
      <w:pPr>
        <w:pStyle w:val="CorpsA"/>
        <w:rPr>
          <w:rStyle w:val="Aucun"/>
          <w:rFonts w:eastAsia="Arial Unicode MS" w:cs="Arial Unicode MS"/>
          <w:noProof/>
        </w:rPr>
      </w:pPr>
    </w:p>
    <w:p>
      <w:pPr>
        <w:spacing w:before="120" w:after="120"/>
        <w:jc w:val="both"/>
        <w:rPr>
          <w:rFonts w:cs="Arial Unicode MS"/>
          <w:noProof/>
          <w:color w:val="000000"/>
          <w:u w:color="000000"/>
          <w:lang w:val="fr-FR" w:eastAsia="fr-FR"/>
        </w:rPr>
      </w:pPr>
      <w:r>
        <w:rPr>
          <w:rFonts w:cs="Arial Unicode MS"/>
          <w:noProof/>
          <w:color w:val="000000"/>
          <w:u w:color="000000"/>
          <w:lang w:val="fr-FR" w:eastAsia="fr-FR"/>
        </w:rPr>
        <w:t>Tel que prévu dans la correspondance échangée entre la Commission et l’Ambassade du Royaume du Maroc le 6 décembre 2018, le Maroc met en place un mécanisme pour la collecte d'informations sur les exportations couvertes par l'accord d'association tel que modifié par l'échange de lettres, qui fournira de manière systématique et régulière et rendra disponibles mensuellement des données précises devant permettre à l'Union européenne et aux autorités compétentes de ses Etats membres d'avoir des informations transparentes et fiables sur l'origine de ces exportations vers l'Union, par région.</w:t>
      </w:r>
    </w:p>
    <w:p>
      <w:pPr>
        <w:spacing w:before="120" w:after="120"/>
        <w:jc w:val="both"/>
        <w:rPr>
          <w:rFonts w:cs="Arial Unicode MS"/>
          <w:noProof/>
          <w:color w:val="000000"/>
          <w:u w:color="000000"/>
          <w:lang w:val="fr-FR" w:eastAsia="fr-FR"/>
        </w:rPr>
      </w:pPr>
    </w:p>
    <w:p>
      <w:pPr>
        <w:pStyle w:val="ListParagraph"/>
        <w:numPr>
          <w:ilvl w:val="0"/>
          <w:numId w:val="7"/>
        </w:numPr>
        <w:rPr>
          <w:b/>
          <w:bCs/>
          <w:noProof/>
        </w:rPr>
      </w:pPr>
      <w:r>
        <w:rPr>
          <w:b/>
          <w:bCs/>
          <w:noProof/>
        </w:rPr>
        <w:t>Informations fournies par l’Union européenne</w:t>
      </w:r>
    </w:p>
    <w:p>
      <w:pPr>
        <w:jc w:val="both"/>
        <w:rPr>
          <w:rFonts w:cs="Arial Unicode MS"/>
          <w:noProof/>
          <w:lang w:val="fr-BE"/>
        </w:rPr>
      </w:pPr>
      <w:r>
        <w:rPr>
          <w:noProof/>
          <w:lang w:val="fr-BE"/>
        </w:rPr>
        <w:t>Informations sur le commerce de produits spécifiques exportés vers le Maroc par type de produit, en volume et en valeur ainsi que, dans la mesure où ces données sont disponibles, sur leur production.</w:t>
      </w:r>
    </w:p>
    <w:p>
      <w:pPr>
        <w:spacing w:before="120" w:after="120"/>
        <w:jc w:val="both"/>
        <w:rPr>
          <w:rFonts w:cs="Arial Unicode MS"/>
          <w:noProof/>
          <w:color w:val="000000"/>
          <w:u w:color="000000"/>
          <w:lang w:val="fr-BE" w:eastAsia="fr-FR"/>
        </w:rPr>
      </w:pPr>
    </w:p>
    <w:p>
      <w:pPr>
        <w:pStyle w:val="CorpsA"/>
        <w:rPr>
          <w:noProof/>
        </w:rPr>
      </w:pPr>
    </w:p>
    <w:sectPr>
      <w:headerReference w:type="even" r:id="rId22"/>
      <w:headerReference w:type="default" r:id="rId23"/>
      <w:footerReference w:type="even" r:id="rId24"/>
      <w:footerReference w:type="default" r:id="rId25"/>
      <w:headerReference w:type="first" r:id="rId26"/>
      <w:footerReference w:type="first" r:id="rId27"/>
      <w:pgSz w:w="11900" w:h="16840"/>
      <w:pgMar w:top="1134" w:right="1417" w:bottom="1134" w:left="141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612"/>
      </w:tabs>
    </w:pPr>
    <w:r>
      <w:rPr>
        <w:rStyle w:val="Aucun"/>
        <w:rFonts w:ascii="Arial" w:hAnsi="Arial"/>
        <w:b/>
        <w:bCs/>
        <w:sz w:val="48"/>
        <w:szCs w:val="48"/>
      </w:rPr>
      <w:t>FR</w:t>
    </w:r>
    <w:r>
      <w:rPr>
        <w:rStyle w:val="Aucun"/>
        <w:rFonts w:ascii="Arial" w:hAnsi="Arial"/>
        <w:b/>
        <w:bCs/>
        <w:sz w:val="48"/>
        <w:szCs w:val="48"/>
      </w:rPr>
      <w:tab/>
    </w:r>
    <w:r>
      <w:fldChar w:fldCharType="begin"/>
    </w:r>
    <w:r>
      <w:instrText xml:space="preserve"> PAGE </w:instrText>
    </w:r>
    <w:r>
      <w:fldChar w:fldCharType="separate"/>
    </w:r>
    <w:r>
      <w:rPr>
        <w:noProof/>
      </w:rPr>
      <w:t>1</w:t>
    </w:r>
    <w:r>
      <w:fldChar w:fldCharType="end"/>
    </w:r>
    <w:r>
      <w:tab/>
    </w:r>
    <w:r>
      <w:rPr>
        <w:rStyle w:val="Aucun"/>
        <w:rFonts w:ascii="Arial" w:hAnsi="Arial"/>
        <w:b/>
        <w:bCs/>
        <w:sz w:val="48"/>
        <w:szCs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 w:val="right" w:pos="9612"/>
      </w:tabs>
    </w:pPr>
    <w:r>
      <w:rPr>
        <w:rStyle w:val="Aucun"/>
        <w:rFonts w:ascii="Arial" w:hAnsi="Arial"/>
        <w:b/>
        <w:bCs/>
        <w:sz w:val="48"/>
        <w:szCs w:val="48"/>
      </w:rPr>
      <w:t>FR</w:t>
    </w:r>
    <w:r>
      <w:rPr>
        <w:rStyle w:val="Aucun"/>
        <w:rFonts w:ascii="Arial" w:hAnsi="Arial"/>
        <w:b/>
        <w:bCs/>
        <w:sz w:val="48"/>
        <w:szCs w:val="48"/>
      </w:rPr>
      <w:tab/>
    </w:r>
    <w:r>
      <w:fldChar w:fldCharType="begin"/>
    </w:r>
    <w:r>
      <w:instrText xml:space="preserve"> PAGE </w:instrText>
    </w:r>
    <w:r>
      <w:fldChar w:fldCharType="separate"/>
    </w:r>
    <w:r>
      <w:rPr>
        <w:noProof/>
      </w:rPr>
      <w:t>5</w:t>
    </w:r>
    <w:r>
      <w:fldChar w:fldCharType="end"/>
    </w:r>
    <w:r>
      <w:tab/>
    </w:r>
    <w:r>
      <w:rPr>
        <w:rStyle w:val="Aucun"/>
        <w:rFonts w:ascii="Arial" w:hAnsi="Arial"/>
        <w:b/>
        <w:bCs/>
        <w:sz w:val="48"/>
        <w:szCs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284" w:hanging="284"/>
        <w:jc w:val="both"/>
        <w:rPr>
          <w:lang w:val="fr-BE"/>
        </w:rPr>
      </w:pPr>
      <w:r>
        <w:rPr>
          <w:rStyle w:val="FootnoteReference"/>
        </w:rPr>
        <w:footnoteRef/>
      </w:r>
      <w:r>
        <w:rPr>
          <w:lang w:val="fr-BE"/>
        </w:rPr>
        <w:tab/>
        <w:t>« Rapport sur les bénéfices pour la population du Sahara occidental, et sur la consultation de cette population, de l'extension de préférences tarifaires aux produits originaires du Sahara occidental » publié le 11.6.2018, SWD(2018) 346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C60"/>
    <w:multiLevelType w:val="hybridMultilevel"/>
    <w:tmpl w:val="6682FA56"/>
    <w:styleLink w:val="Style5import"/>
    <w:lvl w:ilvl="0" w:tplc="420673E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1AC4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4419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AAC6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4A38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047C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020FC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3AFB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605A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A8F6E02"/>
    <w:multiLevelType w:val="hybridMultilevel"/>
    <w:tmpl w:val="FF4813F8"/>
    <w:styleLink w:val="Style3import1"/>
    <w:lvl w:ilvl="0" w:tplc="847CFC82">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75A573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89BEC">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042720C">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D25EF26C">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E769AC2">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8C1EEC2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8812A0A2">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0FA8DB3A">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E3B3F33"/>
    <w:multiLevelType w:val="hybridMultilevel"/>
    <w:tmpl w:val="2820AB84"/>
    <w:numStyleLink w:val="Style4import"/>
  </w:abstractNum>
  <w:abstractNum w:abstractNumId="3">
    <w:nsid w:val="31B80BED"/>
    <w:multiLevelType w:val="hybridMultilevel"/>
    <w:tmpl w:val="6682FA56"/>
    <w:numStyleLink w:val="Style5import"/>
  </w:abstractNum>
  <w:abstractNum w:abstractNumId="4">
    <w:nsid w:val="3DBB773A"/>
    <w:multiLevelType w:val="hybridMultilevel"/>
    <w:tmpl w:val="664623B4"/>
    <w:styleLink w:val="Style2import"/>
    <w:lvl w:ilvl="0" w:tplc="3DE84CC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DC8ED6C8">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056B31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4DD662E8">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FAC78C2">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498F73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8992098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9A0F32C">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4406D2A">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DF65590"/>
    <w:multiLevelType w:val="hybridMultilevel"/>
    <w:tmpl w:val="9BD83552"/>
    <w:numStyleLink w:val="Style3import"/>
  </w:abstractNum>
  <w:abstractNum w:abstractNumId="6">
    <w:nsid w:val="439268C5"/>
    <w:multiLevelType w:val="hybridMultilevel"/>
    <w:tmpl w:val="1608A102"/>
    <w:styleLink w:val="Style4import1"/>
    <w:lvl w:ilvl="0" w:tplc="3E9A2926">
      <w:start w:val="1"/>
      <w:numFmt w:val="bullet"/>
      <w:lvlText w:val="-"/>
      <w:lvlJc w:val="left"/>
      <w:pPr>
        <w:ind w:left="9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C8B0BE">
      <w:start w:val="1"/>
      <w:numFmt w:val="bullet"/>
      <w:lvlText w:val="o"/>
      <w:lvlJc w:val="left"/>
      <w:pPr>
        <w:ind w:left="17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4182C18">
      <w:start w:val="1"/>
      <w:numFmt w:val="bullet"/>
      <w:lvlText w:val="▪"/>
      <w:lvlJc w:val="left"/>
      <w:pPr>
        <w:ind w:left="24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940FE5E">
      <w:start w:val="1"/>
      <w:numFmt w:val="bullet"/>
      <w:lvlText w:val="•"/>
      <w:lvlJc w:val="left"/>
      <w:pPr>
        <w:ind w:left="31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8E643A0">
      <w:start w:val="1"/>
      <w:numFmt w:val="bullet"/>
      <w:lvlText w:val="o"/>
      <w:lvlJc w:val="left"/>
      <w:pPr>
        <w:ind w:left="387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0E54E4">
      <w:start w:val="1"/>
      <w:numFmt w:val="bullet"/>
      <w:lvlText w:val="▪"/>
      <w:lvlJc w:val="left"/>
      <w:pPr>
        <w:ind w:left="45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0AA1CD8">
      <w:start w:val="1"/>
      <w:numFmt w:val="bullet"/>
      <w:lvlText w:val="•"/>
      <w:lvlJc w:val="left"/>
      <w:pPr>
        <w:ind w:left="53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54F8C4">
      <w:start w:val="1"/>
      <w:numFmt w:val="bullet"/>
      <w:lvlText w:val="o"/>
      <w:lvlJc w:val="left"/>
      <w:pPr>
        <w:ind w:left="60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1A22E8">
      <w:start w:val="1"/>
      <w:numFmt w:val="bullet"/>
      <w:lvlText w:val="▪"/>
      <w:lvlJc w:val="left"/>
      <w:pPr>
        <w:ind w:left="67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4AD754F7"/>
    <w:multiLevelType w:val="hybridMultilevel"/>
    <w:tmpl w:val="303E2C34"/>
    <w:lvl w:ilvl="0" w:tplc="8306FC2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E46C7C"/>
    <w:multiLevelType w:val="hybridMultilevel"/>
    <w:tmpl w:val="FF4813F8"/>
    <w:numStyleLink w:val="Style3import1"/>
  </w:abstractNum>
  <w:abstractNum w:abstractNumId="9">
    <w:nsid w:val="602664F8"/>
    <w:multiLevelType w:val="hybridMultilevel"/>
    <w:tmpl w:val="9BD83552"/>
    <w:styleLink w:val="Style3import"/>
    <w:lvl w:ilvl="0" w:tplc="D23CC386">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91EEEEF6">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06D21A7C">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01469E6">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1248BE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2B887AB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58FC558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F42CE3AE">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BEA0A38">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67EF798B"/>
    <w:multiLevelType w:val="hybridMultilevel"/>
    <w:tmpl w:val="664623B4"/>
    <w:numStyleLink w:val="Style2import"/>
  </w:abstractNum>
  <w:abstractNum w:abstractNumId="11">
    <w:nsid w:val="69D27C15"/>
    <w:multiLevelType w:val="hybridMultilevel"/>
    <w:tmpl w:val="2820AB84"/>
    <w:styleLink w:val="Style4import"/>
    <w:lvl w:ilvl="0" w:tplc="614648A2">
      <w:start w:val="1"/>
      <w:numFmt w:val="bullet"/>
      <w:lvlText w:val="-"/>
      <w:lvlJc w:val="left"/>
      <w:pPr>
        <w:ind w:left="9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4AC3B4">
      <w:start w:val="1"/>
      <w:numFmt w:val="bullet"/>
      <w:lvlText w:val="o"/>
      <w:lvlJc w:val="left"/>
      <w:pPr>
        <w:ind w:left="17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504430">
      <w:start w:val="1"/>
      <w:numFmt w:val="bullet"/>
      <w:lvlText w:val="▪"/>
      <w:lvlJc w:val="left"/>
      <w:pPr>
        <w:ind w:left="24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66AAA7C">
      <w:start w:val="1"/>
      <w:numFmt w:val="bullet"/>
      <w:lvlText w:val="•"/>
      <w:lvlJc w:val="left"/>
      <w:pPr>
        <w:ind w:left="31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60148E">
      <w:start w:val="1"/>
      <w:numFmt w:val="bullet"/>
      <w:lvlText w:val="o"/>
      <w:lvlJc w:val="left"/>
      <w:pPr>
        <w:ind w:left="387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B943744">
      <w:start w:val="1"/>
      <w:numFmt w:val="bullet"/>
      <w:lvlText w:val="▪"/>
      <w:lvlJc w:val="left"/>
      <w:pPr>
        <w:ind w:left="459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E6E2F02">
      <w:start w:val="1"/>
      <w:numFmt w:val="bullet"/>
      <w:lvlText w:val="•"/>
      <w:lvlJc w:val="left"/>
      <w:pPr>
        <w:ind w:left="531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581736">
      <w:start w:val="1"/>
      <w:numFmt w:val="bullet"/>
      <w:lvlText w:val="o"/>
      <w:lvlJc w:val="left"/>
      <w:pPr>
        <w:ind w:left="603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142994">
      <w:start w:val="1"/>
      <w:numFmt w:val="bullet"/>
      <w:lvlText w:val="▪"/>
      <w:lvlJc w:val="left"/>
      <w:pPr>
        <w:ind w:left="6753" w:hanging="2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0"/>
  </w:num>
  <w:num w:numId="3">
    <w:abstractNumId w:val="9"/>
  </w:num>
  <w:num w:numId="4">
    <w:abstractNumId w:val="5"/>
  </w:num>
  <w:num w:numId="5">
    <w:abstractNumId w:val="11"/>
  </w:num>
  <w:num w:numId="6">
    <w:abstractNumId w:val="2"/>
  </w:num>
  <w:num w:numId="7">
    <w:abstractNumId w:val="5"/>
    <w:lvlOverride w:ilvl="0">
      <w:startOverride w:val="2"/>
      <w:lvl w:ilvl="0" w:tplc="6D8C2B58">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4484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BAE22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8A9F6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2EE1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887E3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E61B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88411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4F848F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0"/>
  </w:num>
  <w:num w:numId="9">
    <w:abstractNumId w:val="3"/>
  </w:num>
  <w:num w:numId="10">
    <w:abstractNumId w:val="3"/>
    <w:lvlOverride w:ilvl="0">
      <w:startOverride w:val="2"/>
    </w:lvlOverride>
  </w:num>
  <w:num w:numId="11">
    <w:abstractNumId w:val="3"/>
    <w:lvlOverride w:ilvl="0">
      <w:startOverride w:val="3"/>
    </w:lvlOverride>
  </w:num>
  <w:num w:numId="12">
    <w:abstractNumId w:val="5"/>
    <w:lvlOverride w:ilvl="0">
      <w:startOverride w:val="3"/>
      <w:lvl w:ilvl="0" w:tplc="6D8C2B58">
        <w:start w:val="3"/>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74484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BAE22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8A9F6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E2EE16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887E3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E61BD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788411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4F848F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6"/>
  </w:num>
  <w:num w:numId="14">
    <w:abstractNumId w:val="7"/>
  </w:num>
  <w:num w:numId="15">
    <w:abstractNumId w:val="1"/>
  </w:num>
  <w:num w:numId="16">
    <w:abstractNumId w:val="8"/>
    <w:lvlOverride w:ilvl="0">
      <w:startOverride w:val="2"/>
      <w:lvl w:ilvl="0" w:tplc="7E666DAC">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CC39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5C89CF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047B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21C0DC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363F9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BE05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F8794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1890C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CBBFED8D-20DA-4914-A19E-6F313B44684D"/>
    <w:docVar w:name="LW_COVERPAGE_TYPE" w:val="1"/>
    <w:docVar w:name="LW_CROSSREFERENCE" w:val="&lt;UNUSED&gt;"/>
    <w:docVar w:name="LW_DocType" w:val="NORMAL"/>
    <w:docVar w:name="LW_EMISSION" w:val="20.9.2019"/>
    <w:docVar w:name="LW_EMISSION_ISODATE" w:val="2019-09-20"/>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prendre, au nom de l'Union européenne, au sein du comité d'association institué par l'accord euro-méditerranéen établissant une association entre les Communautés européennes et leurs Etats membres, d'une part, et le Royaume du Maroc, d'autre part, concernant l'échange d'informations en vue d'évaluer l'impact de l'accord sous forme d'échange de lettres modifiant ledit accord"/>
    <w:docVar w:name="LW_PART_NBR" w:val="1"/>
    <w:docVar w:name="LW_PART_NBR_TOTAL" w:val="1"/>
    <w:docVar w:name="LW_REF.INST.NEW" w:val="COM"/>
    <w:docVar w:name="LW_REF.INST.NEW_ADOPTED" w:val="final"/>
    <w:docVar w:name="LW_REF.INST.NEW_TEXT" w:val="(2019)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rPr>
  </w:style>
  <w:style w:type="paragraph" w:styleId="Footer">
    <w:name w:val="footer"/>
    <w:pPr>
      <w:tabs>
        <w:tab w:val="center" w:pos="4535"/>
        <w:tab w:val="right" w:pos="9071"/>
        <w:tab w:val="right" w:pos="9921"/>
      </w:tabs>
      <w:spacing w:before="360"/>
    </w:pPr>
    <w:rPr>
      <w:rFonts w:cs="Arial Unicode MS"/>
      <w:color w:val="000000"/>
      <w:sz w:val="24"/>
      <w:szCs w:val="24"/>
      <w:u w:color="000000"/>
    </w:rPr>
  </w:style>
  <w:style w:type="character" w:customStyle="1" w:styleId="Aucun">
    <w:name w:val="Aucun"/>
    <w:rPr>
      <w:lang w:val="fr-FR"/>
    </w:rPr>
  </w:style>
  <w:style w:type="paragraph" w:customStyle="1" w:styleId="Pagedecouverture">
    <w:name w:val="Page de couverture"/>
    <w:next w:val="CorpsA"/>
    <w:pPr>
      <w:jc w:val="both"/>
    </w:pPr>
    <w:rPr>
      <w:rFonts w:eastAsia="Times New Roman"/>
      <w:color w:val="000000"/>
      <w:sz w:val="24"/>
      <w:szCs w:val="24"/>
      <w:u w:color="000000"/>
    </w:rPr>
  </w:style>
  <w:style w:type="paragraph" w:customStyle="1" w:styleId="CorpsA">
    <w:name w:val="Corps A"/>
    <w:pPr>
      <w:spacing w:before="120" w:after="120"/>
      <w:jc w:val="both"/>
    </w:pPr>
    <w:rPr>
      <w:rFonts w:eastAsia="Times New Roman"/>
      <w:color w:val="000000"/>
      <w:sz w:val="24"/>
      <w:szCs w:val="24"/>
      <w:u w:color="000000"/>
    </w:rPr>
  </w:style>
  <w:style w:type="paragraph" w:customStyle="1" w:styleId="Annexetitre">
    <w:name w:val="Annexe titre"/>
    <w:next w:val="CorpsA"/>
    <w:link w:val="AnnexetitreChar"/>
    <w:pPr>
      <w:spacing w:before="120" w:after="120"/>
      <w:jc w:val="center"/>
    </w:pPr>
    <w:rPr>
      <w:rFonts w:cs="Arial Unicode MS"/>
      <w:b/>
      <w:bCs/>
      <w:color w:val="000000"/>
      <w:sz w:val="24"/>
      <w:szCs w:val="24"/>
      <w:u w:val="single" w:color="000000"/>
    </w:rPr>
  </w:style>
  <w:style w:type="paragraph" w:customStyle="1" w:styleId="Considrant">
    <w:name w:val="Considérant"/>
    <w:pPr>
      <w:tabs>
        <w:tab w:val="left" w:pos="709"/>
      </w:tabs>
      <w:spacing w:before="120" w:after="120"/>
      <w:jc w:val="both"/>
    </w:pPr>
    <w:rPr>
      <w:rFonts w:cs="Arial Unicode MS"/>
      <w:color w:val="000000"/>
      <w:sz w:val="24"/>
      <w:szCs w:val="24"/>
      <w:u w:color="000000"/>
    </w:rPr>
  </w:style>
  <w:style w:type="numbering" w:customStyle="1" w:styleId="Style2import">
    <w:name w:val="Style 2 importé"/>
    <w:pPr>
      <w:numPr>
        <w:numId w:val="1"/>
      </w:numPr>
    </w:pPr>
  </w:style>
  <w:style w:type="paragraph" w:styleId="ListParagraph">
    <w:name w:val="List Paragraph"/>
    <w:pPr>
      <w:spacing w:before="120" w:after="120"/>
      <w:ind w:left="720"/>
      <w:jc w:val="both"/>
    </w:pPr>
    <w:rPr>
      <w:rFonts w:cs="Arial Unicode MS"/>
      <w:color w:val="000000"/>
      <w:sz w:val="24"/>
      <w:szCs w:val="24"/>
      <w:u w:color="000000"/>
    </w:r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8"/>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unhideWhenUsed/>
    <w:rPr>
      <w:vertAlign w:val="superscript"/>
    </w:rPr>
  </w:style>
  <w:style w:type="numbering" w:customStyle="1" w:styleId="Style4import1">
    <w:name w:val="Style 4 importé1"/>
    <w:pPr>
      <w:numPr>
        <w:numId w:val="13"/>
      </w:numPr>
    </w:pPr>
  </w:style>
  <w:style w:type="numbering" w:customStyle="1" w:styleId="Style3import1">
    <w:name w:val="Style 3 importé1"/>
    <w:pPr>
      <w:numPr>
        <w:numId w:val="15"/>
      </w:numPr>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AnnexetitreChar">
    <w:name w:val="Annexe titre Char"/>
    <w:basedOn w:val="DefaultParagraphFont"/>
    <w:link w:val="Annexetitre"/>
    <w:rPr>
      <w:rFonts w:cs="Arial Unicode MS"/>
      <w:b/>
      <w:bCs/>
      <w:color w:val="000000"/>
      <w:sz w:val="24"/>
      <w:szCs w:val="24"/>
      <w:u w:val="single" w:color="000000"/>
    </w:rPr>
  </w:style>
  <w:style w:type="character" w:customStyle="1" w:styleId="FooterCoverPageChar">
    <w:name w:val="Footer Cover Page Char"/>
    <w:basedOn w:val="AnnexetitreChar"/>
    <w:link w:val="FooterCoverPage"/>
    <w:rPr>
      <w:rFonts w:cs="Arial Unicode MS"/>
      <w:b w:val="0"/>
      <w:bCs w:val="0"/>
      <w:color w:val="000000"/>
      <w:sz w:val="24"/>
      <w:szCs w:val="24"/>
      <w:u w:val="single" w:color="000000"/>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AnnexetitreChar"/>
    <w:link w:val="FooterSensitivity"/>
    <w:rPr>
      <w:rFonts w:cs="Arial Unicode MS"/>
      <w:b/>
      <w:bCs w:val="0"/>
      <w:color w:val="000000"/>
      <w:sz w:val="32"/>
      <w:szCs w:val="24"/>
      <w:u w:val="single"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cs="Arial Unicode MS"/>
      <w:b w:val="0"/>
      <w:bCs w:val="0"/>
      <w:color w:val="000000"/>
      <w:sz w:val="24"/>
      <w:szCs w:val="24"/>
      <w:u w:val="single"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cs="Arial Unicode MS"/>
      <w:b/>
      <w:bCs w:val="0"/>
      <w:color w:val="000000"/>
      <w:sz w:val="32"/>
      <w:szCs w:val="24"/>
      <w:u w:val="single"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Neue" w:hAnsi="Helvetica Neue" w:cs="Arial Unicode MS"/>
      <w:color w:val="000000"/>
      <w:sz w:val="24"/>
      <w:szCs w:val="24"/>
    </w:rPr>
  </w:style>
  <w:style w:type="paragraph" w:styleId="Footer">
    <w:name w:val="footer"/>
    <w:pPr>
      <w:tabs>
        <w:tab w:val="center" w:pos="4535"/>
        <w:tab w:val="right" w:pos="9071"/>
        <w:tab w:val="right" w:pos="9921"/>
      </w:tabs>
      <w:spacing w:before="360"/>
    </w:pPr>
    <w:rPr>
      <w:rFonts w:cs="Arial Unicode MS"/>
      <w:color w:val="000000"/>
      <w:sz w:val="24"/>
      <w:szCs w:val="24"/>
      <w:u w:color="000000"/>
    </w:rPr>
  </w:style>
  <w:style w:type="character" w:customStyle="1" w:styleId="Aucun">
    <w:name w:val="Aucun"/>
    <w:rPr>
      <w:lang w:val="fr-FR"/>
    </w:rPr>
  </w:style>
  <w:style w:type="paragraph" w:customStyle="1" w:styleId="Pagedecouverture">
    <w:name w:val="Page de couverture"/>
    <w:next w:val="CorpsA"/>
    <w:pPr>
      <w:jc w:val="both"/>
    </w:pPr>
    <w:rPr>
      <w:rFonts w:eastAsia="Times New Roman"/>
      <w:color w:val="000000"/>
      <w:sz w:val="24"/>
      <w:szCs w:val="24"/>
      <w:u w:color="000000"/>
    </w:rPr>
  </w:style>
  <w:style w:type="paragraph" w:customStyle="1" w:styleId="CorpsA">
    <w:name w:val="Corps A"/>
    <w:pPr>
      <w:spacing w:before="120" w:after="120"/>
      <w:jc w:val="both"/>
    </w:pPr>
    <w:rPr>
      <w:rFonts w:eastAsia="Times New Roman"/>
      <w:color w:val="000000"/>
      <w:sz w:val="24"/>
      <w:szCs w:val="24"/>
      <w:u w:color="000000"/>
    </w:rPr>
  </w:style>
  <w:style w:type="paragraph" w:customStyle="1" w:styleId="Annexetitre">
    <w:name w:val="Annexe titre"/>
    <w:next w:val="CorpsA"/>
    <w:link w:val="AnnexetitreChar"/>
    <w:pPr>
      <w:spacing w:before="120" w:after="120"/>
      <w:jc w:val="center"/>
    </w:pPr>
    <w:rPr>
      <w:rFonts w:cs="Arial Unicode MS"/>
      <w:b/>
      <w:bCs/>
      <w:color w:val="000000"/>
      <w:sz w:val="24"/>
      <w:szCs w:val="24"/>
      <w:u w:val="single" w:color="000000"/>
    </w:rPr>
  </w:style>
  <w:style w:type="paragraph" w:customStyle="1" w:styleId="Considrant">
    <w:name w:val="Considérant"/>
    <w:pPr>
      <w:tabs>
        <w:tab w:val="left" w:pos="709"/>
      </w:tabs>
      <w:spacing w:before="120" w:after="120"/>
      <w:jc w:val="both"/>
    </w:pPr>
    <w:rPr>
      <w:rFonts w:cs="Arial Unicode MS"/>
      <w:color w:val="000000"/>
      <w:sz w:val="24"/>
      <w:szCs w:val="24"/>
      <w:u w:color="000000"/>
    </w:rPr>
  </w:style>
  <w:style w:type="numbering" w:customStyle="1" w:styleId="Style2import">
    <w:name w:val="Style 2 importé"/>
    <w:pPr>
      <w:numPr>
        <w:numId w:val="1"/>
      </w:numPr>
    </w:pPr>
  </w:style>
  <w:style w:type="paragraph" w:styleId="ListParagraph">
    <w:name w:val="List Paragraph"/>
    <w:pPr>
      <w:spacing w:before="120" w:after="120"/>
      <w:ind w:left="720"/>
      <w:jc w:val="both"/>
    </w:pPr>
    <w:rPr>
      <w:rFonts w:cs="Arial Unicode MS"/>
      <w:color w:val="000000"/>
      <w:sz w:val="24"/>
      <w:szCs w:val="24"/>
      <w:u w:color="000000"/>
    </w:rPr>
  </w:style>
  <w:style w:type="numbering" w:customStyle="1" w:styleId="Style3import">
    <w:name w:val="Style 3 importé"/>
    <w:pPr>
      <w:numPr>
        <w:numId w:val="3"/>
      </w:numPr>
    </w:pPr>
  </w:style>
  <w:style w:type="numbering" w:customStyle="1" w:styleId="Style4import">
    <w:name w:val="Style 4 importé"/>
    <w:pPr>
      <w:numPr>
        <w:numId w:val="5"/>
      </w:numPr>
    </w:pPr>
  </w:style>
  <w:style w:type="numbering" w:customStyle="1" w:styleId="Style5import">
    <w:name w:val="Style 5 importé"/>
    <w:pPr>
      <w:numPr>
        <w:numId w:val="8"/>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FootnoteReference">
    <w:name w:val="footnote reference"/>
    <w:basedOn w:val="DefaultParagraphFont"/>
    <w:uiPriority w:val="99"/>
    <w:semiHidden/>
    <w:unhideWhenUsed/>
    <w:rPr>
      <w:vertAlign w:val="superscript"/>
    </w:rPr>
  </w:style>
  <w:style w:type="numbering" w:customStyle="1" w:styleId="Style4import1">
    <w:name w:val="Style 4 importé1"/>
    <w:pPr>
      <w:numPr>
        <w:numId w:val="13"/>
      </w:numPr>
    </w:pPr>
  </w:style>
  <w:style w:type="numbering" w:customStyle="1" w:styleId="Style3import1">
    <w:name w:val="Style 3 importé1"/>
    <w:pPr>
      <w:numPr>
        <w:numId w:val="15"/>
      </w:numPr>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AnnexetitreChar">
    <w:name w:val="Annexe titre Char"/>
    <w:basedOn w:val="DefaultParagraphFont"/>
    <w:link w:val="Annexetitre"/>
    <w:rPr>
      <w:rFonts w:cs="Arial Unicode MS"/>
      <w:b/>
      <w:bCs/>
      <w:color w:val="000000"/>
      <w:sz w:val="24"/>
      <w:szCs w:val="24"/>
      <w:u w:val="single" w:color="000000"/>
    </w:rPr>
  </w:style>
  <w:style w:type="character" w:customStyle="1" w:styleId="FooterCoverPageChar">
    <w:name w:val="Footer Cover Page Char"/>
    <w:basedOn w:val="AnnexetitreChar"/>
    <w:link w:val="FooterCoverPage"/>
    <w:rPr>
      <w:rFonts w:cs="Arial Unicode MS"/>
      <w:b w:val="0"/>
      <w:bCs w:val="0"/>
      <w:color w:val="000000"/>
      <w:sz w:val="24"/>
      <w:szCs w:val="24"/>
      <w:u w:val="single" w:color="000000"/>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AnnexetitreChar"/>
    <w:link w:val="FooterSensitivity"/>
    <w:rPr>
      <w:rFonts w:cs="Arial Unicode MS"/>
      <w:b/>
      <w:bCs w:val="0"/>
      <w:color w:val="000000"/>
      <w:sz w:val="32"/>
      <w:szCs w:val="24"/>
      <w:u w:val="single"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AnnexetitreChar"/>
    <w:link w:val="HeaderCoverPage"/>
    <w:rPr>
      <w:rFonts w:cs="Arial Unicode MS"/>
      <w:b w:val="0"/>
      <w:bCs w:val="0"/>
      <w:color w:val="000000"/>
      <w:sz w:val="24"/>
      <w:szCs w:val="24"/>
      <w:u w:val="single" w:color="000000"/>
      <w:lang w:val="en-US"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AnnexetitreChar"/>
    <w:link w:val="HeaderSensitivity"/>
    <w:rPr>
      <w:rFonts w:cs="Arial Unicode MS"/>
      <w:b/>
      <w:bCs w:val="0"/>
      <w:color w:val="000000"/>
      <w:sz w:val="32"/>
      <w:szCs w:val="24"/>
      <w:u w:val="single"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HeaderSensitivityRight">
    <w:name w:val="Header Sensitivity Right"/>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2A49-2B89-4AD1-9F79-B8996944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1311</Words>
  <Characters>7636</Characters>
  <Application>Microsoft Office Word</Application>
  <DocSecurity>0</DocSecurity>
  <Lines>144</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WES PDFC Administrator</cp:lastModifiedBy>
  <cp:revision>9</cp:revision>
  <cp:lastPrinted>2019-05-06T08:15:00Z</cp:lastPrinted>
  <dcterms:created xsi:type="dcterms:W3CDTF">2019-08-05T12:04:00Z</dcterms:created>
  <dcterms:modified xsi:type="dcterms:W3CDTF">2019-09-19T09:11:00Z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CP-036</vt:lpwstr>
  </property>
</Properties>
</file>