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FCC8A3-0853-4149-8B8A-D2267E0DC455" style="width:450.8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за асоцииране, учреден по силата на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w:t>
      </w:r>
      <w:r>
        <w:rPr>
          <w:rStyle w:val="FootnoteReference"/>
          <w:noProof/>
        </w:rPr>
        <w:footnoteReference w:id="1"/>
      </w:r>
      <w:r>
        <w:rPr>
          <w:noProof/>
        </w:rPr>
        <w:t>, във връзка с предвиденото приемане на решение относно обмена на информация с Мароко с цел оценка на въздействието на споразумението под формата на размяна на писма от 25 октомври 2018 г. за изменение на Евро-средиземноморското споразумение</w:t>
      </w:r>
      <w:r>
        <w:rPr>
          <w:rStyle w:val="FootnoteReference"/>
          <w:noProof/>
        </w:rPr>
        <w:footnoteReference w:id="2"/>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асоцииране ЕС—Мароко</w:t>
      </w:r>
    </w:p>
    <w:p>
      <w:pPr>
        <w:rPr>
          <w:noProof/>
        </w:rPr>
      </w:pPr>
      <w:r>
        <w:rPr>
          <w:noProof/>
        </w:rPr>
        <w:t>С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(„Споразумението за асоцииране“) бе създадена зона за свободна търговия между Европейския съюз и Мароко на принципа на либерализиране на реципрочна основа на митата при търговията с промишлени и селскостопански продукти и продукти от риболов. С него се въвежда зона на свободна търговия, която гарантира на Мароко доста широкообхватен преференциален достъп до пазара на ЕС. Споразумението влезе в сила на 1 март 2000 г.</w:t>
      </w:r>
    </w:p>
    <w:p>
      <w:pPr>
        <w:rPr>
          <w:noProof/>
        </w:rPr>
      </w:pPr>
      <w:r>
        <w:rPr>
          <w:noProof/>
        </w:rPr>
        <w:t>Със своето Решение (ЕС) 2019/217 от 28 януари 2019 г.</w:t>
      </w:r>
      <w:r>
        <w:rPr>
          <w:rStyle w:val="FootnoteReference"/>
          <w:noProof/>
        </w:rPr>
        <w:footnoteReference w:id="3"/>
      </w:r>
      <w:r>
        <w:rPr>
          <w:noProof/>
        </w:rPr>
        <w:t xml:space="preserve"> Съветът одобри сключването на споразумението под формата на размяна на писма между Европейския съюз и Кралство Мароко за изменение на протоколи № 1 и № 4 към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с цел включване на продуктите от Западна Сахара в обхвата на тарифните преференции, предвидени в Споразумението за асоцииране.</w:t>
      </w:r>
    </w:p>
    <w:p>
      <w:pPr>
        <w:pStyle w:val="ManualHeading2"/>
        <w:rPr>
          <w:noProof/>
        </w:rPr>
      </w:pPr>
      <w:r>
        <w:t>2.2.</w:t>
      </w:r>
      <w:r>
        <w:tab/>
      </w:r>
      <w:r>
        <w:rPr>
          <w:noProof/>
        </w:rPr>
        <w:t>Комитетът за асоцииране ЕС—Мароко</w:t>
      </w:r>
    </w:p>
    <w:p>
      <w:pPr>
        <w:rPr>
          <w:rFonts w:eastAsia="Arial Unicode MS"/>
          <w:noProof/>
        </w:rPr>
      </w:pPr>
      <w:r>
        <w:rPr>
          <w:noProof/>
        </w:rPr>
        <w:t>Комитетът за асоцииране ЕС—Мароко, учреден по силата на Споразумението за асоцииране, отговаря за прилагането на споразумението. Той разполага също така с правомощието да взема решения във връзка с управлението на споразумението. Комитетът за асоцииране приема своите решения по взаимно съгласие на страните. В периода между заседанията той може да взема решения чрез писмена процедура, ако двете страни постигнат съгласие за това.</w:t>
      </w:r>
    </w:p>
    <w:p>
      <w:pPr>
        <w:pStyle w:val="ManualHeading2"/>
        <w:rPr>
          <w:noProof/>
        </w:rPr>
      </w:pPr>
      <w:r>
        <w:t>2.3.</w:t>
      </w:r>
      <w:r>
        <w:tab/>
      </w:r>
      <w:r>
        <w:rPr>
          <w:noProof/>
        </w:rPr>
        <w:t>Предвиденият акт на Комитета за асоцииране ЕС—Мароко</w:t>
      </w:r>
    </w:p>
    <w:p>
      <w:pPr>
        <w:rPr>
          <w:noProof/>
        </w:rPr>
      </w:pPr>
      <w:r>
        <w:rPr>
          <w:noProof/>
        </w:rPr>
        <w:t>Комитетът за асоцииране трябва да приеме решение относно реда и условията за оценка на въздействието на одобреното от Съвета на 28 януари 2019 г. споразумение, в частност върху устойчивото развитие, и по-специално що се отнася до ползите за съответното население и експлоатирането на природните ресурси на Западна Сахара</w:t>
      </w:r>
      <w:r>
        <w:t xml:space="preserve"> </w:t>
      </w:r>
      <w:r>
        <w:rPr>
          <w:noProof/>
        </w:rPr>
        <w:t>(„предвидения акт“). Решението трябва да бъде прието не по-късно от два месеца след влизането в сила на въпросното споразумение.</w:t>
      </w:r>
    </w:p>
    <w:p>
      <w:pPr>
        <w:rPr>
          <w:rFonts w:eastAsia="Arial Unicode MS"/>
          <w:noProof/>
        </w:rPr>
      </w:pPr>
      <w:r>
        <w:rPr>
          <w:noProof/>
        </w:rPr>
        <w:t>Предвиденият акт има за цел да се определят редът и условията за обмен на информация между страните с цел оценка на въздействието на включването на продуктите от Западна Сахара в обхвата на предвидените в Споразумението за асоцииране тарифни преференции.</w:t>
      </w:r>
    </w:p>
    <w:p>
      <w:pPr>
        <w:rPr>
          <w:rFonts w:eastAsia="Arial Unicode MS"/>
          <w:noProof/>
        </w:rPr>
      </w:pPr>
      <w:r>
        <w:rPr>
          <w:noProof/>
        </w:rPr>
        <w:t xml:space="preserve">Предвиденият акт ще има правнообвързващ характер за страните в съответствие с член 83, параграф 2 от Споразумението за асоцииране, в който се предвижда следното: „Решенията му се приемат по взаимно съгласие на страните. Тези решения са задължителни за страните, които предприемат необходимите мерки за тяхното изпълнение“. </w:t>
      </w:r>
    </w:p>
    <w:p>
      <w:pPr>
        <w:pStyle w:val="ManualHeading1"/>
        <w:rPr>
          <w:rFonts w:eastAsia="Arial Unicode MS"/>
          <w:noProof/>
        </w:rPr>
      </w:pPr>
      <w:r>
        <w:t>3.</w:t>
      </w:r>
      <w:r>
        <w:tab/>
      </w:r>
      <w:r>
        <w:rPr>
          <w:noProof/>
        </w:rPr>
        <w:t>Позицията, която трябва да се заеме от името на Съюза</w:t>
      </w:r>
    </w:p>
    <w:p>
      <w:pPr>
        <w:pBdr>
          <w:top w:val="nil"/>
          <w:left w:val="nil"/>
          <w:bottom w:val="nil"/>
          <w:right w:val="nil"/>
          <w:between w:val="nil"/>
          <w:bar w:val="nil"/>
        </w:pBdr>
        <w:spacing w:before="0" w:after="240"/>
        <w:rPr>
          <w:rFonts w:eastAsia="Arial Unicode MS"/>
          <w:noProof/>
        </w:rPr>
      </w:pPr>
      <w:r>
        <w:rPr>
          <w:noProof/>
        </w:rPr>
        <w:t>От момента на влизането в сила на Споразумението за асоцииране предвидените в това споразумение търговски преференции се прилагаха де факто за продуктите с произход от Западна Сахара, която е несамоуправляваща се територия. В решението си от 21 декември 2016 г. по дело C-104/16 P</w:t>
      </w:r>
      <w:r>
        <w:rPr>
          <w:rStyle w:val="FootnoteReference"/>
          <w:noProof/>
        </w:rPr>
        <w:footnoteReference w:id="4"/>
      </w:r>
      <w:r>
        <w:rPr>
          <w:noProof/>
        </w:rPr>
        <w:t xml:space="preserve"> Съдът на Европейския съюз постанови, че Споразумението за асоцииране, сключено между Съюза и Мароко, не се прилага по отношение на Западна Сахара.</w:t>
      </w:r>
    </w:p>
    <w:p>
      <w:pPr>
        <w:pBdr>
          <w:top w:val="nil"/>
          <w:left w:val="nil"/>
          <w:bottom w:val="nil"/>
          <w:right w:val="nil"/>
          <w:between w:val="nil"/>
          <w:bar w:val="nil"/>
        </w:pBdr>
        <w:spacing w:before="0" w:after="240"/>
        <w:rPr>
          <w:noProof/>
        </w:rPr>
      </w:pPr>
      <w:r>
        <w:rPr>
          <w:noProof/>
        </w:rPr>
        <w:t>Поради това практиката да се прилагат де факто предвидените в Споразумението за асоцииране и протоколите към него търговски преференции по отношение на продуктите с произход от Западна Сахара не можеше да продължава. Обхватът на двустранните споразумения между Европейския съюз и Мароко обаче може да бъде разширен с включването в него на Западна Сахара при определени условия, при условие че съществува подходящото правно основание за това.</w:t>
      </w:r>
    </w:p>
    <w:p>
      <w:pPr>
        <w:pBdr>
          <w:top w:val="nil"/>
          <w:left w:val="nil"/>
          <w:bottom w:val="nil"/>
          <w:right w:val="nil"/>
          <w:between w:val="nil"/>
          <w:bar w:val="nil"/>
        </w:pBdr>
        <w:spacing w:before="0" w:after="240"/>
        <w:rPr>
          <w:noProof/>
        </w:rPr>
      </w:pPr>
      <w:r>
        <w:rPr>
          <w:noProof/>
        </w:rPr>
        <w:t>На 29 май 2017 г. Съветът упълномощи Комисията да започне преговори с цел осигуряване на правно основание за предоставянето на преференции за продуктите с произход от Западна Сахара и прие указания за водене на тези преговори. През 2017 г. бяха проведени два кръга от преговори. Главните преговарящи парафираха проекта на споразумение на 31 януари 2018 г. Споразумението бе подписано от страните на 25 октомври 2018 г. На 28 януари 2019 г., след одобрение от Европейския парламент, Съветът прие решение за сключване на споразумение под формата на размяна на писма между Европейския съюз и Кралство Мароко за изменение на протоколи № 1 и № 4 към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като по този начин осигури правното основание за предоставяне на продуктите от Западна Сахара на същите тарифни преференции като за продуктите от Мароко.</w:t>
      </w:r>
    </w:p>
    <w:p>
      <w:pPr>
        <w:pBdr>
          <w:top w:val="nil"/>
          <w:left w:val="nil"/>
          <w:bottom w:val="nil"/>
          <w:right w:val="nil"/>
          <w:between w:val="nil"/>
          <w:bar w:val="nil"/>
        </w:pBdr>
        <w:spacing w:before="0" w:after="240"/>
        <w:rPr>
          <w:noProof/>
        </w:rPr>
      </w:pPr>
      <w:r>
        <w:rPr>
          <w:noProof/>
        </w:rPr>
        <w:t>Изменението на съответните протоколи към Споразумението за асоцииране дава също така възможност предоставянето на тарифните преференции от страна на Съюза да се основава на оценка на ползите за местното население и на зачитането на правата на човека.</w:t>
      </w:r>
    </w:p>
    <w:p>
      <w:pPr>
        <w:pBdr>
          <w:top w:val="nil"/>
          <w:left w:val="nil"/>
          <w:bottom w:val="nil"/>
          <w:right w:val="nil"/>
          <w:between w:val="nil"/>
          <w:bar w:val="nil"/>
        </w:pBdr>
        <w:spacing w:before="0" w:after="240"/>
        <w:rPr>
          <w:rFonts w:eastAsia="Arial Unicode MS"/>
          <w:noProof/>
        </w:rPr>
      </w:pPr>
      <w:r>
        <w:rPr>
          <w:noProof/>
        </w:rPr>
        <w:t>В съответствие с поисканото от Съвета в приетите от него на 29 май 2017 г. указания за водене на преговорите, службите на Комисията направиха оценка на възможното въздействие на споразумението върху устойчивото развитие, и по-специално що се отнася до ползите за съответното население и експлоатирането на природните ресурси на Западна Сахара („съответните територии“). Оценката се отнася по-специално до изходящите от Западна Сахара търговски потоци, и в частност до продуктите от риболов, селскостопанските продукти и фосфатите. Тя се основава на анализ на наличните данни за минал период, но също и на прогнозни разчети за бъдещето. От оценката става ясно, че предоставянето на предвидените в Споразумението за асоцииране ЕС—Мароко тарифни преференции е оказало положително въздействие върху съответното население и би трябвало да запази и дори евентуално да увеличи в бъдеще този ефект. Оценката на това въздействие фигурира в доклада от 11 юни 2018 г.</w:t>
      </w:r>
      <w:r>
        <w:rPr>
          <w:rStyle w:val="FootnoteReference"/>
          <w:noProof/>
        </w:rPr>
        <w:footnoteReference w:id="5"/>
      </w:r>
      <w:r>
        <w:rPr>
          <w:noProof/>
        </w:rPr>
        <w:t>, изготвен от службите на Комисията съвместно с Европейската служба за външна дейност (ЕСВД), относно ползите за населението от Западна Сахара и относно консултацията с това население във връзка с разширяването на тарифните преференции, като те обхванат продуктите с произход от Западна Сахара.</w:t>
      </w:r>
    </w:p>
    <w:p>
      <w:pPr>
        <w:pBdr>
          <w:top w:val="nil"/>
          <w:left w:val="nil"/>
          <w:bottom w:val="nil"/>
          <w:right w:val="nil"/>
          <w:between w:val="nil"/>
          <w:bar w:val="nil"/>
        </w:pBdr>
        <w:spacing w:before="0" w:after="240"/>
        <w:rPr>
          <w:noProof/>
        </w:rPr>
      </w:pPr>
      <w:r>
        <w:rPr>
          <w:noProof/>
        </w:rPr>
        <w:t>За да се проследи въздействието на споразумението върху съответното население и експлоатирането на природните ресурси на съответните територии, в споразумението са предвидени изрично подходяща рамка и процедура, които позволяват на страните да оценят въз основа на редовен обмен на информация последиците от него по време на прилагането му. Европейският съюз и Мароко се споразумяха поне веднъж годишно да обменят информация помежду си в рамките на Комитета за асоцииране, учреден по силата на Споразумението за асоцииране ЕС—Мароко. По-конкретно целта на настоящото предложение е да се определят специфичните ред и условия за предвидения в споразумението процес на оценка с цел приемането им от Комитета за асоцииране.</w:t>
      </w:r>
    </w:p>
    <w:p>
      <w:pPr>
        <w:pBdr>
          <w:top w:val="nil"/>
          <w:left w:val="nil"/>
          <w:bottom w:val="nil"/>
          <w:right w:val="nil"/>
          <w:between w:val="nil"/>
          <w:bar w:val="nil"/>
        </w:pBdr>
        <w:spacing w:before="0" w:after="240"/>
        <w:rPr>
          <w:noProof/>
        </w:rPr>
      </w:pPr>
      <w:r>
        <w:rPr>
          <w:noProof/>
        </w:rPr>
        <w:t xml:space="preserve">Информацията, която ще се обменя, съответства на залегналата в цитирания по-горе доклад на службите на Комисията и на ЕСВД. </w:t>
      </w:r>
    </w:p>
    <w:p>
      <w:pPr>
        <w:pBdr>
          <w:top w:val="nil"/>
          <w:left w:val="nil"/>
          <w:bottom w:val="nil"/>
          <w:right w:val="nil"/>
          <w:between w:val="nil"/>
          <w:bar w:val="nil"/>
        </w:pBdr>
        <w:spacing w:before="0" w:after="240"/>
        <w:rPr>
          <w:noProof/>
        </w:rPr>
      </w:pPr>
      <w:r>
        <w:rPr>
          <w:noProof/>
        </w:rPr>
        <w:t>Що се отнася до въздействието върху икономиката на съответната територия, наличната до този момент информация се отнася основно за селското стопанство и рибарството, докато преференциите засягат всички продукти; по тази причина подлежащите на обмен данни ще могат да бъдат променяни в зависимост от развитието на дейността в Западна Сахара. От друга страна, обменът не се изчерпва само с икономическите аспекти (печалбите в тесния смисъл на думата), а трябва да осигури възможност за по-широкообхватна оценка, включваща такива аспекти, като устойчивото развитие и въздействието върху експлоатирането на природните ресурси.</w:t>
      </w:r>
    </w:p>
    <w:p>
      <w:pPr>
        <w:pBdr>
          <w:top w:val="nil"/>
          <w:left w:val="nil"/>
          <w:bottom w:val="nil"/>
          <w:right w:val="nil"/>
          <w:between w:val="nil"/>
          <w:bar w:val="nil"/>
        </w:pBdr>
        <w:spacing w:before="0" w:after="240"/>
        <w:rPr>
          <w:noProof/>
        </w:rPr>
      </w:pPr>
      <w:r>
        <w:rPr>
          <w:noProof/>
        </w:rPr>
        <w:t>Наред с предвидения в споразумението обмен на информация, Мароко също така се съгласи да въведе механизъм за събиране на статистически данни за износа за ЕС на продукти с произход от Западна Сахара, достъп до които Комисията и митническите администрации на държавите членки ще получават на месечна основа.</w:t>
      </w:r>
    </w:p>
    <w:p>
      <w:pPr>
        <w:pBdr>
          <w:top w:val="nil"/>
          <w:left w:val="nil"/>
          <w:bottom w:val="nil"/>
          <w:right w:val="nil"/>
          <w:between w:val="nil"/>
          <w:bar w:val="nil"/>
        </w:pBdr>
        <w:spacing w:before="0" w:after="240"/>
        <w:rPr>
          <w:noProof/>
        </w:rPr>
      </w:pPr>
      <w:r>
        <w:rPr>
          <w:noProof/>
        </w:rPr>
        <w:t>И на последно място, с думите „се споразумяха да обменят помежду си“, използвани в споразумението от 25 октомври 2018 г., се подчертава фактът, че обменът не е едностранен. Така Мароко ще може да иска, въз основа на вече съществуващите информационни системи, информация от Европейския съюз за производството и търговията със специфични категории продукти от интерес за Мароко,</w:t>
      </w:r>
    </w:p>
    <w:p>
      <w:pPr>
        <w:pBdr>
          <w:top w:val="nil"/>
          <w:left w:val="nil"/>
          <w:bottom w:val="nil"/>
          <w:right w:val="nil"/>
          <w:between w:val="nil"/>
          <w:bar w:val="nil"/>
        </w:pBdr>
        <w:spacing w:before="0" w:after="240"/>
        <w:rPr>
          <w:noProof/>
        </w:rPr>
      </w:pPr>
      <w:r>
        <w:rPr>
          <w:noProof/>
        </w:rPr>
        <w:t>Настоящото предложение е в съответствие с настоящата търговска политика. То също така е в съответствие с общите цели на европейската политика за съседство и на политиката на Съюза като цяло по отношение на Мароко, която е насочена към укрепване на привилегированото партньорство с тази държава, без да се предопределя резултатът от провежданата от Организацията на обединените нации процедура по отношение на Западна Сахара.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iCs/>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6"/>
      </w:r>
      <w:r>
        <w:rPr>
          <w:noProof/>
        </w:rPr>
        <w:t>.</w:t>
      </w:r>
    </w:p>
    <w:p>
      <w:pPr>
        <w:pStyle w:val="ManualHeading3"/>
        <w:rPr>
          <w:noProof/>
        </w:rPr>
      </w:pPr>
      <w:r>
        <w:t>4.1.2.</w:t>
      </w:r>
      <w:r>
        <w:tab/>
      </w:r>
      <w:r>
        <w:rPr>
          <w:noProof/>
        </w:rPr>
        <w:t>Приложение в конкретния случай</w:t>
      </w:r>
    </w:p>
    <w:p>
      <w:pPr>
        <w:rPr>
          <w:noProof/>
        </w:rPr>
      </w:pPr>
      <w:r>
        <w:rPr>
          <w:noProof/>
        </w:rPr>
        <w:t>Комитетът за асоцииране ЕС—Мароко е учреден по силата споразумение, а именно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w:t>
      </w:r>
      <w:r>
        <w:t>.</w:t>
      </w:r>
    </w:p>
    <w:p>
      <w:r>
        <w:rPr>
          <w:noProof/>
        </w:rPr>
        <w:t>Актът, който Комитетът за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83 от споразумението.</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Целта и съдържанието на предвидения акт са свързани основно с общата търговска политика</w:t>
      </w:r>
      <w:r>
        <w:t>.</w:t>
      </w:r>
    </w:p>
    <w:p>
      <w:pPr>
        <w:rPr>
          <w:i/>
          <w:noProof/>
        </w:rPr>
      </w:pPr>
      <w:r>
        <w:rPr>
          <w:noProof/>
        </w:rPr>
        <w:t>Поради това материалноправното основание за предложеното решение е член 207, параграф 3 и член 207, параграф 4, първа алинея от ДФЕС</w:t>
      </w:r>
      <w:r>
        <w:t>.</w:t>
      </w:r>
      <w:r>
        <w:rPr>
          <w:rFonts w:ascii="Calibri" w:hAnsi="Calibri"/>
          <w:noProof/>
          <w:color w:val="1F497D"/>
          <w:sz w:val="22"/>
        </w:rPr>
        <w:t xml:space="preserve">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с решението на Комитета за асоцииране ще бъде допълнен процедурният правилник на Комитета за асоцииране, е целесъобразно то да бъде публикувано в </w:t>
      </w:r>
      <w:r>
        <w:rPr>
          <w:i/>
          <w:iCs/>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2019/0204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за асоцииране, учреден по силата на Евро</w:t>
      </w:r>
      <w:r>
        <w:rPr>
          <w:noProof/>
        </w:rPr>
        <w:noBreakHyphen/>
        <w:t>средиземноморското споразумение за асоцииране между Европейските общности и техните държави членки, от една страна, и Кралство Мароко, от друга страна, във връзка с обмена на информация с цел оценка на въздействието на споразумението под формата на размяна на писма за изменение на Евро-средиземноморското споразумение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(„Споразумението за асоцииране“) бе сключено от името на Съюза по силата на Решение 2000/204/ЕО, ЕОВС</w:t>
      </w:r>
      <w:r>
        <w:rPr>
          <w:rStyle w:val="FootnoteReference"/>
          <w:noProof/>
        </w:rPr>
        <w:footnoteReference w:id="7"/>
      </w:r>
      <w:r>
        <w:rPr>
          <w:noProof/>
        </w:rPr>
        <w:t xml:space="preserve"> на Съвета и на Комисията от 24 януари 2000 г. и влезе в сила на 1 март 2000 г. </w:t>
      </w:r>
    </w:p>
    <w:p>
      <w:pPr>
        <w:pStyle w:val="ManualConsidrant"/>
        <w:rPr>
          <w:noProof/>
        </w:rPr>
      </w:pPr>
      <w:r>
        <w:t>(2)</w:t>
      </w:r>
      <w:r>
        <w:tab/>
      </w:r>
      <w:r>
        <w:rPr>
          <w:noProof/>
        </w:rPr>
        <w:t>Със своето Решение (ЕС) 2019/217 от 28 януари 2019 г. Съветът одобри сключването на споразумението под формата на размяна на писма между Европейския съюз и Кралство Мароко за изменение на протоколи № 1 и № 4 към Споразумението за асоцииране („изменението на протоколи № 1 и № 4“)</w:t>
      </w:r>
      <w:r>
        <w:rPr>
          <w:rStyle w:val="FootnoteReference"/>
          <w:noProof/>
        </w:rPr>
        <w:footnoteReference w:id="8"/>
      </w:r>
      <w:r>
        <w:rPr>
          <w:noProof/>
        </w:rPr>
        <w:t xml:space="preserve"> с цел включване на продуктите от Западна Сахара в обхвата на тарифните преференции, предвидени в Споразумението за асоцииране.</w:t>
      </w:r>
    </w:p>
    <w:p>
      <w:pPr>
        <w:pStyle w:val="ManualConsidrant"/>
        <w:rPr>
          <w:noProof/>
        </w:rPr>
      </w:pPr>
      <w:r>
        <w:t>(3)</w:t>
      </w:r>
      <w:r>
        <w:tab/>
      </w:r>
      <w:r>
        <w:rPr>
          <w:noProof/>
        </w:rPr>
        <w:t>В съответствие с член 81 от Споразумението за асоцииране се създава Комитет за асоцииране, натоварен с управлението на споразумението. По силата на член 83</w:t>
      </w:r>
      <w:r>
        <w:t xml:space="preserve"> </w:t>
      </w:r>
      <w:r>
        <w:rPr>
          <w:noProof/>
        </w:rPr>
        <w:t>от същото споразумение Комитетът за асоцииране разполага с правомощия за вземане на решения във връзка с управлението на споразумението, както и в областите, в които Съветът за асоцииране му е делегирал своите правомощия</w:t>
      </w:r>
      <w:r>
        <w:t>.</w:t>
      </w:r>
    </w:p>
    <w:p>
      <w:pPr>
        <w:pStyle w:val="ManualConsidrant"/>
        <w:rPr>
          <w:noProof/>
        </w:rPr>
      </w:pPr>
      <w:r>
        <w:t>(4)</w:t>
      </w:r>
      <w:r>
        <w:tab/>
      </w:r>
      <w:r>
        <w:rPr>
          <w:noProof/>
        </w:rPr>
        <w:t>В двумесечен срок след влизането в сила на изменението на протоколи № 1 и № 4 Комитетът за асоцииране трябва да приеме решение относно реда и условията за оценка на въздействието на това споразумение, в частност върху устойчивото развитие, и по-специално що се отнася до ползите за съответното население и експлоатирането на природните ресурси на Западна Сахара („съответните територии“)</w:t>
      </w:r>
      <w:r>
        <w:t>.</w:t>
      </w:r>
    </w:p>
    <w:p>
      <w:pPr>
        <w:pStyle w:val="ManualConsidrant"/>
        <w:rPr>
          <w:noProof/>
        </w:rPr>
      </w:pPr>
      <w:r>
        <w:t>(5)</w:t>
      </w:r>
      <w:r>
        <w:tab/>
      </w:r>
      <w:r>
        <w:rPr>
          <w:noProof/>
        </w:rPr>
        <w:t xml:space="preserve">Доколкото предвиденото решение ще е правнообвързващо за Съюза, е целесъобразно да се установи позицията, която трябва да се заеме от името на Съюза в рамките на Комитета за асоцииране. </w:t>
      </w:r>
    </w:p>
    <w:p>
      <w:pPr>
        <w:pStyle w:val="ManualConsidrant"/>
        <w:rPr>
          <w:noProof/>
        </w:rPr>
      </w:pPr>
      <w:r>
        <w:t>(6)</w:t>
      </w:r>
      <w:r>
        <w:tab/>
      </w:r>
      <w:r>
        <w:rPr>
          <w:noProof/>
        </w:rPr>
        <w:t xml:space="preserve">За да се осигури проследяването на въздействието на споразумението върху съответното население и експлоатирането на природните ресурси на съответните територии, в споразумението са изрично предвидени подходяща рамка и процедура, които позволяват на страните да оценят на основата на редовен обмен на информация последиците от него по време на прилагането му. Европейският съюз и Мароко се споразумяха поне веднъж годишно да обменят информация помежду си в рамките на Комитета за асоцииране, учреден по силата на Споразумението за асоцииране ЕС—Мароко. Поради това следва да се определят специфичните ред и условия за извършване на тази оценка с цел приемането им от Комитета за асоцииране. </w:t>
      </w:r>
    </w:p>
    <w:p>
      <w:pPr>
        <w:pStyle w:val="ManualConsidrant"/>
        <w:rPr>
          <w:noProof/>
        </w:rPr>
      </w:pPr>
      <w:r>
        <w:t>(7)</w:t>
      </w:r>
      <w:r>
        <w:tab/>
      </w:r>
      <w:r>
        <w:rPr>
          <w:noProof/>
        </w:rPr>
        <w:t>Информацията, която ще се обменя, съответства на залегналата в доклада от 11 юни 2018 г.</w:t>
      </w:r>
      <w:r>
        <w:rPr>
          <w:rStyle w:val="FootnoteReference"/>
          <w:noProof/>
        </w:rPr>
        <w:footnoteReference w:id="9"/>
      </w:r>
      <w:r>
        <w:rPr>
          <w:noProof/>
        </w:rPr>
        <w:t xml:space="preserve">, изготвен от службите на Комисията съвместно с Европейската служба за външна дейност, относно ползите за населението от Западна Сахара и относно консултацията с това население във връзка с разширяването на тарифните преференции, като те обхванат продуктите с произход от Западна Сахара. </w:t>
      </w:r>
    </w:p>
    <w:p>
      <w:pPr>
        <w:pStyle w:val="ManualConsidrant"/>
        <w:rPr>
          <w:noProof/>
        </w:rPr>
      </w:pPr>
      <w:r>
        <w:t>(8)</w:t>
      </w:r>
      <w:r>
        <w:tab/>
      </w:r>
      <w:r>
        <w:rPr>
          <w:noProof/>
        </w:rPr>
        <w:t>Що се отнася до въздействието върху икономиката на съответната територия, наличната до този момент информация се отнася основно за селското стопанство и рибарството, докато преференциите засягат всички продукти; по тази причина подлежащите на обмен данни ще могат да бъдат променяни в зависимост от развитието на дейността в Западна Сахара. От друга страна, обменът не се изчерпва само с икономическите аспекти (печалбите в тесния смисъл на думата), а трябва да осигури възможност за по-широкообхватна оценка, включваща такива аспекти, като устойчивото развитие и въздействието върху експлоатирането на природните ресурси.</w:t>
      </w:r>
    </w:p>
    <w:p>
      <w:pPr>
        <w:pStyle w:val="ManualConsidrant"/>
        <w:rPr>
          <w:noProof/>
        </w:rPr>
      </w:pPr>
      <w:r>
        <w:t>(9)</w:t>
      </w:r>
      <w:r>
        <w:tab/>
      </w:r>
      <w:r>
        <w:rPr>
          <w:noProof/>
        </w:rPr>
        <w:t>Мароко също така се съгласи отделно да въведе механизъм за събиране на статистически данни за износа за ЕС на продукти с произход от Западна Сахара, достъп до които Комисията и митническите администрации на държавите членки ще получават на месечна основа.</w:t>
      </w:r>
    </w:p>
    <w:p>
      <w:pPr>
        <w:pStyle w:val="ManualConsidrant"/>
        <w:rPr>
          <w:noProof/>
        </w:rPr>
      </w:pPr>
      <w:r>
        <w:t>(10)</w:t>
      </w:r>
      <w:r>
        <w:tab/>
      </w:r>
      <w:r>
        <w:rPr>
          <w:noProof/>
        </w:rPr>
        <w:t>Мароко ще може да иска, въз основа на вече съществуващите информационни системи, информация от Европейския съюз за производството и търговията със специфични категории продукти от интерес за Мароко,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Комитета за асоцииране ЕС—Мароко, учреден по силата на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се основава на проекта на решение на Комитета за асоцииране, приложен към настоящото решение</w:t>
      </w:r>
      <w:r>
        <w:t>.</w:t>
      </w:r>
    </w:p>
    <w:p>
      <w:pPr>
        <w:pStyle w:val="Titrearticle"/>
        <w:rPr>
          <w:noProof/>
        </w:rPr>
      </w:pPr>
      <w:r>
        <w:rPr>
          <w:noProof/>
        </w:rPr>
        <w:t>Член 2</w:t>
      </w:r>
    </w:p>
    <w:p>
      <w:pPr>
        <w:rPr>
          <w:noProof/>
        </w:rPr>
      </w:pPr>
      <w:r>
        <w:rPr>
          <w:noProof/>
        </w:rPr>
        <w:t>Адресати на настоящото решение са държавите членки и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70, 18.3.2000 г., стр. 2.</w:t>
      </w:r>
    </w:p>
  </w:footnote>
  <w:footnote w:id="2">
    <w:p>
      <w:pPr>
        <w:pStyle w:val="FootnoteText"/>
      </w:pPr>
      <w:r>
        <w:rPr>
          <w:rStyle w:val="FootnoteReference"/>
        </w:rPr>
        <w:footnoteRef/>
      </w:r>
      <w:r>
        <w:tab/>
        <w:t>ОВ L 34, 6.2.2019 г., стр. 4.</w:t>
      </w:r>
    </w:p>
  </w:footnote>
  <w:footnote w:id="3">
    <w:p>
      <w:pPr>
        <w:pStyle w:val="FootnoteText"/>
      </w:pPr>
      <w:r>
        <w:rPr>
          <w:rStyle w:val="FootnoteReference"/>
        </w:rPr>
        <w:footnoteRef/>
      </w:r>
      <w:r>
        <w:tab/>
        <w:t>ОВ L 34, 6.2.2019 г., стр. 1.</w:t>
      </w:r>
    </w:p>
  </w:footnote>
  <w:footnote w:id="4">
    <w:p>
      <w:pPr>
        <w:pStyle w:val="FootnoteText"/>
      </w:pPr>
      <w:r>
        <w:rPr>
          <w:rStyle w:val="FootnoteReference"/>
        </w:rPr>
        <w:footnoteRef/>
      </w:r>
      <w:r>
        <w:tab/>
        <w:t>Решение на Съда от 21 декември 2016 г., Съвет/Front Polisario, C-104/16 P, EU:C:2016:973.</w:t>
      </w:r>
    </w:p>
  </w:footnote>
  <w:footnote w:id="5">
    <w:p>
      <w:pPr>
        <w:pStyle w:val="FootnoteText"/>
      </w:pPr>
      <w:r>
        <w:rPr>
          <w:rStyle w:val="FootnoteReference"/>
        </w:rPr>
        <w:footnoteRef/>
      </w:r>
      <w:r>
        <w:tab/>
        <w:t>Работен документ на службите на Комисията (SWD (2018) 346 final), придружаващ предложение за Решение на Съвета за сключване на споразумение под формата на размяна на писма между Европейския съюз и Кралство Мароко за изменение на протоколи № 1 и № 4 към Евро</w:t>
      </w:r>
      <w:r>
        <w:noBreakHyphen/>
        <w:t>средиземноморското споразумение за асоцииране между Европейските общности и техните държави членки, от една страна, и Кралство Мароко, от друга страна (COM (2018) 481 final).</w:t>
      </w:r>
    </w:p>
  </w:footnote>
  <w:footnote w:id="6">
    <w:p>
      <w:pPr>
        <w:pStyle w:val="FootnoteText"/>
      </w:pPr>
      <w:r>
        <w:rPr>
          <w:rStyle w:val="FootnoteReference"/>
        </w:rPr>
        <w:footnoteRef/>
      </w:r>
      <w:r>
        <w:tab/>
        <w:t xml:space="preserve">Решение на Съда от 7 октомври 2014 г., Германия/Съвет (OIV), C-399/12, EU:C:2014:2258, т. 61—64. </w:t>
      </w:r>
    </w:p>
  </w:footnote>
  <w:footnote w:id="7">
    <w:p>
      <w:pPr>
        <w:pStyle w:val="FootnoteText"/>
      </w:pPr>
      <w:r>
        <w:rPr>
          <w:rStyle w:val="FootnoteReference"/>
        </w:rPr>
        <w:footnoteRef/>
      </w:r>
      <w:r>
        <w:tab/>
        <w:t>ОВ L 70, 18.3.2000 г., стр. 1.</w:t>
      </w:r>
    </w:p>
  </w:footnote>
  <w:footnote w:id="8">
    <w:p>
      <w:pPr>
        <w:pStyle w:val="FootnoteText"/>
      </w:pPr>
      <w:r>
        <w:rPr>
          <w:rStyle w:val="FootnoteReference"/>
        </w:rPr>
        <w:footnoteRef/>
      </w:r>
      <w:r>
        <w:tab/>
        <w:t>ОВ L 34, 6.2.2019 г., стр. 4.</w:t>
      </w:r>
    </w:p>
  </w:footnote>
  <w:footnote w:id="9">
    <w:p>
      <w:pPr>
        <w:pStyle w:val="FootnoteText"/>
      </w:pPr>
      <w:r>
        <w:rPr>
          <w:rStyle w:val="FootnoteReference"/>
        </w:rPr>
        <w:footnoteRef/>
      </w:r>
      <w:r>
        <w:tab/>
        <w:t>SWD (2018) 346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24CF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B88E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1C04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E016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9A09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9010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68876C"/>
    <w:lvl w:ilvl="0">
      <w:start w:val="1"/>
      <w:numFmt w:val="decimal"/>
      <w:pStyle w:val="ListNumber"/>
      <w:lvlText w:val="%1."/>
      <w:lvlJc w:val="left"/>
      <w:pPr>
        <w:tabs>
          <w:tab w:val="num" w:pos="360"/>
        </w:tabs>
        <w:ind w:left="360" w:hanging="360"/>
      </w:pPr>
    </w:lvl>
  </w:abstractNum>
  <w:abstractNum w:abstractNumId="7">
    <w:nsid w:val="FFFFFF89"/>
    <w:multiLevelType w:val="singleLevel"/>
    <w:tmpl w:val="E61C71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1:12: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2FCC8A3-0853-4149-8B8A-D2267E0DC455"/>
    <w:docVar w:name="LW_COVERPAGE_TYPE" w:val="1"/>
    <w:docVar w:name="LW_CROSSREFERENCE" w:val="&lt;UNUSED&gt;"/>
    <w:docVar w:name="LW_DocType" w:val="COM"/>
    <w:docVar w:name="LW_EMISSION" w:val="20.9.2019"/>
    <w:docVar w:name="LW_EMISSION_ISODATE" w:val="2019-09-2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4"/>
    <w:docVar w:name="LW_REF.II.NEW.CP_YEAR" w:val="2019"/>
    <w:docVar w:name="LW_REF.INST.NEW" w:val="COM"/>
    <w:docVar w:name="LW_REF.INST.NEW_ADOPTED" w:val="final"/>
    <w:docVar w:name="LW_REF.INST.NEW_TEXT" w:val="(2019)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72?\u1089?\u1086?\u1094?\u1080?\u1080?\u1088?\u1072?\u1085?\u1077?, \u1091?\u1095?\u1088?\u1077?\u1076?\u1077?\u1085? \u1087?\u1086? \u1089?\u1080?\u1083?\u1072?\u1090?\u1072? \u1085?\u1072? \u1045?\u1074?\u1088?\u1086?_x001e_\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 \u1074?\u1098?\u1074? \u1074?\u1088?\u1098?\u1079?\u1082?\u1072? \u1089? \u1086?\u1073?\u1084?\u1077?\u1085?\u1072? \u1085?\u1072? \u1080?\u1085?\u1092?\u1086?\u1088?\u1084?\u1072?\u1094?\u1080?\u1103? \u1089? \u1094?\u1077?\u1083? \u1086?\u1094?\u1077?\u1085?\u1082?\u1072? \u1085?\u1072? \u1074?\u1098?\u1079?\u1076?\u1077?\u1081?\u1089?\u1090?\u1074?\u1080?\u1077?\u1090?\u1086? \u1085?\u1072? \u1089?\u1087?\u1086?\u1088?\u1072?\u1079?\u1091?\u1084?\u1077?\u1085?\u1080?\u1077?\u1090?\u1086? \u1087?\u1086?\u1076? \u1092?\u1086?\u1088?\u1084?\u1072?\u1090?\u1072? \u1085?\u1072? \u1088?\u1072?\u1079?\u1084?\u1103?\u1085?\u1072? \u1085?\u1072? \u1087?\u1080?\u1089?\u1084?\u1072? \u1079?\u1072? \u1080?\u1079?\u1084?\u1077?\u1085?\u1077?\u1085?\u1080?\u1077? \u1085?\u1072? \u1045?\u1074?\u1088?\u1086?-\u1089?\u1088?\u1077?\u1076?\u1080?\u1079?\u1077?\u1084?\u1085?\u1086?\u1084?\u1086?\u1088?\u1089?\u1082?\u1086?\u1090?\u1086? \u1089?\u1087?\u1086?\u1088?\u1072?\u1079?\u1091?\u1084?\u1077?\u1085?\u108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814785-2819-4FC8-A26A-173D775F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2581</Words>
  <Characters>14718</Characters>
  <Application>Microsoft Office Word</Application>
  <DocSecurity>0</DocSecurity>
  <Lines>267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2019-02-05T17:53:00Z</cp:lastPrinted>
  <dcterms:created xsi:type="dcterms:W3CDTF">2019-08-27T11:06:00Z</dcterms:created>
  <dcterms:modified xsi:type="dcterms:W3CDTF">2019-09-19T09:12:00Z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