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262C7CD-E504-4CC5-AD2E-DFC9DDB566FA" style="width:450.75pt;height:406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noProof/>
          <w:color w:val="auto"/>
        </w:rPr>
      </w:pPr>
      <w:bookmarkStart w:id="1" w:name="_GoBack"/>
      <w:bookmarkEnd w:id="1"/>
      <w:r>
        <w:rPr>
          <w:noProof/>
          <w:color w:val="auto"/>
        </w:rPr>
        <w:lastRenderedPageBreak/>
        <w:t>Повишаване на прозрачността в областта на непреференциалните правила за произход</w:t>
      </w:r>
    </w:p>
    <w:p>
      <w:pPr>
        <w:spacing w:after="240"/>
        <w:jc w:val="center"/>
        <w:rPr>
          <w:noProof/>
          <w:szCs w:val="18"/>
        </w:rPr>
      </w:pPr>
      <w:r>
        <w:rPr>
          <w:noProof/>
        </w:rPr>
        <w:t>_______________</w:t>
      </w:r>
    </w:p>
    <w:p>
      <w:pPr>
        <w:spacing w:after="240"/>
        <w:rPr>
          <w:i/>
          <w:noProof/>
          <w:szCs w:val="18"/>
        </w:rPr>
      </w:pPr>
      <w:r>
        <w:rPr>
          <w:i/>
          <w:noProof/>
          <w:szCs w:val="18"/>
        </w:rPr>
        <w:t>Членовете на Световната търговска организация,</w:t>
      </w:r>
    </w:p>
    <w:p>
      <w:pPr>
        <w:spacing w:after="240"/>
        <w:rPr>
          <w:noProof/>
          <w:szCs w:val="18"/>
        </w:rPr>
      </w:pPr>
      <w:r>
        <w:rPr>
          <w:i/>
          <w:iCs/>
          <w:noProof/>
        </w:rPr>
        <w:t>Желаейки</w:t>
      </w:r>
      <w:r>
        <w:rPr>
          <w:noProof/>
        </w:rPr>
        <w:t xml:space="preserve"> да гарантират, че правилата за произход сами по себе си не трябва да оказват </w:t>
      </w:r>
      <w:r>
        <w:rPr>
          <w:noProof/>
        </w:rPr>
        <w:br/>
        <w:t>ограничително, нарушаващо или разрушаващо влияние върху международната търговия;</w:t>
      </w:r>
    </w:p>
    <w:p>
      <w:pPr>
        <w:autoSpaceDE w:val="0"/>
        <w:autoSpaceDN w:val="0"/>
        <w:adjustRightInd w:val="0"/>
        <w:spacing w:after="240"/>
        <w:rPr>
          <w:noProof/>
          <w:szCs w:val="18"/>
        </w:rPr>
      </w:pPr>
      <w:r>
        <w:rPr>
          <w:i/>
          <w:iCs/>
          <w:noProof/>
        </w:rPr>
        <w:t>Желаейки</w:t>
      </w:r>
      <w:r>
        <w:rPr>
          <w:noProof/>
        </w:rPr>
        <w:t xml:space="preserve"> да гарантират, че правилата за произход са подготвени и се прилагат по безпристрастен, прозрачен, предвидим, последователен и неутрален начин;</w:t>
      </w:r>
    </w:p>
    <w:p>
      <w:pPr>
        <w:spacing w:after="240"/>
        <w:rPr>
          <w:noProof/>
          <w:szCs w:val="18"/>
        </w:rPr>
      </w:pPr>
      <w:r>
        <w:rPr>
          <w:i/>
          <w:iCs/>
          <w:noProof/>
        </w:rPr>
        <w:t>Признавайки</w:t>
      </w:r>
      <w:r>
        <w:rPr>
          <w:noProof/>
        </w:rPr>
        <w:t>, че ясните и предвидими правила за произход и тяхното приложение улесняват международната търговия;</w:t>
      </w:r>
    </w:p>
    <w:p>
      <w:pPr>
        <w:autoSpaceDE w:val="0"/>
        <w:autoSpaceDN w:val="0"/>
        <w:adjustRightInd w:val="0"/>
        <w:spacing w:after="240"/>
        <w:rPr>
          <w:noProof/>
          <w:szCs w:val="18"/>
        </w:rPr>
      </w:pPr>
      <w:r>
        <w:rPr>
          <w:i/>
          <w:iCs/>
          <w:noProof/>
        </w:rPr>
        <w:t>Признавайки</w:t>
      </w:r>
      <w:r>
        <w:rPr>
          <w:noProof/>
        </w:rPr>
        <w:t>, че е желателно да се осигури прозрачност на законите, разпоредбите и процедурите относно правилата за произход;</w:t>
      </w:r>
    </w:p>
    <w:p>
      <w:pPr>
        <w:autoSpaceDE w:val="0"/>
        <w:autoSpaceDN w:val="0"/>
        <w:adjustRightInd w:val="0"/>
        <w:spacing w:after="240"/>
        <w:rPr>
          <w:noProof/>
          <w:szCs w:val="18"/>
        </w:rPr>
      </w:pPr>
      <w:r>
        <w:rPr>
          <w:i/>
          <w:iCs/>
          <w:noProof/>
        </w:rPr>
        <w:t>Желаейки</w:t>
      </w:r>
      <w:r>
        <w:rPr>
          <w:noProof/>
        </w:rPr>
        <w:t xml:space="preserve"> да допълнят задълженията за нотифициране по член 5 от Споразумението за правилата за произход;</w:t>
      </w:r>
    </w:p>
    <w:p>
      <w:pPr>
        <w:autoSpaceDE w:val="0"/>
        <w:autoSpaceDN w:val="0"/>
        <w:adjustRightInd w:val="0"/>
        <w:spacing w:after="240"/>
        <w:rPr>
          <w:noProof/>
          <w:szCs w:val="18"/>
        </w:rPr>
      </w:pPr>
      <w:r>
        <w:rPr>
          <w:i/>
          <w:iCs/>
          <w:noProof/>
        </w:rPr>
        <w:t>Потвърждавайки</w:t>
      </w:r>
      <w:r>
        <w:rPr>
          <w:noProof/>
        </w:rPr>
        <w:t>, че повишаването на прозрачността на законите, разпоредбите и процедурите относно правилата за произход допринасят за намаляването на разходите за спазване на изискванията, които трябва да бъдат поети от икономическите оператори, желаещи да се включат в световните вериги за създаване на стойност, и по-конкретно на микро-, малките и средните предприятия;</w:t>
      </w:r>
    </w:p>
    <w:p>
      <w:pPr>
        <w:autoSpaceDE w:val="0"/>
        <w:autoSpaceDN w:val="0"/>
        <w:adjustRightInd w:val="0"/>
        <w:spacing w:after="240"/>
        <w:rPr>
          <w:noProof/>
          <w:szCs w:val="18"/>
        </w:rPr>
      </w:pPr>
      <w:r>
        <w:rPr>
          <w:i/>
          <w:iCs/>
          <w:noProof/>
        </w:rPr>
        <w:t>Решават</w:t>
      </w:r>
      <w:r>
        <w:rPr>
          <w:noProof/>
        </w:rPr>
        <w:t xml:space="preserve"> следното по отношение на правилата за произход: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Че е желателно да се поддържа и насърчава висока степен на прозрачност и взаимно разбиране относно правилата за произход и свързаните с тях изисквания по отношение на документите, използвани от членовете на СТО. Под правила за произход се разбира правилата, попадащи в обхвата на член 1 от Споразумението за правилата за произход.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За да се повиши прозрачността и да се насърчи по-доброто разбиране на правилата за произход, членовете на СТО уведомяват секретариата на СТО, съгласно приложение 1 от настоящото решение, за правилата за произход, които използват при прилагането на принципа на най-облагодетелстваната нация съгласно членове I, II, III, XI и XIII от ГАТТ от 1994 г.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Членовете на СТО се приканват да използват образеца в приложение 1, когато уведомяват секретариата на СТО за други правила за произход, които използват при прилагането на други непреференциални инструменти на търговската политика съгласно предвиденото в член 1.2 от Споразумението за правилата за произход.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Освен това членовете на СТО следва да опишат, в съответствие с приложение 2, практиките си по отношение на удостоверяването на произхода, както и други задължителни документни доказателства за произход за непреференциални цели, нотифицирани в съответствие с приложение 1</w:t>
      </w:r>
      <w:r>
        <w:rPr>
          <w:rStyle w:val="FootnoteReference"/>
          <w:noProof/>
          <w:szCs w:val="18"/>
        </w:rPr>
        <w:footnoteReference w:id="1"/>
      </w:r>
      <w:r>
        <w:rPr>
          <w:noProof/>
        </w:rPr>
        <w:t>. Членовете на СТО, заявили, че не прилагат правилата за произход по приложение 1, следва независимо от това да попълват приложение 2.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Нотификациите по параграфи 2 и 4 от настоящото решение следва да се изпращат не по-късно от една година след приемането на настоящото решение.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Нотифицираната по силата на настоящото решение информация се оповестява публично от секретариата на СТО.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В рамките на наличните си ресурси всеки член на СТО трябва да създаде или поддържа един или повече информационни центрове, които да отговарят на основателни запитвания от правителства, търговци и други заинтересовани страни по  въпроси относно правилата за произход и свързаните с тях изисквания за документите, както и да предоставят необходимите формуляри и документи</w:t>
      </w:r>
      <w:r>
        <w:rPr>
          <w:rStyle w:val="FootnoteReference"/>
          <w:noProof/>
          <w:szCs w:val="18"/>
        </w:rPr>
        <w:footnoteReference w:id="2"/>
      </w:r>
      <w:r>
        <w:rPr>
          <w:noProof/>
        </w:rPr>
        <w:t>. По силата на приложение 1 членовете следва да съобщават на секретариата на СТО координатите за връзка на своите съответни информационни центрове. Най-слабо развитите страни членки трябва да разполагат с период от две години, за да съобщят тази информация на секретариата на СТО.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Членовете на СТО трябва да се стремят да предоставят препратките към нормативни актове, уебсайтовете, обяснителните или другите документи на един от официалните езици на СТО.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Членовете на СТО, които въвеждат съществени изменения в своите правила за произход и в свързаните с тях изисквания за документите, които правила са били нотифицирани в съответствие с настоящото решение, следва своевременно да нотифицират тези промени на секретариата на СТО съгласно настоящото решение.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Комитетът по правилата за произход следва да разгледа съществуващите правила за произход и свързаните с тях изисквания за документите въз основа на нотифицираната съгласно настоящото решение информация, с цел да бъдат установени практики за улесняване на търговията и да се насърчи на разпространението им в международен мащаб.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При поискване секретариатът на СТО следва да оказва съдействие, за да подпомага развиващите се и най-слаборазвитите страни членки при прилагането на разпоредбите на настоящото решение.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Нито една разпоредба на настоящото решение не може да се тълкува като засягаща правата и задълженията на членовете на СТО по член 5 от Споразумението за правилата за произход или по член 1 от Споразумението за улесняване на търговията.</w:t>
      </w:r>
    </w:p>
    <w:p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rPr>
          <w:noProof/>
          <w:szCs w:val="18"/>
        </w:rPr>
      </w:pPr>
      <w:r>
        <w:rPr>
          <w:noProof/>
        </w:rPr>
        <w:t>Преглед на настоящото решение, и по-специално на параграфи 2 и 3 от него, ще бъде извършен три години след приемането му, а след това при необходимост, с цел допълнително повишаване на прозрачността в областта на  непреференциалните правила за произход, доколкото е целесъобразно.</w:t>
      </w:r>
    </w:p>
    <w:p>
      <w:pPr>
        <w:pStyle w:val="Title"/>
        <w:jc w:val="both"/>
        <w:rPr>
          <w:noProof/>
        </w:rPr>
      </w:pPr>
    </w:p>
    <w:p>
      <w:pPr>
        <w:pStyle w:val="ListParagraph"/>
        <w:numPr>
          <w:ilvl w:val="0"/>
          <w:numId w:val="16"/>
        </w:num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</w:p>
    <w:p>
      <w:pPr>
        <w:pStyle w:val="Title"/>
        <w:rPr>
          <w:noProof/>
          <w:color w:val="auto"/>
        </w:rPr>
      </w:pPr>
      <w:r>
        <w:rPr>
          <w:noProof/>
          <w:color w:val="auto"/>
        </w:rPr>
        <w:t>ПРИЛОЖЕНИЕ 1</w:t>
      </w:r>
    </w:p>
    <w:p>
      <w:pPr>
        <w:pStyle w:val="Title2"/>
        <w:spacing w:after="240"/>
        <w:rPr>
          <w:noProof/>
          <w:color w:val="auto"/>
        </w:rPr>
      </w:pPr>
      <w:r>
        <w:rPr>
          <w:noProof/>
          <w:color w:val="auto"/>
        </w:rPr>
        <w:t>ОБРАЗЕЦ НА НОТИФИКАЦИЯ ЗА НЕПРЕФЕРЕНЦИАЛНИ ПРАВИЛА ЗА ПРОИЗХОД</w:t>
      </w:r>
    </w:p>
    <w:p>
      <w:pPr>
        <w:pStyle w:val="Title3"/>
        <w:spacing w:after="240"/>
        <w:rPr>
          <w:b/>
          <w:noProof/>
          <w:color w:val="auto"/>
        </w:rPr>
      </w:pPr>
      <w:r>
        <w:rPr>
          <w:noProof/>
          <w:color w:val="auto"/>
        </w:rPr>
        <w:t>Приложение 1 може да бъде размножавано толкова пъти, колкото е се налага.</w:t>
      </w:r>
    </w:p>
    <w:p>
      <w:pPr>
        <w:keepNext/>
        <w:tabs>
          <w:tab w:val="left" w:pos="567"/>
        </w:tabs>
        <w:spacing w:after="240"/>
        <w:rPr>
          <w:rFonts w:cs="Times New Roman"/>
          <w:b/>
          <w:bCs/>
          <w:noProof/>
          <w:szCs w:val="18"/>
        </w:rPr>
      </w:pPr>
      <w:r>
        <w:rPr>
          <w:b/>
          <w:bCs/>
          <w:noProof/>
          <w:szCs w:val="18"/>
        </w:rPr>
        <w:t xml:space="preserve">I. </w:t>
      </w:r>
      <w:r>
        <w:rPr>
          <w:b/>
          <w:bCs/>
          <w:noProof/>
          <w:szCs w:val="18"/>
        </w:rPr>
        <w:tab/>
        <w:t>ОСНОВНА ИНФОРМАЦИЯ</w:t>
      </w:r>
    </w:p>
    <w:tbl>
      <w:tblPr>
        <w:tblW w:w="5013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616"/>
        <w:gridCol w:w="384"/>
        <w:gridCol w:w="2228"/>
        <w:gridCol w:w="402"/>
        <w:gridCol w:w="2105"/>
      </w:tblGrid>
      <w:tr>
        <w:trPr>
          <w:cantSplit/>
        </w:trPr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iCs/>
                <w:noProof/>
                <w:sz w:val="16"/>
                <w:szCs w:val="16"/>
              </w:rPr>
              <w:t>Нотифициращ член на СТО</w:t>
            </w:r>
          </w:p>
        </w:tc>
        <w:tc>
          <w:tcPr>
            <w:tcW w:w="276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Информационен център  </w:t>
            </w:r>
          </w:p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(По възможност представете следните данни за контакт: име, телефон, електронна поща, уебсайт)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Има ли непреференциални правила за произход, които са в сила?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Не*</w:t>
            </w:r>
          </w:p>
        </w:tc>
      </w:tr>
      <w:tr>
        <w:trPr>
          <w:cantSplit/>
        </w:trPr>
        <w:tc>
          <w:tcPr>
            <w:tcW w:w="28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7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 xml:space="preserve">* Ако отговорът Ви е „Не“, следващите въпроси от приложението не е необходимо да се попълват. </w:t>
            </w: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Моля, посочете за кои инструменти на търговската политика се използват тези непреференциални правила за произход (по член 1.2 от Споразумението за правилата за произход)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Дата на влизане в сила или на съществено изменение, ако има такова: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Дата, на която изтича срокът на действие, ако е приложимо: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Правителствени или неправителствени органи, отговарящи за управлението: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Интернет връзка към нормативни актове и други обяснителни документи, ако е приложимо: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  <w:trHeight w:val="301"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Коментари, ако има такива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b/>
          <w:bCs/>
          <w:noProof/>
          <w:szCs w:val="18"/>
        </w:rPr>
      </w:pPr>
    </w:p>
    <w:p>
      <w:pPr>
        <w:keepNext/>
        <w:tabs>
          <w:tab w:val="left" w:pos="567"/>
        </w:tabs>
        <w:spacing w:after="240"/>
        <w:rPr>
          <w:rFonts w:cs="Times New Roman"/>
          <w:b/>
          <w:bCs/>
          <w:noProof/>
          <w:szCs w:val="18"/>
        </w:rPr>
      </w:pPr>
      <w:r>
        <w:rPr>
          <w:b/>
          <w:bCs/>
          <w:noProof/>
          <w:szCs w:val="18"/>
        </w:rPr>
        <w:t xml:space="preserve">II. </w:t>
      </w:r>
      <w:r>
        <w:rPr>
          <w:b/>
          <w:bCs/>
          <w:noProof/>
          <w:szCs w:val="18"/>
        </w:rPr>
        <w:tab/>
        <w:t>ПРИЛАГАНЕ НА НЕПРЕФЕРЕНЦИАЛНИ ПРАВИЛА ЗА ПРОИЗХОД</w:t>
      </w:r>
    </w:p>
    <w:tbl>
      <w:tblPr>
        <w:tblW w:w="5027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607"/>
        <w:gridCol w:w="366"/>
        <w:gridCol w:w="2193"/>
        <w:gridCol w:w="366"/>
        <w:gridCol w:w="2202"/>
      </w:tblGrid>
      <w:tr>
        <w:trPr>
          <w:trHeight w:val="526"/>
        </w:trPr>
        <w:tc>
          <w:tcPr>
            <w:tcW w:w="3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0" w:right="12" w:firstLine="0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Прилагат ли се непреференциални правила при вноса?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18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Да</w:t>
            </w:r>
          </w:p>
        </w:tc>
        <w:tc>
          <w:tcPr>
            <w:tcW w:w="19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184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Не</w:t>
            </w:r>
          </w:p>
        </w:tc>
      </w:tr>
      <w:tr>
        <w:trPr>
          <w:trHeight w:val="526"/>
        </w:trPr>
        <w:tc>
          <w:tcPr>
            <w:tcW w:w="3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Прилагат ли се непреференциални правила при износа?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Да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Не</w:t>
            </w:r>
          </w:p>
        </w:tc>
      </w:tr>
      <w:tr>
        <w:trPr>
          <w:trHeight w:val="526"/>
        </w:trPr>
        <w:tc>
          <w:tcPr>
            <w:tcW w:w="3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spacing w:after="120"/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Правило </w:t>
            </w:r>
            <w:r>
              <w:rPr>
                <w:b/>
                <w:i/>
                <w:iCs/>
                <w:noProof/>
                <w:sz w:val="16"/>
                <w:szCs w:val="16"/>
              </w:rPr>
              <w:t>de minimis</w:t>
            </w:r>
            <w:r>
              <w:rPr>
                <w:b/>
                <w:noProof/>
                <w:sz w:val="16"/>
                <w:szCs w:val="16"/>
              </w:rPr>
              <w:t xml:space="preserve"> за прилагането на непреференциални правила за произход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Да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Не</w:t>
            </w:r>
          </w:p>
        </w:tc>
      </w:tr>
      <w:tr>
        <w:trPr>
          <w:trHeight w:val="526"/>
        </w:trPr>
        <w:tc>
          <w:tcPr>
            <w:tcW w:w="3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after="120"/>
              <w:ind w:left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Ако отговорът е „да“, моля, посочете прага </w:t>
            </w:r>
            <w:r>
              <w:rPr>
                <w:b/>
                <w:i/>
                <w:iCs/>
                <w:noProof/>
                <w:sz w:val="16"/>
                <w:szCs w:val="16"/>
              </w:rPr>
              <w:t>de minimis</w:t>
            </w:r>
            <w:r>
              <w:rPr>
                <w:b/>
                <w:noProof/>
                <w:sz w:val="16"/>
                <w:szCs w:val="16"/>
              </w:rPr>
              <w:t xml:space="preserve"> и съответните препратки към нормативни актове, свързани с въпроси 10 – 12.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rPr>
          <w:noProof/>
          <w:szCs w:val="18"/>
        </w:rPr>
      </w:pPr>
    </w:p>
    <w:p>
      <w:pPr>
        <w:keepNext/>
        <w:tabs>
          <w:tab w:val="left" w:pos="567"/>
        </w:tabs>
        <w:spacing w:after="240"/>
        <w:ind w:left="567" w:hanging="567"/>
        <w:rPr>
          <w:rFonts w:cs="Times New Roman"/>
          <w:b/>
          <w:bCs/>
          <w:noProof/>
          <w:szCs w:val="18"/>
        </w:rPr>
      </w:pPr>
      <w:r>
        <w:rPr>
          <w:b/>
          <w:bCs/>
          <w:noProof/>
          <w:szCs w:val="18"/>
        </w:rPr>
        <w:t xml:space="preserve">III. </w:t>
      </w:r>
      <w:r>
        <w:rPr>
          <w:b/>
          <w:bCs/>
          <w:noProof/>
          <w:szCs w:val="18"/>
        </w:rPr>
        <w:tab/>
        <w:t>КРИТЕРИИ ЗА ОПРЕДЕЛЯНЕ НА СЪЩЕСТВЕНОТО ПРЕОБРАЗУВАНЕ С ЦЕЛ УСТАНОВЯВАНЕ НА ПРОИЗХОДА НА СТОКАТА</w:t>
      </w:r>
    </w:p>
    <w:tbl>
      <w:tblPr>
        <w:tblW w:w="5025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26"/>
        <w:gridCol w:w="5129"/>
      </w:tblGrid>
      <w:tr>
        <w:trPr>
          <w:cantSplit/>
        </w:trPr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Общи критерии, ако са приложими за всички продукти:</w:t>
            </w:r>
          </w:p>
        </w:tc>
        <w:tc>
          <w:tcPr>
            <w:tcW w:w="27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Специфични за продукта правила за произход, когато е приложимо: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Определение за материал без произход и материал с произход, ако има такова: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Брой минимални операции, които не придават статут на стока с произход, ако има такива: 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Други правила, ако има такива: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  <w:trHeight w:val="666"/>
        </w:trPr>
        <w:tc>
          <w:tcPr>
            <w:tcW w:w="2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7"/>
              </w:numPr>
              <w:ind w:left="567" w:hanging="567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Всякаква друга информация, която членът на СТО смята за необходима (посочете интернет връзка, ако е уместно)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rPr>
                <w:noProof/>
                <w:sz w:val="16"/>
                <w:szCs w:val="16"/>
              </w:rPr>
            </w:pPr>
          </w:p>
        </w:tc>
      </w:tr>
    </w:tbl>
    <w:p>
      <w:pPr>
        <w:pStyle w:val="ListParagraph"/>
        <w:ind w:left="0"/>
        <w:contextualSpacing w:val="0"/>
        <w:rPr>
          <w:b/>
          <w:noProof/>
          <w:szCs w:val="18"/>
        </w:rPr>
      </w:pPr>
    </w:p>
    <w:p>
      <w:pPr>
        <w:keepNext/>
        <w:tabs>
          <w:tab w:val="left" w:pos="567"/>
        </w:tabs>
        <w:spacing w:after="240"/>
        <w:jc w:val="left"/>
        <w:rPr>
          <w:b/>
          <w:noProof/>
          <w:sz w:val="16"/>
          <w:szCs w:val="16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1701" w:right="1440" w:bottom="1440" w:left="1440" w:header="720" w:footer="720" w:gutter="0"/>
          <w:cols w:space="708"/>
          <w:docGrid w:linePitch="360"/>
        </w:sectPr>
      </w:pPr>
      <w:r>
        <w:rPr>
          <w:b/>
          <w:bCs/>
          <w:noProof/>
          <w:szCs w:val="18"/>
        </w:rPr>
        <w:t xml:space="preserve">IV.  </w:t>
      </w:r>
      <w:r>
        <w:rPr>
          <w:b/>
          <w:bCs/>
          <w:noProof/>
          <w:szCs w:val="18"/>
        </w:rPr>
        <w:tab/>
        <w:t>ПРЕДВАРИТЕЛНИ</w:t>
      </w:r>
      <w:r>
        <w:rPr>
          <w:b/>
          <w:bCs/>
          <w:noProof/>
          <w:szCs w:val="18"/>
          <w:lang w:val="en-GB"/>
        </w:rPr>
        <w:t xml:space="preserve"> </w:t>
      </w:r>
      <w:r>
        <w:rPr>
          <w:b/>
          <w:bCs/>
          <w:noProof/>
          <w:szCs w:val="18"/>
        </w:rPr>
        <w:t>РЕШЕНИЯ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21"/>
      </w:tblGrid>
      <w:tr>
        <w:trPr>
          <w:cantSplit/>
        </w:trPr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12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Издадени ли са предварителни решения за произход на стоката</w:t>
            </w:r>
            <w:r>
              <w:rPr>
                <w:rStyle w:val="FootnoteReference"/>
                <w:b/>
                <w:noProof/>
                <w:sz w:val="16"/>
                <w:szCs w:val="16"/>
              </w:rPr>
              <w:footnoteReference w:id="3"/>
            </w:r>
            <w:r>
              <w:rPr>
                <w:b/>
                <w:noProof/>
                <w:sz w:val="16"/>
                <w:szCs w:val="16"/>
              </w:rPr>
              <w:t xml:space="preserve">? </w:t>
            </w: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27" w:type="pct"/>
              <w:tblLook w:val="04A0" w:firstRow="1" w:lastRow="0" w:firstColumn="1" w:lastColumn="0" w:noHBand="0" w:noVBand="1"/>
            </w:tblPr>
            <w:tblGrid>
              <w:gridCol w:w="359"/>
              <w:gridCol w:w="2002"/>
              <w:gridCol w:w="359"/>
              <w:gridCol w:w="2010"/>
            </w:tblGrid>
            <w:tr>
              <w:trPr>
                <w:cantSplit/>
              </w:trPr>
              <w:tc>
                <w:tcPr>
                  <w:tcW w:w="197" w:type="pct"/>
                </w:tcPr>
                <w:p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1180" w:type="pct"/>
                </w:tcPr>
                <w:p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197" w:type="pct"/>
                </w:tcPr>
                <w:p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1184" w:type="pct"/>
                </w:tcPr>
                <w:p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t>Не</w:t>
                  </w:r>
                </w:p>
              </w:tc>
            </w:tr>
          </w:tbl>
          <w:p>
            <w:pPr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12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Орган, отговарящ за издаването на предварителни решения (относно произхода)</w:t>
            </w: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12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Инструкции за заявлението за предварително решение</w:t>
            </w: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12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Интернет връзка към нормативни актове и други обяснителни документи от значение:</w:t>
            </w: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noProof/>
                <w:sz w:val="16"/>
                <w:szCs w:val="16"/>
              </w:rPr>
            </w:pPr>
          </w:p>
        </w:tc>
      </w:tr>
    </w:tbl>
    <w:p>
      <w:pPr>
        <w:spacing w:after="240"/>
        <w:rPr>
          <w:noProof/>
          <w:szCs w:val="18"/>
        </w:rPr>
      </w:pPr>
    </w:p>
    <w:p>
      <w:pPr>
        <w:spacing w:after="240"/>
        <w:rPr>
          <w:rFonts w:eastAsia="Calibri" w:cs="Times New Roman"/>
          <w:b/>
          <w:noProof/>
          <w:szCs w:val="18"/>
        </w:rPr>
      </w:pPr>
      <w:r>
        <w:rPr>
          <w:noProof/>
        </w:rPr>
        <w:br w:type="page"/>
      </w:r>
    </w:p>
    <w:p>
      <w:pPr>
        <w:pStyle w:val="Title"/>
        <w:rPr>
          <w:noProof/>
          <w:color w:val="auto"/>
        </w:rPr>
      </w:pPr>
      <w:r>
        <w:rPr>
          <w:noProof/>
          <w:color w:val="auto"/>
        </w:rPr>
        <w:t>ПРИЛОЖЕНИЕ 2</w:t>
      </w:r>
    </w:p>
    <w:p>
      <w:pPr>
        <w:pStyle w:val="Title2"/>
        <w:spacing w:after="0"/>
        <w:rPr>
          <w:noProof/>
          <w:color w:val="auto"/>
        </w:rPr>
      </w:pPr>
      <w:r>
        <w:rPr>
          <w:noProof/>
          <w:color w:val="auto"/>
        </w:rPr>
        <w:t>ОБРАЗЕЦ НА НОТИФИКАЦИЯ ЗА ИЗИСКВАНИЯТА КЪМ ДОКУМЕНТИТЕ, СВЪРЗАНИ С</w:t>
      </w:r>
      <w:r>
        <w:rPr>
          <w:noProof/>
          <w:color w:val="auto"/>
        </w:rPr>
        <w:tab/>
      </w:r>
    </w:p>
    <w:p>
      <w:pPr>
        <w:pStyle w:val="Title2"/>
        <w:spacing w:after="240"/>
        <w:rPr>
          <w:noProof/>
          <w:color w:val="auto"/>
        </w:rPr>
      </w:pPr>
      <w:r>
        <w:rPr>
          <w:noProof/>
          <w:color w:val="auto"/>
        </w:rPr>
        <w:t>НЕПРЕФЕРЕНЦИАЛНИТЕ ПРАВИЛА ЗА ПРОИЗХОД</w:t>
      </w:r>
    </w:p>
    <w:tbl>
      <w:tblPr>
        <w:tblW w:w="5012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228"/>
        <w:gridCol w:w="391"/>
        <w:gridCol w:w="789"/>
        <w:gridCol w:w="369"/>
        <w:gridCol w:w="2683"/>
      </w:tblGrid>
      <w:tr>
        <w:trPr>
          <w:cantSplit/>
        </w:trPr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8"/>
              </w:numPr>
              <w:spacing w:after="120"/>
              <w:ind w:left="285" w:hanging="263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Задължителни изисквания за сертификати и/или други задължителни документни доказателства за произход при внос?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  <w:p>
            <w:pPr>
              <w:spacing w:after="120"/>
              <w:ind w:left="285" w:hanging="263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ind w:left="285" w:hanging="263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Да</w:t>
            </w:r>
          </w:p>
        </w:tc>
        <w:tc>
          <w:tcPr>
            <w:tcW w:w="19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448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Не**</w:t>
            </w:r>
          </w:p>
          <w:p>
            <w:pPr>
              <w:spacing w:after="120"/>
              <w:rPr>
                <w:noProof/>
                <w:color w:val="000000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3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8"/>
              </w:numPr>
              <w:spacing w:after="120"/>
              <w:ind w:left="285" w:hanging="263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Задължителни изисквания за сертификати и/или други задължителни документни доказателства за произход при износ?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spacing w:after="120"/>
              <w:ind w:left="285" w:hanging="263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Да</w:t>
            </w:r>
          </w:p>
          <w:p>
            <w:pPr>
              <w:spacing w:after="120"/>
              <w:ind w:left="285" w:hanging="263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after="1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sym w:font="Wingdings" w:char="F06F"/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>
            <w:pPr>
              <w:spacing w:after="1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Не**</w:t>
            </w:r>
          </w:p>
        </w:tc>
      </w:tr>
      <w:tr>
        <w:trPr>
          <w:cantSplit/>
        </w:trPr>
        <w:tc>
          <w:tcPr>
            <w:tcW w:w="43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left="285" w:hanging="263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2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numPr>
                <w:ilvl w:val="0"/>
                <w:numId w:val="18"/>
              </w:numPr>
              <w:spacing w:after="120"/>
              <w:ind w:left="285" w:hanging="263"/>
              <w:contextualSpacing w:val="0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Има ли стандартизиран или установен формат и/или съдържание на сертификата и/или другите задължителни документни доказателства за произход?</w:t>
            </w:r>
          </w:p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Ако отговорът е „да“, моля, приложете копие или представете съответната информация в допълнението към настоящото приложение. 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 Да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t></w:t>
            </w:r>
            <w:r>
              <w:rPr>
                <w:noProof/>
                <w:sz w:val="16"/>
                <w:szCs w:val="16"/>
              </w:rPr>
              <w:tab/>
              <w:t>Не</w:t>
            </w:r>
          </w:p>
          <w:p>
            <w:pPr>
              <w:spacing w:after="120"/>
              <w:ind w:left="22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** Ако отговорът Ви на въпроси 1 и 2 е „Не“, следващите въпроси от приложението не е необходимо да се попълват.</w:t>
            </w:r>
          </w:p>
        </w:tc>
      </w:tr>
      <w:tr>
        <w:trPr>
          <w:cantSplit/>
        </w:trPr>
        <w:tc>
          <w:tcPr>
            <w:tcW w:w="4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numPr>
                <w:ilvl w:val="0"/>
                <w:numId w:val="18"/>
              </w:numPr>
              <w:spacing w:after="120"/>
              <w:ind w:left="285" w:hanging="263"/>
              <w:contextualSpacing w:val="0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Само ако се изисква при специфични обстоятелства, моля, опишете случаите, за които се изисква сертификат (или други задължителни документни доказателства за произход), както и съответния формат (установената форма или друго).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ind w:left="285" w:hanging="263"/>
              <w:rPr>
                <w:i/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8"/>
              </w:numPr>
              <w:spacing w:after="120"/>
              <w:ind w:left="285" w:hanging="263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Ако задължителните изисквания за сертификат и/или други задължителни документни доказателства за произход се отнасят само за някои продукти, моля, посочете съответните глави по ХС и съответния формат (установената форма или друго).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8"/>
              </w:numPr>
              <w:spacing w:after="120"/>
              <w:ind w:left="285" w:hanging="263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Освобождаване от задължителните изисквания за представяне на сертификат и/или други задължителни документни доказателства за произход (например пратки с ниска стойност, пощенски пратки и т.н.)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4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8"/>
              </w:numPr>
              <w:spacing w:after="120"/>
              <w:ind w:left="285" w:hanging="263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Правителствени или неправителствени органи, отговарящи за издаването на сертификат и/или други задължителни документни доказателства за произход, ако има такива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</w:p>
        </w:tc>
      </w:tr>
      <w:tr>
        <w:trPr>
          <w:cantSplit/>
          <w:trHeight w:val="591"/>
        </w:trPr>
        <w:tc>
          <w:tcPr>
            <w:tcW w:w="4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pStyle w:val="ListParagraph"/>
              <w:numPr>
                <w:ilvl w:val="0"/>
                <w:numId w:val="18"/>
              </w:numPr>
              <w:spacing w:after="120"/>
              <w:ind w:left="285" w:hanging="263"/>
              <w:contextualSpacing w:val="0"/>
              <w:rPr>
                <w:b/>
                <w:iCs/>
                <w:noProof/>
                <w:sz w:val="16"/>
                <w:szCs w:val="16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after="120"/>
              <w:ind w:firstLine="22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Моля, посочете съответните препратки към нормативни актове, свързани с въпроси 1 — 7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120"/>
              <w:ind w:left="285" w:hanging="263"/>
              <w:rPr>
                <w:noProof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b/>
          <w:noProof/>
          <w:szCs w:val="18"/>
        </w:rPr>
      </w:pPr>
    </w:p>
    <w:p>
      <w:pPr>
        <w:pStyle w:val="Title"/>
        <w:spacing w:before="0"/>
        <w:rPr>
          <w:noProof/>
          <w:color w:val="auto"/>
        </w:rPr>
      </w:pPr>
      <w:r>
        <w:rPr>
          <w:noProof/>
          <w:color w:val="auto"/>
        </w:rPr>
        <w:t>ПРИЛОЖЕНИЕ 2 — ДОПЪЛНЕНИЕ</w:t>
      </w:r>
    </w:p>
    <w:p>
      <w:pPr>
        <w:autoSpaceDE w:val="0"/>
        <w:autoSpaceDN w:val="0"/>
        <w:adjustRightInd w:val="0"/>
        <w:spacing w:after="240"/>
        <w:rPr>
          <w:noProof/>
          <w:szCs w:val="18"/>
        </w:rPr>
      </w:pPr>
      <w:r>
        <w:rPr>
          <w:noProof/>
        </w:rPr>
        <w:t xml:space="preserve">Моля, приложете установената форма и/или интернет връзката към установената форма на сертификата за произход (или другите задължителни документни доказателства за произход), ако е приложимо. </w:t>
      </w:r>
    </w:p>
    <w:p>
      <w:pPr>
        <w:jc w:val="center"/>
        <w:rPr>
          <w:noProof/>
          <w:szCs w:val="18"/>
        </w:rPr>
      </w:pPr>
      <w:r>
        <w:rPr>
          <w:b/>
          <w:noProof/>
          <w:szCs w:val="18"/>
        </w:rPr>
        <w:t>__________</w:t>
      </w: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Sect"/>
      </w:footnotePr>
      <w:type w:val="continuous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9352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8967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83464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0094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Това не засяга другите доказателства за произход, които могат да бъдат изисквани от компетентните органи за контролни цели.</w:t>
      </w:r>
    </w:p>
  </w:footnote>
  <w:footnote w:id="2">
    <w:p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Този информационен център може да бъде същия, както установения или поддържания по силата на член 1.3 (</w:t>
      </w:r>
      <w:r>
        <w:rPr>
          <w:i/>
          <w:iCs/>
        </w:rPr>
        <w:t>Информационни центрове</w:t>
      </w:r>
      <w:r>
        <w:t>) от Споразумението за улесняване на търговията, а членовете не са длъжни да предоставят повече информация или повече формуляри и документи, отколкото се изискват в Споразумението за улесняване на търговията.</w:t>
      </w:r>
    </w:p>
  </w:footnote>
  <w:footnote w:id="3">
    <w:p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Съгласно определението в член 2, буква з) от Споразумението за правилата за произход и в член 3 от Споразумението за улесняване на търговията.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G/RO/W/182</w:t>
    </w:r>
  </w:p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>
    <w:pPr>
      <w:pStyle w:val="Header"/>
      <w:tabs>
        <w:tab w:val="clear" w:pos="4513"/>
        <w:tab w:val="clear" w:pos="9027"/>
      </w:tabs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13"/>
        <w:tab w:val="clear" w:pos="9027"/>
      </w:tabs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>
          <w:pPr>
            <w:jc w:val="right"/>
            <w:rPr>
              <w:b/>
              <w:color w:val="FF0000"/>
              <w:szCs w:val="16"/>
            </w:rPr>
          </w:pPr>
        </w:p>
      </w:tc>
    </w:tr>
    <w:tr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>
          <w:pPr>
            <w:jc w:val="lef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2398395" cy="716280"/>
                <wp:effectExtent l="0" t="0" r="1905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>
          <w:pPr>
            <w:jc w:val="right"/>
            <w:rPr>
              <w:b/>
              <w:szCs w:val="16"/>
            </w:rPr>
          </w:pPr>
        </w:p>
      </w:tc>
    </w:tr>
    <w:tr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G/RO/W/182/Rev.1</w:t>
          </w:r>
        </w:p>
        <w:p>
          <w:pPr>
            <w:jc w:val="right"/>
            <w:rPr>
              <w:b/>
              <w:szCs w:val="16"/>
            </w:rPr>
          </w:pPr>
        </w:p>
      </w:tc>
    </w:tr>
    <w:tr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>
          <w:pPr>
            <w:jc w:val="right"/>
            <w:rPr>
              <w:szCs w:val="16"/>
            </w:rPr>
          </w:pPr>
          <w:r>
            <w:t>3 май 2019 г.</w:t>
          </w:r>
        </w:p>
      </w:tc>
    </w:tr>
    <w:tr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>
          <w:pPr>
            <w:jc w:val="left"/>
            <w:rPr>
              <w:b/>
            </w:rPr>
          </w:pPr>
          <w:r>
            <w:rPr>
              <w:color w:val="FF0000"/>
              <w:szCs w:val="16"/>
            </w:rPr>
            <w:t>(19-0268)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>
          <w:pPr>
            <w:jc w:val="right"/>
            <w:rPr>
              <w:szCs w:val="16"/>
            </w:rPr>
          </w:pPr>
          <w:r>
            <w:t xml:space="preserve">стр.: </w:t>
          </w:r>
          <w:r>
            <w:rPr>
              <w:bCs/>
              <w:szCs w:val="16"/>
            </w:rPr>
            <w:fldChar w:fldCharType="begin"/>
          </w:r>
          <w:r>
            <w:rPr>
              <w:bCs/>
              <w:szCs w:val="16"/>
            </w:rPr>
            <w:instrText xml:space="preserve"> PAGE  \* Arabic  \* MERGEFORMAT </w:instrText>
          </w:r>
          <w:r>
            <w:rPr>
              <w:bCs/>
              <w:szCs w:val="16"/>
            </w:rPr>
            <w:fldChar w:fldCharType="separate"/>
          </w:r>
          <w:r>
            <w:rPr>
              <w:bCs/>
              <w:szCs w:val="16"/>
            </w:rPr>
            <w:t>2</w:t>
          </w:r>
          <w:r>
            <w:rPr>
              <w:bCs/>
              <w:szCs w:val="16"/>
            </w:rPr>
            <w:fldChar w:fldCharType="end"/>
          </w:r>
          <w:r>
            <w:t>/</w:t>
          </w:r>
          <w:r>
            <w:rPr>
              <w:bCs/>
              <w:szCs w:val="16"/>
            </w:rPr>
            <w:fldChar w:fldCharType="begin"/>
          </w:r>
          <w:r>
            <w:rPr>
              <w:bCs/>
              <w:szCs w:val="16"/>
            </w:rPr>
            <w:instrText xml:space="preserve"> NUMPAGES  \* Arabic  \* MERGEFORMAT </w:instrText>
          </w:r>
          <w:r>
            <w:rPr>
              <w:bCs/>
              <w:szCs w:val="16"/>
            </w:rPr>
            <w:fldChar w:fldCharType="separate"/>
          </w:r>
          <w:r>
            <w:rPr>
              <w:bCs/>
              <w:szCs w:val="16"/>
            </w:rPr>
            <w:t>5</w:t>
          </w:r>
          <w:r>
            <w:rPr>
              <w:bCs/>
              <w:szCs w:val="16"/>
            </w:rPr>
            <w:fldChar w:fldCharType="end"/>
          </w:r>
        </w:p>
      </w:tc>
    </w:tr>
    <w:tr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>
          <w:pPr>
            <w:jc w:val="left"/>
            <w:rPr>
              <w:sz w:val="14"/>
              <w:szCs w:val="16"/>
            </w:rPr>
          </w:pPr>
          <w:r>
            <w:rPr>
              <w:b/>
            </w:rPr>
            <w:t>Комитет по правилата за произход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>
          <w:pPr>
            <w:jc w:val="right"/>
            <w:rPr>
              <w:bCs/>
              <w:szCs w:val="18"/>
            </w:rPr>
          </w:pPr>
          <w:r>
            <w:t>Оригинал: английски език</w:t>
          </w:r>
        </w:p>
      </w:tc>
    </w:tr>
  </w:tbl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G/RO/W/182</w:t>
    </w:r>
  </w:p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>
    <w:pPr>
      <w:pStyle w:val="Header"/>
      <w:tabs>
        <w:tab w:val="clear" w:pos="4513"/>
        <w:tab w:val="clear" w:pos="9027"/>
      </w:tabs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13"/>
        <w:tab w:val="clear" w:pos="9027"/>
      </w:tabs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G/RO/W/182</w:t>
    </w:r>
  </w:p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>
    <w:pPr>
      <w:pStyle w:val="Header"/>
      <w:tabs>
        <w:tab w:val="clear" w:pos="4513"/>
        <w:tab w:val="clear" w:pos="9027"/>
      </w:tabs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13"/>
        <w:tab w:val="clear" w:pos="9027"/>
      </w:tabs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>
          <w:pPr>
            <w:jc w:val="right"/>
            <w:rPr>
              <w:b/>
              <w:color w:val="FF0000"/>
              <w:szCs w:val="16"/>
            </w:rPr>
          </w:pPr>
        </w:p>
      </w:tc>
    </w:tr>
    <w:tr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>
          <w:pPr>
            <w:jc w:val="lef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2398395" cy="716280"/>
                <wp:effectExtent l="0" t="0" r="1905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>
          <w:pPr>
            <w:jc w:val="right"/>
            <w:rPr>
              <w:b/>
              <w:szCs w:val="16"/>
            </w:rPr>
          </w:pPr>
        </w:p>
      </w:tc>
    </w:tr>
    <w:tr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G/RO/W/182/Rev.1</w:t>
          </w:r>
        </w:p>
        <w:p>
          <w:pPr>
            <w:jc w:val="right"/>
            <w:rPr>
              <w:b/>
              <w:szCs w:val="16"/>
            </w:rPr>
          </w:pPr>
        </w:p>
      </w:tc>
    </w:tr>
    <w:tr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>
          <w:pPr>
            <w:jc w:val="right"/>
            <w:rPr>
              <w:szCs w:val="16"/>
            </w:rPr>
          </w:pPr>
          <w:r>
            <w:t>3 май 2019 г.</w:t>
          </w:r>
        </w:p>
      </w:tc>
    </w:tr>
    <w:tr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>
          <w:pPr>
            <w:jc w:val="left"/>
            <w:rPr>
              <w:b/>
            </w:rPr>
          </w:pPr>
          <w:r>
            <w:rPr>
              <w:color w:val="FF0000"/>
              <w:szCs w:val="16"/>
            </w:rPr>
            <w:t>(19-0268)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>
          <w:pPr>
            <w:jc w:val="right"/>
            <w:rPr>
              <w:szCs w:val="16"/>
            </w:rPr>
          </w:pPr>
          <w:r>
            <w:t xml:space="preserve">стр.: </w:t>
          </w:r>
          <w:r>
            <w:rPr>
              <w:bCs/>
              <w:szCs w:val="16"/>
            </w:rPr>
            <w:fldChar w:fldCharType="begin"/>
          </w:r>
          <w:r>
            <w:rPr>
              <w:bCs/>
              <w:szCs w:val="16"/>
            </w:rPr>
            <w:instrText xml:space="preserve"> PAGE  \* Arabic  \* MERGEFORMAT </w:instrText>
          </w:r>
          <w:r>
            <w:rPr>
              <w:bCs/>
              <w:szCs w:val="16"/>
            </w:rPr>
            <w:fldChar w:fldCharType="separate"/>
          </w:r>
          <w:r>
            <w:rPr>
              <w:bCs/>
              <w:szCs w:val="16"/>
            </w:rPr>
            <w:t>2</w:t>
          </w:r>
          <w:r>
            <w:rPr>
              <w:bCs/>
              <w:szCs w:val="16"/>
            </w:rPr>
            <w:fldChar w:fldCharType="end"/>
          </w:r>
          <w:r>
            <w:t>/</w:t>
          </w:r>
          <w:r>
            <w:rPr>
              <w:bCs/>
              <w:szCs w:val="16"/>
            </w:rPr>
            <w:fldChar w:fldCharType="begin"/>
          </w:r>
          <w:r>
            <w:rPr>
              <w:bCs/>
              <w:szCs w:val="16"/>
            </w:rPr>
            <w:instrText xml:space="preserve"> NUMPAGES  \* Arabic  \* MERGEFORMAT </w:instrText>
          </w:r>
          <w:r>
            <w:rPr>
              <w:bCs/>
              <w:szCs w:val="16"/>
            </w:rPr>
            <w:fldChar w:fldCharType="separate"/>
          </w:r>
          <w:r>
            <w:rPr>
              <w:bCs/>
              <w:szCs w:val="16"/>
            </w:rPr>
            <w:t>5</w:t>
          </w:r>
          <w:r>
            <w:rPr>
              <w:bCs/>
              <w:szCs w:val="16"/>
            </w:rPr>
            <w:fldChar w:fldCharType="end"/>
          </w:r>
        </w:p>
      </w:tc>
    </w:tr>
    <w:tr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>
          <w:pPr>
            <w:jc w:val="left"/>
            <w:rPr>
              <w:sz w:val="14"/>
              <w:szCs w:val="16"/>
            </w:rPr>
          </w:pPr>
          <w:r>
            <w:rPr>
              <w:b/>
            </w:rPr>
            <w:t>Комитет по правилата за произход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>
          <w:pPr>
            <w:jc w:val="right"/>
            <w:rPr>
              <w:bCs/>
              <w:szCs w:val="18"/>
            </w:rPr>
          </w:pPr>
          <w:r>
            <w:t>Оригинал: английски език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157790"/>
    <w:multiLevelType w:val="hybridMultilevel"/>
    <w:tmpl w:val="41302EDC"/>
    <w:lvl w:ilvl="0" w:tplc="042C45C4">
      <w:start w:val="1"/>
      <w:numFmt w:val="decimal"/>
      <w:lvlText w:val="%1)"/>
      <w:lvlJc w:val="left"/>
      <w:pPr>
        <w:ind w:left="644" w:hanging="360"/>
      </w:pPr>
      <w:rPr>
        <w:sz w:val="14"/>
        <w:lang w:val="en-GB"/>
      </w:rPr>
    </w:lvl>
    <w:lvl w:ilvl="1" w:tplc="3C1C6AAC">
      <w:numFmt w:val="bullet"/>
      <w:lvlText w:val="-"/>
      <w:lvlJc w:val="left"/>
      <w:pPr>
        <w:ind w:left="1224" w:hanging="570"/>
      </w:pPr>
      <w:rPr>
        <w:rFonts w:ascii="Verdana" w:eastAsia="Calibri" w:hAnsi="Verdana" w:cs="Times New Roman" w:hint="default"/>
      </w:r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05D4F8A"/>
    <w:multiLevelType w:val="hybridMultilevel"/>
    <w:tmpl w:val="51A20330"/>
    <w:lvl w:ilvl="0" w:tplc="B63CB354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14"/>
      </w:rPr>
    </w:lvl>
    <w:lvl w:ilvl="1" w:tplc="3C1C6AAC">
      <w:numFmt w:val="bullet"/>
      <w:lvlText w:val="-"/>
      <w:lvlJc w:val="left"/>
      <w:pPr>
        <w:ind w:left="1508" w:hanging="570"/>
      </w:pPr>
      <w:rPr>
        <w:rFonts w:ascii="Verdana" w:eastAsia="Calibri" w:hAnsi="Verdana" w:cs="Times New Roman"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075A666C"/>
    <w:numStyleLink w:val="LegalHeadings"/>
  </w:abstractNum>
  <w:abstractNum w:abstractNumId="14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1E5177"/>
    <w:multiLevelType w:val="hybridMultilevel"/>
    <w:tmpl w:val="E57A0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revisionView w:markup="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262C7CD-E504-4CC5-AD2E-DFC9DDB566FA"/>
    <w:docVar w:name="LW_COVERPAGE_TYPE" w:val="1"/>
    <w:docVar w:name="LW_CROSSREFERENCE" w:val="&lt;UNUSED&gt;"/>
    <w:docVar w:name="LW_DocType" w:val="WTODOCE2012"/>
    <w:docVar w:name="LW_EMISSION" w:val="20.9.2019"/>
    <w:docVar w:name="LW_EMISSION_ISODATE" w:val="2019-09-20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57?\u1098?\u1102?\u1079?\u1072? \u1074? \u1088?\u1072?\u1084?\u1082?\u1080?\u1090?\u1077? \u1085?\u1072? \u1050?\u1086?\u1084?\u1080?\u1090?\u1077?\u1090?\u1072? \u1087?\u1086? \u1087?\u1088?\u1072?\u1074?\u1080?\u1083?\u1072?\u1090?\u1072? \u1079?\u1072? \u1087?\u1088?\u1086?\u1080?\u1079?\u1093?\u1086?\u1076?, \u1089?\u1098?\u1079?\u1076?\u1072?\u1076?\u1077?\u1085? \u1089?\u1098?\u1075?\u1083?\u1072?\u1089?\u1085?\u1086? \u1057?\u1087?\u1086?\u1088?\u1072?\u1079?\u1091?\u1084?\u1077?\u1085?\u1080?\u1077?\u1090?\u1086? \u1079?\u1072? \u1087?\u1088?\u1072?\u1074?\u1080?\u1083?\u1072?\u1090?\u1072? \u1079?\u1072? \u1087?\u1088?\u1086?\u1080?\u1079?\u1093?\u1086?\u1076? (\u1057?\u1058?\u1054? \u8212? \u1043?\u1040?\u1058?\u1058? \u1086?\u1090? 1994 \u1075?.), \u1087?\u1088?\u1080?\u1083?\u1086?\u1078?\u1077?\u1085?\u1086? \u1082?\u1098?\u1084? \u1079?\u1072?\u1082?\u1083?\u1102?\u1095?\u1080?\u1090?\u1077?\u1083?\u1085?\u1080?\u1103? \u1072?\u1082?\u1090?, \u1087?\u1086?\u1076?\u1087?\u1080?\u1089?\u1072?\u1085? \u1074? \u1052?\u1072?\u1088?\u1072?\u1082?\u1077?\u1096? \u1085?\u1072? 15 \u1072?\u1087?\u1088?\u1080?\u1083? 1994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9) 42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pPr>
      <w:numPr>
        <w:numId w:val="6"/>
      </w:numPr>
    </w:pPr>
  </w:style>
  <w:style w:type="paragraph" w:styleId="ListBullet">
    <w:name w:val="List Bullet"/>
    <w:basedOn w:val="Normal"/>
    <w:uiPriority w:val="1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Pr>
      <w:szCs w:val="20"/>
    </w:rPr>
  </w:style>
  <w:style w:type="character" w:customStyle="1" w:styleId="EndnoteTextChar">
    <w:name w:val="Endnote Text Char"/>
    <w:link w:val="EndnoteText"/>
    <w:uiPriority w:val="9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pPr>
      <w:ind w:left="567" w:right="567" w:firstLine="0"/>
    </w:pPr>
  </w:style>
  <w:style w:type="character" w:styleId="FootnoteReference">
    <w:name w:val="footnote reference"/>
    <w:uiPriority w:val="5"/>
    <w:rPr>
      <w:vertAlign w:val="superscript"/>
    </w:rPr>
  </w:style>
  <w:style w:type="paragraph" w:styleId="Header">
    <w:name w:val="header"/>
    <w:basedOn w:val="Normal"/>
    <w:link w:val="HeaderChar"/>
    <w:uiPriority w:val="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pPr>
      <w:ind w:left="720"/>
      <w:contextualSpacing/>
    </w:pPr>
  </w:style>
  <w:style w:type="table" w:customStyle="1" w:styleId="WTOBox1">
    <w:name w:val="WTOBox1"/>
    <w:basedOn w:val="TableNormal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/>
      <w:sz w:val="1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Theme="majorEastAsia" w:hAnsi="Times New Roman" w:cs="Times New Roman"/>
      <w:b w:val="0"/>
      <w:caps w:val="0"/>
      <w:color w:val="006283"/>
      <w:kern w:val="28"/>
      <w:sz w:val="24"/>
      <w:szCs w:val="5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Theme="majorEastAsia" w:hAnsi="Times New Roman" w:cs="Times New Roman"/>
      <w:b/>
      <w:caps w:val="0"/>
      <w:color w:val="006283"/>
      <w:kern w:val="28"/>
      <w:sz w:val="32"/>
      <w:szCs w:val="5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Theme="majorEastAsia" w:hAnsi="Times New Roman" w:cs="Times New Roman"/>
      <w:b w:val="0"/>
      <w:caps w:val="0"/>
      <w:color w:val="006283"/>
      <w:kern w:val="28"/>
      <w:sz w:val="24"/>
      <w:szCs w:val="5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Theme="majorEastAsia" w:hAnsi="Times New Roman" w:cs="Times New Roman"/>
      <w:b/>
      <w:caps w:val="0"/>
      <w:color w:val="006283"/>
      <w:kern w:val="28"/>
      <w:sz w:val="32"/>
      <w:szCs w:val="5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Theme="majorEastAsia" w:hAnsi="Times New Roman" w:cs="Times New Roman"/>
      <w:b w:val="0"/>
      <w:caps w:val="0"/>
      <w:color w:val="006283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pPr>
      <w:numPr>
        <w:numId w:val="6"/>
      </w:numPr>
    </w:pPr>
  </w:style>
  <w:style w:type="paragraph" w:styleId="ListBullet">
    <w:name w:val="List Bullet"/>
    <w:basedOn w:val="Normal"/>
    <w:uiPriority w:val="1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Pr>
      <w:szCs w:val="20"/>
    </w:rPr>
  </w:style>
  <w:style w:type="character" w:customStyle="1" w:styleId="EndnoteTextChar">
    <w:name w:val="Endnote Text Char"/>
    <w:link w:val="EndnoteText"/>
    <w:uiPriority w:val="9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pPr>
      <w:ind w:left="567" w:right="567" w:firstLine="0"/>
    </w:pPr>
  </w:style>
  <w:style w:type="character" w:styleId="FootnoteReference">
    <w:name w:val="footnote reference"/>
    <w:uiPriority w:val="5"/>
    <w:rPr>
      <w:vertAlign w:val="superscript"/>
    </w:rPr>
  </w:style>
  <w:style w:type="paragraph" w:styleId="Header">
    <w:name w:val="header"/>
    <w:basedOn w:val="Normal"/>
    <w:link w:val="HeaderChar"/>
    <w:uiPriority w:val="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pPr>
      <w:ind w:left="720"/>
      <w:contextualSpacing/>
    </w:pPr>
  </w:style>
  <w:style w:type="table" w:customStyle="1" w:styleId="WTOBox1">
    <w:name w:val="WTOBox1"/>
    <w:basedOn w:val="TableNormal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/>
      <w:sz w:val="1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Theme="majorEastAsia" w:hAnsi="Times New Roman" w:cs="Times New Roman"/>
      <w:b w:val="0"/>
      <w:caps w:val="0"/>
      <w:color w:val="006283"/>
      <w:kern w:val="28"/>
      <w:sz w:val="24"/>
      <w:szCs w:val="5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Theme="majorEastAsia" w:hAnsi="Times New Roman" w:cs="Times New Roman"/>
      <w:b/>
      <w:caps w:val="0"/>
      <w:color w:val="006283"/>
      <w:kern w:val="28"/>
      <w:sz w:val="32"/>
      <w:szCs w:val="5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Theme="majorEastAsia" w:hAnsi="Times New Roman" w:cs="Times New Roman"/>
      <w:b w:val="0"/>
      <w:caps w:val="0"/>
      <w:color w:val="006283"/>
      <w:kern w:val="28"/>
      <w:sz w:val="24"/>
      <w:szCs w:val="5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Theme="majorEastAsia" w:hAnsi="Times New Roman" w:cs="Times New Roman"/>
      <w:b/>
      <w:caps w:val="0"/>
      <w:color w:val="006283"/>
      <w:kern w:val="28"/>
      <w:sz w:val="32"/>
      <w:szCs w:val="5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Theme="majorEastAsia" w:hAnsi="Times New Roman" w:cs="Times New Roman"/>
      <w:b w:val="0"/>
      <w:caps w:val="0"/>
      <w:color w:val="006283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1C97-A780-4D1B-9348-0B231544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7860</Characters>
  <Application>Microsoft Office Word</Application>
  <DocSecurity>0</DocSecurity>
  <Lines>302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2019-01-17T08:48:00Z</cp:lastPrinted>
  <dcterms:created xsi:type="dcterms:W3CDTF">2019-05-03T07:51:00Z</dcterms:created>
  <dcterms:modified xsi:type="dcterms:W3CDTF">2019-09-19T08:44:00Z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G/RO/W/182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DocStatus">
    <vt:lpwstr>Green</vt:lpwstr>
  </property>
  <property fmtid="{D5CDD505-2E9C-101B-9397-08002B2CF9AE}" pid="10" name="CPTemplateID">
    <vt:lpwstr>CP-036</vt:lpwstr>
  </property>
  <property fmtid="{D5CDD505-2E9C-101B-9397-08002B2CF9AE}" pid="11" name="Last edited using">
    <vt:lpwstr>LW 7.0, Build 20190717</vt:lpwstr>
  </property>
  <property fmtid="{D5CDD505-2E9C-101B-9397-08002B2CF9AE}" pid="12" name="Created using">
    <vt:lpwstr>LW 7.0, Build 20190717</vt:lpwstr>
  </property>
</Properties>
</file>