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6E580A0-C6B9-4C85-A802-3C47E0E498CC"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Committee on Rules of Origin set up by the Agreement on Rules of Origin (WTO-GATT 1994) annexed to the final act signed in Marrakech on 15 April 1994,</w:t>
      </w:r>
      <w:r>
        <w:t xml:space="preserve"> </w:t>
      </w:r>
      <w:r>
        <w:rPr>
          <w:rFonts w:eastAsia="Arial Unicode MS"/>
          <w:noProof/>
        </w:rPr>
        <w:t>in connection with the envisaged adoption of a communication on enhancing transparency in non-preferential rules of origin.</w:t>
      </w:r>
    </w:p>
    <w:p>
      <w:pPr>
        <w:pStyle w:val="ManualHeading1"/>
        <w:rPr>
          <w:noProof/>
        </w:rPr>
      </w:pPr>
      <w:r>
        <w:t>2.</w:t>
      </w:r>
      <w:r>
        <w:tab/>
      </w:r>
      <w:r>
        <w:rPr>
          <w:noProof/>
        </w:rPr>
        <w:t>Context of the proposal</w:t>
      </w:r>
    </w:p>
    <w:p>
      <w:pPr>
        <w:pStyle w:val="ManualHeading2"/>
        <w:rPr>
          <w:noProof/>
        </w:rPr>
      </w:pPr>
      <w:r>
        <w:t>2.1.</w:t>
      </w:r>
      <w:r>
        <w:tab/>
      </w:r>
      <w:r>
        <w:rPr>
          <w:noProof/>
        </w:rPr>
        <w:t>The Agreement on Rules of Origin</w:t>
      </w:r>
    </w:p>
    <w:p>
      <w:pPr>
        <w:rPr>
          <w:rFonts w:eastAsia="Arial Unicode MS"/>
          <w:noProof/>
        </w:rPr>
      </w:pPr>
      <w:r>
        <w:rPr>
          <w:rFonts w:eastAsia="Arial Unicode MS"/>
          <w:noProof/>
        </w:rPr>
        <w:t>The Agreement on Rules of Origin (WTO-GATT 1994) annexed to the final act signed in Marrakech on 15 April 1994 (‘the Agreement’) aims to ensure that non-preferential rules of origin do not themselves create unnecessary obstacles to trade and aims to harmonise at international level rules of origin, other than rules of origin relating to the granting of tariff preferences.</w:t>
      </w:r>
      <w:r>
        <w:rPr>
          <w:noProof/>
        </w:rPr>
        <w:t xml:space="preserve"> </w:t>
      </w:r>
      <w:r>
        <w:rPr>
          <w:rFonts w:eastAsia="Arial Unicode MS"/>
          <w:noProof/>
        </w:rPr>
        <w:t>Until the completion of the harmonisation programme, contracting parties are to ensure that their rules of origin are transparent; that they do not have restricting, distorting or disruptive effects on international trade; that they are administered in a consistent, uniform, impartial and reasonable manner, and that they are based on a positive standard. The Agreement entered into force on 1 January 1995.</w:t>
      </w:r>
    </w:p>
    <w:p>
      <w:pPr>
        <w:rPr>
          <w:rFonts w:eastAsia="Arial Unicode MS"/>
          <w:noProof/>
        </w:rPr>
      </w:pPr>
      <w:r>
        <w:rPr>
          <w:rFonts w:eastAsia="Arial Unicode MS"/>
          <w:noProof/>
        </w:rPr>
        <w:t>The European Union is a party to the Agreement</w:t>
      </w:r>
      <w:r>
        <w:rPr>
          <w:rStyle w:val="FootnoteReference"/>
          <w:rFonts w:eastAsia="Arial Unicode MS"/>
          <w:noProof/>
        </w:rPr>
        <w:footnoteReference w:id="1"/>
      </w:r>
      <w:r>
        <w:rPr>
          <w:rFonts w:eastAsia="Arial Unicode MS"/>
          <w:noProof/>
        </w:rPr>
        <w:t>. All Member States are also parties to the Agreement.</w:t>
      </w:r>
    </w:p>
    <w:p>
      <w:pPr>
        <w:pStyle w:val="ManualHeading2"/>
        <w:rPr>
          <w:noProof/>
        </w:rPr>
      </w:pPr>
      <w:r>
        <w:t>2.2.</w:t>
      </w:r>
      <w:r>
        <w:tab/>
      </w:r>
      <w:r>
        <w:rPr>
          <w:noProof/>
        </w:rPr>
        <w:t>The Committee on Rules of Origin</w:t>
      </w:r>
    </w:p>
    <w:p>
      <w:pPr>
        <w:rPr>
          <w:rFonts w:eastAsia="Arial Unicode MS"/>
          <w:noProof/>
        </w:rPr>
      </w:pPr>
      <w:r>
        <w:rPr>
          <w:rFonts w:eastAsia="Arial Unicode MS"/>
          <w:noProof/>
        </w:rPr>
        <w:t>The Committee on Rules of Origin was established within the framework of the World Trade Organisation (WTO) and is open to WTO members. It is to meet at least once a year and is to review the implementation and operation of the Agreement on Rules of Origin. The work of the Committee focused primarily on the harmonisation of non-preferential rules of origin. The negotiations have not concluded and WTO members currently apply national rules of origin for non-preferential purposes. More recently, some work on preferential rules of origin have been initiated, in particular on those used under trade preferences for least-developed countries. Decisions in the Committee are normally taken by consensus.</w:t>
      </w:r>
    </w:p>
    <w:p>
      <w:pPr>
        <w:pStyle w:val="ManualHeading2"/>
        <w:rPr>
          <w:noProof/>
        </w:rPr>
      </w:pPr>
      <w:r>
        <w:t>2.3.</w:t>
      </w:r>
      <w:r>
        <w:tab/>
      </w:r>
      <w:r>
        <w:rPr>
          <w:noProof/>
        </w:rPr>
        <w:t>The envisaged act of the Committee on Rules of Origin</w:t>
      </w:r>
    </w:p>
    <w:p>
      <w:pPr>
        <w:rPr>
          <w:rFonts w:eastAsia="Arial Unicode MS"/>
          <w:noProof/>
        </w:rPr>
      </w:pPr>
      <w:r>
        <w:rPr>
          <w:rFonts w:eastAsia="Arial Unicode MS"/>
          <w:noProof/>
        </w:rPr>
        <w:t xml:space="preserve">On </w:t>
      </w:r>
      <w:r>
        <w:t>[date]</w:t>
      </w:r>
      <w:r>
        <w:rPr>
          <w:rFonts w:eastAsia="Arial Unicode MS"/>
          <w:noProof/>
        </w:rPr>
        <w:t>, during its annual meeting, the Committee on Rules of Origin is to adopt a</w:t>
      </w:r>
      <w:r>
        <w:rPr>
          <w:noProof/>
        </w:rPr>
        <w:t xml:space="preserve"> Communication</w:t>
      </w:r>
      <w:r>
        <w:rPr>
          <w:rStyle w:val="FootnoteReference"/>
          <w:rFonts w:eastAsia="Arial Unicode MS"/>
          <w:noProof/>
        </w:rPr>
        <w:footnoteReference w:id="2"/>
      </w:r>
      <w:r>
        <w:rPr>
          <w:noProof/>
        </w:rPr>
        <w:t xml:space="preserve">  regarding “Enhancing transparency in non-preferential rules of origin” </w:t>
      </w:r>
      <w:r>
        <w:rPr>
          <w:rFonts w:eastAsia="Arial Unicode MS"/>
          <w:noProof/>
        </w:rPr>
        <w:t>(‘the envisaged act’).</w:t>
      </w:r>
    </w:p>
    <w:p>
      <w:pPr>
        <w:rPr>
          <w:rFonts w:eastAsia="Arial Unicode MS"/>
          <w:noProof/>
        </w:rPr>
      </w:pPr>
      <w:r>
        <w:rPr>
          <w:rFonts w:eastAsia="Arial Unicode MS"/>
          <w:noProof/>
        </w:rPr>
        <w:t>The purpose of the envisaged act is to</w:t>
      </w:r>
      <w:r>
        <w:rPr>
          <w:noProof/>
        </w:rPr>
        <w:t xml:space="preserve"> enhance transparency of laws, regulations and practices regarding non-preferential rules of origin and to complement the notification obligations of Article 5 of the Agreement on Rules of Origin. </w:t>
      </w:r>
    </w:p>
    <w:p>
      <w:pPr>
        <w:rPr>
          <w:rFonts w:eastAsia="Arial Unicode MS"/>
          <w:noProof/>
        </w:rPr>
      </w:pPr>
      <w:r>
        <w:rPr>
          <w:rFonts w:eastAsia="Arial Unicode MS"/>
          <w:noProof/>
        </w:rPr>
        <w:t xml:space="preserve">Neither the Agreement establishing the World Trade Organisation nor the Agreement on Rules of Origin address the legal status of acts adopted by the WTO committees. The binding </w:t>
      </w:r>
      <w:r>
        <w:rPr>
          <w:rFonts w:eastAsia="Arial Unicode MS"/>
          <w:noProof/>
        </w:rPr>
        <w:lastRenderedPageBreak/>
        <w:t>nature of the envisaged act is to be determined in the light of the text used in the said act. Taking into consideration the wording of the communication on enhancing transparency in non-preferential rules of origin, the envisaged act will become binding on the parties</w:t>
      </w:r>
      <w:r>
        <w:rPr>
          <w:noProof/>
        </w:rPr>
        <w:t xml:space="preserve">. </w:t>
      </w:r>
    </w:p>
    <w:p>
      <w:pPr>
        <w:pStyle w:val="ManualHeading1"/>
        <w:rPr>
          <w:noProof/>
        </w:rPr>
      </w:pPr>
      <w:r>
        <w:t>3.</w:t>
      </w:r>
      <w:r>
        <w:tab/>
      </w:r>
      <w:r>
        <w:rPr>
          <w:noProof/>
        </w:rPr>
        <w:t>Position to be taken on the Union's behalf</w:t>
      </w:r>
    </w:p>
    <w:p>
      <w:pPr>
        <w:rPr>
          <w:noProof/>
        </w:rPr>
      </w:pPr>
      <w:r>
        <w:rPr>
          <w:noProof/>
        </w:rPr>
        <w:t xml:space="preserve">Non-preferential rules of origin are those rules, which apply in the absence of any trade preference, i.e. when trade is performed on a most-favoured nation basis. In addition, some trade policy measures such as quotas, anti-dumping or origin marking may require a determination of origin based on the application of non-preferential rules of origin. </w:t>
      </w:r>
    </w:p>
    <w:p>
      <w:pPr>
        <w:rPr>
          <w:noProof/>
        </w:rPr>
      </w:pPr>
      <w:r>
        <w:rPr>
          <w:noProof/>
        </w:rPr>
        <w:t>In accordance with Article 5 of the Agreement on Rules of origin, each WTO member had to notify to the WTO secretariat within a given deadline from the entry into force of the WTO agreement for it, its rules of origin, judicial decisions and administrative rulings of general application relating to non-preferential rules of origin in effect on that date. The European Union notified the required information to the WTO secretariat.</w:t>
      </w:r>
    </w:p>
    <w:p>
      <w:pPr>
        <w:rPr>
          <w:noProof/>
        </w:rPr>
      </w:pPr>
      <w:r>
        <w:rPr>
          <w:noProof/>
        </w:rPr>
        <w:t>In the Agreement on Rules of Origin, WTO members agreed to negotiate harmonised non-preferential rules of origin. However, these negotiations have not concluded and WTO members currently apply national rules of origin for non-preferential purposes. As a result, different non-preferential rules of origin apply at import and/or export, depending on the WTO members concerned. In addition, not all WTO members apply specific legislation related to non-preferential rules of origin. In the Union, these rules are provided for by Articles 59 to 61 of Regulation (EU) No 952/2013 of the European Parliament and of the Council of 9 October 2013 laying down the Union Customs Code</w:t>
      </w:r>
      <w:r>
        <w:rPr>
          <w:rStyle w:val="FootnoteReference"/>
          <w:noProof/>
        </w:rPr>
        <w:footnoteReference w:id="3"/>
      </w:r>
      <w:r>
        <w:rPr>
          <w:noProof/>
        </w:rPr>
        <w:t xml:space="preserve">. </w:t>
      </w:r>
    </w:p>
    <w:p>
      <w:pPr>
        <w:rPr>
          <w:noProof/>
        </w:rPr>
      </w:pPr>
      <w:r>
        <w:rPr>
          <w:noProof/>
        </w:rPr>
        <w:t>In order to avoid unnecessary obstacles to trade being created due to the variety and the multitude of non-preferential rules of origin to be applied, a small working group selected from the Committee of Rules of Origin delegates was set up in order to explore the ways to improve transparency as regards non-preferential rules of origin. The European Union participated in this small working group and contributed in a constructive manner to the envisaged act. Discussions continued in meetings of the Committee on rules of origin in March and May 2019. Coordination with the Member States was ensured through Member States’ delegations in the WTO and through the Origin Section of the Customs Expert Group.</w:t>
      </w:r>
    </w:p>
    <w:p>
      <w:pPr>
        <w:rPr>
          <w:noProof/>
        </w:rPr>
      </w:pPr>
      <w:r>
        <w:rPr>
          <w:noProof/>
        </w:rPr>
        <w:t xml:space="preserve">Considering that clear and predictable rules of origin facilitate the flow of international trade, the envisaged act aims at enhancing transparency of laws, regulations and practices regarding non-preferential rules of origin and at complementing the notification obligations of Article 5 of the Agreement on Rules of Origin. </w:t>
      </w:r>
    </w:p>
    <w:p>
      <w:pPr>
        <w:rPr>
          <w:noProof/>
        </w:rPr>
      </w:pPr>
      <w:r>
        <w:rPr>
          <w:noProof/>
        </w:rPr>
        <w:t>The envisaged act provides for a mandatory notification of each WTO member’s non-preferential rules of origin used for the purposes of the application of the most-favoured-nation treatment under Articles I, II, III, XI and XIII of GATT 1994. It also provides for a voluntary notification of non-preferential rules of origin used for all other purposes covered by Article 1.2 of the Agreement on Rules of Origin (anti-dumping and countervailing duties under Article VI of GATT 1994, safeguard measures under Article XIX of GATT 1994, origin marking requirements under Article IX of GATT 1994, quantitative restrictions or tariff quotas, rules of origin used for government procurement and trade statistics). In addition, the envisaged act contains a notification obligation by WTO members of possible certificates of non-preferential origin, which are mandatory when performing import or export transactions. Notifications are to be carried out using templates annexed to the envisaged act.</w:t>
      </w:r>
    </w:p>
    <w:p>
      <w:pPr>
        <w:rPr>
          <w:noProof/>
        </w:rPr>
      </w:pPr>
      <w:r>
        <w:rPr>
          <w:noProof/>
        </w:rPr>
        <w:lastRenderedPageBreak/>
        <w:t>The envisaged act creates notification obligations in addition to those mentioned in Article 5 of the Agreement on Rules of Origin.</w:t>
      </w:r>
    </w:p>
    <w:p>
      <w:pPr>
        <w:rPr>
          <w:noProof/>
        </w:rPr>
      </w:pPr>
      <w:r>
        <w:rPr>
          <w:noProof/>
        </w:rPr>
        <w:t xml:space="preserve">As a result, a position to be taken on the Union’s behalf in the Committee on Rules of Origin is needed.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r>
        <w:rPr>
          <w:noProof/>
        </w:rPr>
        <w:t>.</w:t>
      </w:r>
    </w:p>
    <w:p>
      <w:pPr>
        <w:pStyle w:val="ManualHeading3"/>
        <w:rPr>
          <w:noProof/>
        </w:rPr>
      </w:pPr>
      <w:r>
        <w:t>4.1.2.</w:t>
      </w:r>
      <w:r>
        <w:tab/>
      </w:r>
      <w:r>
        <w:rPr>
          <w:noProof/>
        </w:rPr>
        <w:t>Application to the present case</w:t>
      </w:r>
    </w:p>
    <w:p>
      <w:pPr>
        <w:rPr>
          <w:noProof/>
        </w:rPr>
      </w:pPr>
      <w:r>
        <w:rPr>
          <w:noProof/>
        </w:rPr>
        <w:t>The Committee on Rules of Origin is a body set up by an agreement, namely the Agreement on Rules of Origin (WTO-GATT 1994).</w:t>
      </w:r>
    </w:p>
    <w:p>
      <w:r>
        <w:rPr>
          <w:noProof/>
        </w:rPr>
        <w:t>The act which the Committee on Rules of Origin is called upon to adopt constitutes an act having legal effects. Neither the Agreement establishing the World Trade Organisation nor the Agreement on Rules of Origin address the legal status of acts adopted by the Committee on Rules of Origin. The binding nature of the envisaged act is therefore to be determined in the light of the text used in the said act. Taking into consideration the wording of the communication on enhancing transparency in non-preferential rules of origin, the envisaged act is to be considered as having legal effects.</w:t>
      </w:r>
      <w: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the common commercial policy.</w:t>
      </w:r>
    </w:p>
    <w:p>
      <w:pPr>
        <w:rPr>
          <w:i/>
          <w:noProof/>
        </w:rPr>
      </w:pPr>
      <w:r>
        <w:rPr>
          <w:noProof/>
        </w:rPr>
        <w:t>Therefore, the substantive legal basis of the proposed decision is Article 207 TFUE.</w:t>
      </w:r>
    </w:p>
    <w:p>
      <w:pPr>
        <w:pStyle w:val="ManualHeading2"/>
        <w:rPr>
          <w:noProof/>
        </w:rPr>
      </w:pPr>
      <w:r>
        <w:lastRenderedPageBreak/>
        <w:t>4.3.</w:t>
      </w:r>
      <w:r>
        <w:tab/>
      </w:r>
      <w:r>
        <w:rPr>
          <w:noProof/>
        </w:rPr>
        <w:t>Conclusion</w:t>
      </w:r>
    </w:p>
    <w:p>
      <w:pPr>
        <w:rPr>
          <w:noProof/>
        </w:rPr>
      </w:pPr>
      <w:r>
        <w:rPr>
          <w:noProof/>
        </w:rPr>
        <w:t>The legal basis of the proposed decision should be Article 207 TFUE, in conjunction with Article 218(9) TFEU.</w:t>
      </w:r>
    </w:p>
    <w:p>
      <w:pPr>
        <w:pStyle w:val="ManualHeading1"/>
        <w:rPr>
          <w:noProof/>
        </w:rPr>
      </w:pPr>
      <w:r>
        <w:t>5.</w:t>
      </w:r>
      <w:r>
        <w:tab/>
      </w:r>
      <w:r>
        <w:rPr>
          <w:noProof/>
        </w:rPr>
        <w:t>Publication of the envisaged act</w:t>
      </w:r>
    </w:p>
    <w:p>
      <w:pPr>
        <w:rPr>
          <w:noProof/>
        </w:rPr>
      </w:pPr>
      <w:r>
        <w:rPr>
          <w:noProof/>
        </w:rPr>
        <w:t>Not applicable.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Committee on Rules of Origin set up by the Agreement on Rules of Origin (WTO-GATT 1994), annexed to the final act signed in Marrakech on 15 April 1994</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207(3) and the first 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Rules of origin (WTO-GATT 1994) annexed to the final act signed in Marrakech on 15 April 1994 (‘the Agreement’) was concluded by the Union by Council Decision 94/800/EC</w:t>
      </w:r>
      <w:r>
        <w:rPr>
          <w:rStyle w:val="FootnoteReference"/>
          <w:noProof/>
        </w:rPr>
        <w:footnoteReference w:id="5"/>
      </w:r>
      <w:r>
        <w:rPr>
          <w:noProof/>
        </w:rPr>
        <w:t xml:space="preserve"> and entered into force on 1 January 1995. </w:t>
      </w:r>
    </w:p>
    <w:p>
      <w:pPr>
        <w:pStyle w:val="ManualConsidrant"/>
        <w:rPr>
          <w:noProof/>
        </w:rPr>
      </w:pPr>
      <w:r>
        <w:t>(2)</w:t>
      </w:r>
      <w:r>
        <w:tab/>
      </w:r>
      <w:r>
        <w:rPr>
          <w:noProof/>
        </w:rPr>
        <w:t xml:space="preserve">Article 4 of the Agreement establishes the Committee on Rules of Origin. </w:t>
      </w:r>
    </w:p>
    <w:p>
      <w:pPr>
        <w:pStyle w:val="ManualConsidrant"/>
        <w:rPr>
          <w:noProof/>
        </w:rPr>
      </w:pPr>
      <w:r>
        <w:t>(3)</w:t>
      </w:r>
      <w:r>
        <w:tab/>
      </w:r>
      <w:r>
        <w:rPr>
          <w:noProof/>
        </w:rPr>
        <w:t xml:space="preserve">The Committee on Rules of Origin, during its </w:t>
      </w:r>
      <w:r>
        <w:t xml:space="preserve"> </w:t>
      </w:r>
      <w:r>
        <w:rPr>
          <w:noProof/>
        </w:rPr>
        <w:t xml:space="preserve">session/meeting on </w:t>
      </w:r>
      <w:r>
        <w:t>[date]</w:t>
      </w:r>
      <w:r>
        <w:rPr>
          <w:noProof/>
        </w:rPr>
        <w:t>, is to adopt a communication entitled “enhancing transparency in non-preferential rules of origin”.</w:t>
      </w:r>
    </w:p>
    <w:p>
      <w:pPr>
        <w:pStyle w:val="ManualConsidrant"/>
        <w:rPr>
          <w:noProof/>
        </w:rPr>
      </w:pPr>
      <w:r>
        <w:t>(4)</w:t>
      </w:r>
      <w:r>
        <w:tab/>
      </w:r>
      <w:r>
        <w:rPr>
          <w:noProof/>
        </w:rPr>
        <w:t>It is appropriate to establish the position to be taken on the Union's behalf in the Committee on Rules of Origin, as the communication will be binding on the Union.</w:t>
      </w:r>
    </w:p>
    <w:p>
      <w:pPr>
        <w:pStyle w:val="ManualConsidrant"/>
        <w:rPr>
          <w:noProof/>
        </w:rPr>
      </w:pPr>
      <w:r>
        <w:t>(5)</w:t>
      </w:r>
      <w:r>
        <w:tab/>
      </w:r>
      <w:r>
        <w:rPr>
          <w:noProof/>
        </w:rPr>
        <w:t xml:space="preserve">The proposed position to be taken on the Union’s behalf aims at enhancing transparency of laws, regulations and practices regarding non-preferential rules of origin, by means of rules on mandatory or voluntary notification by WTO members of their non-preferential rules of origin, using standardised templates. This will result in clearer and more predictable rules of origin and will facilitate the flow of international trade,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session/meeting of the Committee on Rules of Origin shall be based on the draft act of the Committee on Rules of Origin attached to this Decision.</w:t>
      </w:r>
    </w:p>
    <w:p>
      <w:pPr>
        <w:rPr>
          <w:i/>
          <w:noProof/>
        </w:rPr>
      </w:pPr>
      <w:r>
        <w:rPr>
          <w:noProof/>
        </w:rPr>
        <w:t>The representatives of the Union may agree to minor editorial changes to the draft act in the light of developments at the upcoming meetings of the Committee on Rules of Origin, in consultation with Member States, or during on-the-spot coordination meetings, without a further decision of the Council.</w:t>
      </w:r>
    </w:p>
    <w:p>
      <w:pPr>
        <w:pStyle w:val="Titrearticle"/>
        <w:rPr>
          <w:noProof/>
        </w:rPr>
      </w:pPr>
      <w:r>
        <w:rPr>
          <w:noProof/>
        </w:rPr>
        <w:lastRenderedPageBreak/>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94/800/EC of 22 December 1994 concerning the conclusion on behalf of the European Community, as regards matters within its competence, of the agreements reached in the Uruguay Round multilateral negotiations (1986-1994) OJ L 336, 23.12.1994, p.1).</w:t>
      </w:r>
    </w:p>
  </w:footnote>
  <w:footnote w:id="2">
    <w:p>
      <w:pPr>
        <w:pStyle w:val="FootnoteText"/>
      </w:pPr>
      <w:r>
        <w:rPr>
          <w:rStyle w:val="FootnoteReference"/>
        </w:rPr>
        <w:footnoteRef/>
      </w:r>
      <w:r>
        <w:tab/>
        <w:t>Communication from Australia; Brazil; Canada; Hong Kong; Japan; Republic of Korea; New Zealand; Norway; Philippines; Russian Federation; Singapore; Switzerland; the separate customs territory of Taiwan, Penghu, Kinmen and Matsu; and the United States.</w:t>
      </w:r>
    </w:p>
  </w:footnote>
  <w:footnote w:id="3">
    <w:p>
      <w:pPr>
        <w:pStyle w:val="FootnoteText"/>
      </w:pPr>
      <w:r>
        <w:rPr>
          <w:rStyle w:val="FootnoteReference"/>
        </w:rPr>
        <w:footnoteRef/>
      </w:r>
      <w:r>
        <w:tab/>
        <w:t>OJ L 269, 10.10.2013, p.1.</w:t>
      </w:r>
    </w:p>
  </w:footnote>
  <w:footnote w:id="4">
    <w:p>
      <w:pPr>
        <w:pStyle w:val="FootnoteText"/>
      </w:pPr>
      <w:r>
        <w:rPr>
          <w:rStyle w:val="FootnoteReference"/>
        </w:rPr>
        <w:footnoteRef/>
      </w:r>
      <w:r>
        <w:tab/>
        <w:t xml:space="preserve">Judgment of the Court of Justice of 7 October 2014, Germany v Council, C-399/12, ECLI:EU:C:2014:2258, paragraphs 61 to 64. </w:t>
      </w:r>
    </w:p>
  </w:footnote>
  <w:footnote w:id="5">
    <w:p>
      <w:pPr>
        <w:pStyle w:val="FootnoteText"/>
      </w:pPr>
      <w:r>
        <w:rPr>
          <w:rStyle w:val="FootnoteReference"/>
        </w:rPr>
        <w:footnoteRef/>
      </w:r>
      <w:r>
        <w:tab/>
        <w:t>Council Decision 94/800/EC of 22 December 1994 concerning the conclusion on behalf of the European Community, as regards matters within its competence, of the agreements reached in the Uruguay Round multilateral negotiations (1986-1994) (OJ L 336, 23.12.1994,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34F7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2A1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0A3A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3414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567E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3219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D8A6E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C222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0:40: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6E580A0-C6B9-4C85-A802-3C47E0E498CC"/>
    <w:docVar w:name="LW_COVERPAGE_TYPE" w:val="1"/>
    <w:docVar w:name="LW_CROSSREFERENCE" w:val="&lt;UNUSED&gt;"/>
    <w:docVar w:name="LW_DocType" w:val="COM"/>
    <w:docVar w:name="LW_EMISSION" w:val="20.9.2019"/>
    <w:docVar w:name="LW_EMISSION_ISODATE" w:val="2019-09-2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0"/>
    <w:docVar w:name="LW_REF.II.NEW.CP_YEAR" w:val="2019"/>
    <w:docVar w:name="LW_REF.INST.NEW" w:val="COM"/>
    <w:docVar w:name="LW_REF.INST.NEW_ADOPTED" w:val="final"/>
    <w:docVar w:name="LW_REF.INST.NEW_TEXT" w:val="(2019)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ommittee on Rules of Origin set up by the Agreement on Rules of Origin (WTO-GATT 1994), annexed to the final act signed in Marrakech on 15 April 1994"/>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B3B700-B6D1-481F-B498-1DEBEEBF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1902</Words>
  <Characters>9933</Characters>
  <Application>Microsoft Office Word</Application>
  <DocSecurity>0</DocSecurity>
  <Lines>171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2019-04-17T07:54:00Z</cp:lastPrinted>
  <dcterms:created xsi:type="dcterms:W3CDTF">2019-08-26T13:38:00Z</dcterms:created>
  <dcterms:modified xsi:type="dcterms:W3CDTF">2019-09-19T08:40:00Z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