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8DFBBA-AE33-441D-A737-5D44A9A0D5EA"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определяне на позицията, която трябва да се заеме от името на Съюза в рамките на Комитета по правилата за произход, създаден съгласно Споразумението за правилата за произход (СТО — ГАТТ от 1994 г.), приложено към заключителния акт, подписан в Маракеш на 15 април 1994 г., във връзка с предвиденото приемане на съобщение относно повишаването на прозрачността в областта на непреференциалните правила за произход.</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правилата за произход</w:t>
      </w:r>
    </w:p>
    <w:p>
      <w:pPr>
        <w:rPr>
          <w:rFonts w:eastAsia="Arial Unicode MS"/>
          <w:noProof/>
        </w:rPr>
      </w:pPr>
      <w:r>
        <w:rPr>
          <w:noProof/>
        </w:rPr>
        <w:t>В Споразумението за правилата за произход (СТО — ГАТТ от 1994 г.), приложено към заключителния акт, подписан в Маракеш на 15 април 1994 г. („споразумението“), се цели да се гарантира, че непреференциалните правила за произход сами по себе си не създават ненужни пречки за търговията, а също и да се хармонизират на международно равнище правилата за произход, различни от правилата за произход, свързани с предоставянето на тарифни преференции. Докато бъде завършена програмата за хармонизация, страните членки следва да гарантират, че правилата за произход са прозрачни, не оказват ограничително, нарушаващо или разрушаващо влияние върху международната търговия, прилагат се по последователен, еднакъв, безпристрастен и разумен начин и се основават на положителен стандарт. Споразумението влезе в сила на 1 януари 1995 г.</w:t>
      </w:r>
    </w:p>
    <w:p>
      <w:pPr>
        <w:rPr>
          <w:rFonts w:eastAsia="Arial Unicode MS"/>
          <w:noProof/>
        </w:rPr>
      </w:pPr>
      <w:r>
        <w:rPr>
          <w:noProof/>
        </w:rPr>
        <w:t>Европейският съюз е страна по споразумението</w:t>
      </w:r>
      <w:r>
        <w:rPr>
          <w:rStyle w:val="FootnoteReference"/>
          <w:noProof/>
        </w:rPr>
        <w:footnoteReference w:id="1"/>
      </w:r>
      <w:r>
        <w:rPr>
          <w:noProof/>
        </w:rPr>
        <w:t>. Всички държави членки също са страни по споразумението.</w:t>
      </w:r>
    </w:p>
    <w:p>
      <w:pPr>
        <w:pStyle w:val="ManualHeading2"/>
        <w:rPr>
          <w:noProof/>
        </w:rPr>
      </w:pPr>
      <w:r>
        <w:t>2.2.</w:t>
      </w:r>
      <w:r>
        <w:tab/>
      </w:r>
      <w:r>
        <w:rPr>
          <w:noProof/>
        </w:rPr>
        <w:t>Комитетът по правилата за произход</w:t>
      </w:r>
    </w:p>
    <w:p>
      <w:pPr>
        <w:rPr>
          <w:rFonts w:eastAsia="Arial Unicode MS"/>
          <w:noProof/>
        </w:rPr>
      </w:pPr>
      <w:r>
        <w:rPr>
          <w:noProof/>
        </w:rPr>
        <w:t>Комитетът по правилата за произход е създаден в рамките на Световната търговска организация (СТО) и в състава му влизат представители на страните — членки на СТО. Той трябва да заседава поне веднъж годишно и да извършва преглед на прилагането и действието на Споразумението за правилата за произход. Работата на Комитета е съсредоточена предимно върху хармонизирането на непреференциалните правила за произход. Преговорите в тази област не са приключили и понастоящем за непреференциални цели членовете на СТО прилагат националните правила за произход. Отскоро се работи и по преференциалните правила за произход, по-конкретно във връзка с търговските преференции за най-слаборазвитите държави. Решенията на Комитета обикновено се вземат с консенсус.</w:t>
      </w:r>
    </w:p>
    <w:p>
      <w:pPr>
        <w:pStyle w:val="ManualHeading2"/>
        <w:rPr>
          <w:noProof/>
        </w:rPr>
      </w:pPr>
      <w:r>
        <w:t>2.3.</w:t>
      </w:r>
      <w:r>
        <w:tab/>
      </w:r>
      <w:r>
        <w:rPr>
          <w:noProof/>
        </w:rPr>
        <w:t>Предвиденият акт на Комитета по правилата за произход</w:t>
      </w:r>
    </w:p>
    <w:p>
      <w:pPr>
        <w:rPr>
          <w:rFonts w:eastAsia="Arial Unicode MS"/>
          <w:noProof/>
        </w:rPr>
      </w:pPr>
      <w:r>
        <w:rPr>
          <w:noProof/>
        </w:rPr>
        <w:t xml:space="preserve">На </w:t>
      </w:r>
      <w:r>
        <w:t>[дата]</w:t>
      </w:r>
      <w:r>
        <w:rPr>
          <w:noProof/>
        </w:rPr>
        <w:t xml:space="preserve"> по време на годишното си заседание Комитетът по правилата за произход трябва да приеме Съобщение</w:t>
      </w:r>
      <w:r>
        <w:rPr>
          <w:rStyle w:val="FootnoteReference"/>
          <w:noProof/>
        </w:rPr>
        <w:footnoteReference w:id="2"/>
      </w:r>
      <w:r>
        <w:rPr>
          <w:noProof/>
        </w:rPr>
        <w:t xml:space="preserve"> относно повишаването на прозрачността в областта на непреференциалните правила за произход („предвидения акт“).</w:t>
      </w:r>
    </w:p>
    <w:p>
      <w:pPr>
        <w:rPr>
          <w:rFonts w:eastAsia="Arial Unicode MS"/>
          <w:noProof/>
        </w:rPr>
      </w:pPr>
      <w:r>
        <w:rPr>
          <w:noProof/>
        </w:rPr>
        <w:t xml:space="preserve">Целта на предвидения акт е да се повиши прозрачността на законите, разпоредбите и процедурите, свързани с непреференциалните правила за произход, и да се допълнят задълженията за нотифициране по член 5 от Споразумението за правилата за произход. </w:t>
      </w:r>
    </w:p>
    <w:p>
      <w:pPr>
        <w:rPr>
          <w:rFonts w:eastAsia="Arial Unicode MS"/>
          <w:noProof/>
        </w:rPr>
      </w:pPr>
      <w:r>
        <w:rPr>
          <w:noProof/>
        </w:rPr>
        <w:t xml:space="preserve">Правният статут на актовете, приемани от комитетите на СТО, не е уреден нито в Споразумението за създаване на Световната търговска организация, нито в Споразумението за правилата за произход. Обвързващият характер на предвидения акт ще се определи в зависимост от съдържащия се в него текст.  Ако се вземе предвид формулировката в съобщението относно повишаването на прозрачността в областта на непреференциалните правила за произход, предвиденият акт ще бъде обвързващ за страните.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Непреференциалните правила за произход са правила, които се прилагат при липсата на каквато и да било търговска преференция, т.е., когато търговията се извършва въз основа на статута на най-облагодетелстваната нация. При някои мерки на търговската политика, като например квоти, антидъмпингови  мерки или маркировки за произход може да е необходимо определянето на произхода да се извършва въз основа на непреференциални правила за произход. </w:t>
      </w:r>
    </w:p>
    <w:p>
      <w:pPr>
        <w:rPr>
          <w:noProof/>
        </w:rPr>
      </w:pPr>
      <w:r>
        <w:rPr>
          <w:noProof/>
        </w:rPr>
        <w:t>В съответствие с член 5 от Споразумението за правилата за произход, всеки член на СТО трябва в рамките на определен срок от влизането в сила на Споразумението за СТО да нотифицира на секретариата на СТО своите правила за произход, съдебни решения и административни разпоредби за общо приложение, отнасящи се до непреференциалните правила за произход, които са в сила към тази дата. Европейският съюз предостави на секретариата на СТО необходимата информация.</w:t>
      </w:r>
    </w:p>
    <w:p>
      <w:pPr>
        <w:rPr>
          <w:noProof/>
        </w:rPr>
      </w:pPr>
      <w:r>
        <w:rPr>
          <w:noProof/>
        </w:rPr>
        <w:t>В Споразумението за правилата за произход членовете на СТО се споразумяват да договорят хармонизирани непреференциални правила за произход. Преговорите в тази област обаче още не са приключили и понастоящем за непреференциални цели членовете на СТО прилагат националните правила за произход. В резултат на това при внос и/или износ се прилагат различни непреференциални правила за произход в зависимост от съответния член на СТО. Освен това не всички членове на СТО прилагат специфично законодателство в областта на непреференциалните правила за произход. В Съюза тези правила са предвидени в членове 59—61 от Регламент (ЕС) № 952/2013 на Европейския парламент и на Съвета от 9 октомври 2013 г. за създаване на Митнически кодекс на Съюза</w:t>
      </w:r>
      <w:r>
        <w:rPr>
          <w:rStyle w:val="FootnoteReference"/>
          <w:noProof/>
        </w:rPr>
        <w:footnoteReference w:id="3"/>
      </w:r>
      <w:r>
        <w:rPr>
          <w:noProof/>
        </w:rPr>
        <w:t xml:space="preserve">. </w:t>
      </w:r>
    </w:p>
    <w:p>
      <w:pPr>
        <w:rPr>
          <w:noProof/>
        </w:rPr>
      </w:pPr>
      <w:r>
        <w:rPr>
          <w:noProof/>
        </w:rPr>
        <w:t>За да се избегне създаването на ненужни пречки пред търговията в резултат на прилагането на много и различни непреференциалните правила за произход, беше създадена работна група в ограничен състав от делегати на Комитета по правилата за произход, чиято задача бе да проучи възможностите за подобряване на прозрачността по отношение на непреференциалните правила за произход. Европейският съюз взе участие в работната група, като даде своя конструктивен принос за изготвянето на предвидения акт. Обсъжданията продължиха по време на заседанията на Комитета по правилата за произход през март и май 2019 г. Координацията с държавите членки бе осигурена чрез техните делегации в рамките на СТО, както и чрез отдел „Произход“ към експертната група по митнически въпроси.</w:t>
      </w:r>
    </w:p>
    <w:p>
      <w:pPr>
        <w:rPr>
          <w:noProof/>
        </w:rPr>
      </w:pPr>
      <w:r>
        <w:rPr>
          <w:noProof/>
        </w:rPr>
        <w:t xml:space="preserve">Като се има предвид, че ясните и предвидими правила за произход улесняват международната търговия, целта на предвидения акт е да се повиши прозрачността на законите, разпоредбите и процедурите, свързани с непреференциалните правила за произход, и да се допълнят задълженията за нотифициране по член 5 от Споразумението за правилата за произход. </w:t>
      </w:r>
    </w:p>
    <w:p>
      <w:pPr>
        <w:rPr>
          <w:noProof/>
        </w:rPr>
      </w:pPr>
      <w:r>
        <w:rPr>
          <w:noProof/>
        </w:rPr>
        <w:t>В предвидения акт се изисква всеки член на СТО задължително да нотифицира непреференциалните правила за произход, които използва за целите на прилагането на принципа на най-облагодетелстваната нация съгласно членове I, II, III, XI и XIII от ГАТТ 1994 г. В него се предвижда и доброволно нотифициране на непреференциалните правила за произход, използвани за всички други цели, обхванати в разпоредбите на член 1.2 от Споразумението за правилата за произход (антидъмпингови и изравнителни мита по член VI от ГАТТ от 1994 г., защитни мерки по член XIX от ГАТТ от 1994 г., маркировки за произход по член IX от ГАТТ от 1994 г., количествени ограничения или тарифни квоти, правила за произход, използвани за държавни поръчки, и търговска статистика.) Предвиденият акт също така съдържа и задължение за нотифициране от членовете на СТО на евентуалните сертификати за непреференциален произход, които са задължителни при операциите по внос или износ. Нотификациите следва да се извършват чрез образци, които са приложени към предвидения акт.</w:t>
      </w:r>
    </w:p>
    <w:p>
      <w:pPr>
        <w:rPr>
          <w:noProof/>
        </w:rPr>
      </w:pPr>
      <w:r>
        <w:rPr>
          <w:noProof/>
        </w:rPr>
        <w:t>Предвиденият акт поражда задължения за нотифициране в допълнение към вече съществуващите задължения по член 5 от Споразумението за правилата за произход.</w:t>
      </w:r>
    </w:p>
    <w:p>
      <w:pPr>
        <w:rPr>
          <w:noProof/>
        </w:rPr>
      </w:pPr>
      <w:r>
        <w:rPr>
          <w:noProof/>
        </w:rPr>
        <w:t xml:space="preserve">Поради това е необходима позиция, която трябва да се заеме от името на Съюза в рамките на Комитета по правилата за произход.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по правилата за произход е орган, създаден по силата на споразумение, и по-конкретно на Споразумението за правилата за произход (СТО — ГАТТ от 1994 г.)</w:t>
      </w:r>
    </w:p>
    <w:p>
      <w:r>
        <w:rPr>
          <w:noProof/>
        </w:rPr>
        <w:t>Актът, който Комитетът по правилата за произход има за задача да приеме, представлява акт с правно действие. Правният статут на актовете, приемани от Комитета по правилата за произход, не е уреден нито в Споразумението за създаване на Световната търговска организация, нито в Споразумението за правилата за произход. Поради това обвързващият характер на предвидения акт ще се определи в зависимост от съдържащия се в него текст. Ако се вземе предвид формулировката в съобщението относно повишаването на прозрачността в областта на непреференциалните правила за произход, предвиденият акт следва да се разглежда като за обвързващ за страните.</w:t>
      </w:r>
      <w:r>
        <w:t xml:space="preserve">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основното съдържание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Съюза в рамките на Комитета по правилата за произход, създаден съгласно Споразумението за правилата за произход (СТО — ГАТТ от 1994 г.), приложено към заключителния акт, подписан в Маракеш на 15 април 1994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Споразумението за правилата за произход (СТО — ГАТТ от 1994 г.), приложено към заключителния акт, подписан в Маракеш на 15 април 1994 г. („споразумението“), бе сключено от Съюза с Решение № 94/800/ЕО на Съвета</w:t>
      </w:r>
      <w:r>
        <w:rPr>
          <w:rStyle w:val="FootnoteReference"/>
          <w:noProof/>
        </w:rPr>
        <w:footnoteReference w:id="5"/>
      </w:r>
      <w:r>
        <w:rPr>
          <w:noProof/>
        </w:rPr>
        <w:t xml:space="preserve"> и влезе в сила на 1 януари 1995 г. </w:t>
      </w:r>
    </w:p>
    <w:p>
      <w:pPr>
        <w:pStyle w:val="ManualConsidrant"/>
        <w:rPr>
          <w:noProof/>
        </w:rPr>
      </w:pPr>
      <w:r>
        <w:t>(2)</w:t>
      </w:r>
      <w:r>
        <w:tab/>
      </w:r>
      <w:r>
        <w:rPr>
          <w:noProof/>
        </w:rPr>
        <w:t xml:space="preserve">Комитетът по правилата за произход е създаден по силата на член 4 от Споразумението. </w:t>
      </w:r>
    </w:p>
    <w:p>
      <w:pPr>
        <w:pStyle w:val="ManualConsidrant"/>
        <w:rPr>
          <w:noProof/>
        </w:rPr>
      </w:pPr>
      <w:r>
        <w:t>(3)</w:t>
      </w:r>
      <w:r>
        <w:tab/>
      </w:r>
      <w:r>
        <w:rPr>
          <w:noProof/>
        </w:rPr>
        <w:t xml:space="preserve">На </w:t>
      </w:r>
      <w:r>
        <w:t>[дата]</w:t>
      </w:r>
      <w:r>
        <w:rPr>
          <w:noProof/>
        </w:rPr>
        <w:t xml:space="preserve"> по време на </w:t>
      </w:r>
      <w:r>
        <w:t xml:space="preserve">[…-ото] си </w:t>
      </w:r>
      <w:r>
        <w:rPr>
          <w:noProof/>
        </w:rPr>
        <w:t>годишно заседание Комитетът по правилата за произход следва да приеме съобщение относно повишаването на прозрачността в областта на непреференциалните правила за произход („предвидения акт“).</w:t>
      </w:r>
    </w:p>
    <w:p>
      <w:pPr>
        <w:pStyle w:val="ManualConsidrant"/>
        <w:rPr>
          <w:noProof/>
        </w:rPr>
      </w:pPr>
      <w:r>
        <w:t>(4)</w:t>
      </w:r>
      <w:r>
        <w:tab/>
      </w:r>
      <w:r>
        <w:rPr>
          <w:noProof/>
        </w:rPr>
        <w:t xml:space="preserve">Тъй като съобщението ще бъде обвързващо за Съюза, е целесъобразно да се определи позицията, която трябва да се заеме от името на Съюза в рамките на Комитета по правилата за произход. </w:t>
      </w:r>
    </w:p>
    <w:p>
      <w:pPr>
        <w:pStyle w:val="ManualConsidrant"/>
        <w:rPr>
          <w:noProof/>
        </w:rPr>
      </w:pPr>
      <w:r>
        <w:t>(5)</w:t>
      </w:r>
      <w:r>
        <w:tab/>
      </w:r>
      <w:r>
        <w:rPr>
          <w:noProof/>
        </w:rPr>
        <w:t xml:space="preserve">Целта на позицията, която трябва да се заеме от името на Съюза, е да се повиши прозрачността на законите, разпоредбите и процедурите, свързани с непреференциалните правила за произход, посредством правила за задължително или доброволно нотифициране от членовете на СТО на техните непреференциални правила за произход чрез използването на стандартизирани образци. Това ще доведе до по-ясни и по-предвидими правила за произход и ще улесни международната търговия,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по време на </w:t>
      </w:r>
      <w:r>
        <w:t>[…-ата/...-ото]</w:t>
      </w:r>
      <w:r>
        <w:rPr>
          <w:noProof/>
        </w:rPr>
        <w:t xml:space="preserve"> сесия/заседание на Комитета по правилата за произход, се основава на проекта на акт на Комитета по правилата за произход, приложен към настоящето решение.</w:t>
      </w:r>
    </w:p>
    <w:p>
      <w:pPr>
        <w:rPr>
          <w:i/>
          <w:noProof/>
        </w:rPr>
      </w:pPr>
      <w:r>
        <w:rPr>
          <w:noProof/>
        </w:rPr>
        <w:t>Представителите на Съюза могат да подкрепят незначителни редакторски промени в проекта на акта с оглед на промените по време на предстоящите заседания на Комитета по правилата за произход, след като се консултират с държавите членки или по време на координационните заседания на място без допълнително решение на Съвета.</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w:t>
      </w:r>
      <w:r>
        <w:cr/>
      </w:r>
      <w:r>
        <w:br/>
        <w:t>компетентност, на споразуменията, постигнати на Уругвайския кръг на многостранните преговори (1986—1994 г.) (ОВ L 336, 23.12.1994 г., стр. 1).</w:t>
      </w:r>
    </w:p>
  </w:footnote>
  <w:footnote w:id="2">
    <w:p>
      <w:pPr>
        <w:pStyle w:val="FootnoteText"/>
      </w:pPr>
      <w:r>
        <w:rPr>
          <w:rStyle w:val="FootnoteReference"/>
        </w:rPr>
        <w:footnoteRef/>
      </w:r>
      <w:r>
        <w:tab/>
        <w:t>Съобщение от Австралия; Бразилия; Канада; Хонконг; Япония; Република Корея; Нова Зеландия; Норвегия; Филипини; Руска федерация; Сингапур; Швейцария; Отделна митническа територия Тайван, Пенгу, Кинмен и Матцу; както и Съединените щати.</w:t>
      </w:r>
    </w:p>
  </w:footnote>
  <w:footnote w:id="3">
    <w:p>
      <w:pPr>
        <w:pStyle w:val="FootnoteText"/>
      </w:pPr>
      <w:r>
        <w:rPr>
          <w:rStyle w:val="FootnoteReference"/>
        </w:rPr>
        <w:footnoteRef/>
      </w:r>
      <w:r>
        <w:tab/>
        <w:t>ОВ L 269, 10.10.2013 г., стр. 1.</w:t>
      </w:r>
    </w:p>
  </w:footnote>
  <w:footnote w:id="4">
    <w:p>
      <w:pPr>
        <w:pStyle w:val="FootnoteText"/>
      </w:pPr>
      <w:r>
        <w:rPr>
          <w:rStyle w:val="FootnoteReference"/>
        </w:rPr>
        <w:footnoteRef/>
      </w:r>
      <w:r>
        <w:tab/>
        <w:t xml:space="preserve">Решение на Съда от 7 октомври 2014 г., Германия/Съвет, C-399/12, ECLI:EU:C:2014:2258, т. 61—64. </w:t>
      </w:r>
    </w:p>
  </w:footnote>
  <w:footnote w:id="5">
    <w:p>
      <w:pPr>
        <w:pStyle w:val="FootnoteText"/>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многостранните преговори (1986—1994 г.) (ОВ L 336, 23.12.1994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34F7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2A1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0A3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3414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567E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3219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D8A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C222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0:42: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8DFBBA-AE33-441D-A737-5D44A9A0D5EA"/>
    <w:docVar w:name="LW_COVERPAGE_TYPE" w:val="1"/>
    <w:docVar w:name="LW_CROSSREFERENCE" w:val="&lt;UNUSED&gt;"/>
    <w:docVar w:name="LW_DocType" w:val="COM"/>
    <w:docVar w:name="LW_EMISSION" w:val="20.9.2019"/>
    <w:docVar w:name="LW_EMISSION_ISODATE" w:val="2019-09-2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0"/>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0?\u1086?\u1084?\u1080?\u1090?\u1077?\u1090?\u1072? \u1087?\u1086? \u1087?\u1088?\u1072?\u1074?\u1080?\u1083?\u1072?\u1090?\u1072? \u1079?\u1072? \u1087?\u1088?\u1086?\u1080?\u1079?\u1093?\u1086?\u1076?, \u1089?\u1098?\u1079?\u1076?\u1072?\u1076?\u1077?\u1085? \u1089?\u1098?\u1075?\u1083?\u1072?\u1089?\u1085?\u1086? \u1057?\u1087?\u1086?\u1088?\u1072?\u1079?\u1091?\u1084?\u1077?\u1085?\u1080?\u1077?\u1090?\u1086? \u1079?\u1072? \u1087?\u1088?\u1072?\u1074?\u1080?\u1083?\u1072?\u1090?\u1072? \u1079?\u1072? \u1087?\u1088?\u1086?\u1080?\u1079?\u1093?\u1086?\u1076? (\u1057?\u1058?\u1054? \u8212? \u1043?\u1040?\u1058?\u1058? \u1086?\u1090? 1994 \u1075?.), \u1087?\u1088?\u1080?\u1083?\u1086?\u1078?\u1077?\u1085?\u1086? \u1082?\u1098?\u1084? \u1079?\u1072?\u1082?\u1083?\u1102?\u1095?\u1080?\u1090?\u1077?\u1083?\u1085?\u1080?\u1103? \u1072?\u1082?\u1090?, \u1087?\u1086?\u1076?\u1087?\u1080?\u1089?\u1072?\u1085? \u1074? \u1052?\u1072?\u1088?\u1072?\u1082?\u1077?\u1096? \u1085?\u1072? 15 \u1072?\u1087?\u1088?\u1080?\u1083? 1994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85AB3E-841C-42C2-B2D9-4C8417EB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1915</Words>
  <Characters>10941</Characters>
  <Application>Microsoft Office Word</Application>
  <DocSecurity>0</DocSecurity>
  <Lines>202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2019-04-17T07:54:00Z</cp:lastPrinted>
  <dcterms:created xsi:type="dcterms:W3CDTF">2019-09-16T15:15:00Z</dcterms:created>
  <dcterms:modified xsi:type="dcterms:W3CDTF">2019-09-19T08:42:00Z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